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10" w:name="_GoBack"/>
      <w:bookmarkEnd w:id="10"/>
      <w:r>
        <w:rPr>
          <w:rFonts w:hint="eastAsia"/>
          <w:sz w:val="32"/>
          <w:szCs w:val="32"/>
        </w:rPr>
        <w:t xml:space="preserve">  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bookmarkStart w:id="0" w:name="OLE_LINK4"/>
      <w:bookmarkStart w:id="1" w:name="OLE_LINK5"/>
      <w:bookmarkStart w:id="2" w:name="OLE_LINK19"/>
      <w:bookmarkStart w:id="3" w:name="OLE_LINK20"/>
      <w:r>
        <w:rPr>
          <w:rFonts w:eastAsia="仿宋_GB2312"/>
          <w:sz w:val="32"/>
          <w:szCs w:val="32"/>
        </w:rPr>
        <w:t>石环</w:t>
      </w:r>
      <w:r>
        <w:rPr>
          <w:rFonts w:hint="eastAsia" w:eastAsia="仿宋_GB2312"/>
          <w:sz w:val="32"/>
          <w:szCs w:val="32"/>
        </w:rPr>
        <w:t>函</w:t>
      </w:r>
      <w:r>
        <w:rPr>
          <w:rFonts w:eastAsia="仿宋_GB2312"/>
          <w:color w:val="000000"/>
          <w:sz w:val="32"/>
          <w:szCs w:val="32"/>
        </w:rPr>
        <w:t>〔20</w:t>
      </w:r>
      <w:r>
        <w:rPr>
          <w:rFonts w:hint="eastAsia" w:eastAsia="仿宋_GB2312"/>
          <w:color w:val="000000"/>
          <w:sz w:val="32"/>
          <w:szCs w:val="32"/>
        </w:rPr>
        <w:t>25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号</w:t>
      </w:r>
      <w:bookmarkEnd w:id="0"/>
      <w:bookmarkEnd w:id="1"/>
    </w:p>
    <w:bookmarkEnd w:id="2"/>
    <w:bookmarkEnd w:id="3"/>
    <w:p>
      <w:pPr>
        <w:spacing w:line="520" w:lineRule="exact"/>
        <w:rPr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安康市生态环境局石泉分局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4" w:name="OLE_LINK16"/>
      <w:bookmarkStart w:id="5" w:name="OLE_LINK17"/>
      <w:r>
        <w:rPr>
          <w:rFonts w:hint="eastAsia" w:ascii="方正小标宋简体" w:eastAsia="方正小标宋简体"/>
          <w:color w:val="000000"/>
          <w:sz w:val="44"/>
          <w:szCs w:val="44"/>
        </w:rPr>
        <w:t>关于安康紫茄子农业科技有限公司万吨蔬菜</w:t>
      </w:r>
    </w:p>
    <w:bookmarkEnd w:id="4"/>
    <w:bookmarkEnd w:id="5"/>
    <w:p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6" w:name="OLE_LINK18"/>
      <w:r>
        <w:rPr>
          <w:rFonts w:hint="eastAsia" w:ascii="方正小标宋简体" w:eastAsia="方正小标宋简体"/>
          <w:color w:val="000000"/>
          <w:sz w:val="44"/>
          <w:szCs w:val="44"/>
        </w:rPr>
        <w:t>深加工生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产线建设项目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环境影响报告表的批复</w:t>
      </w:r>
    </w:p>
    <w:bookmarkEnd w:id="6"/>
    <w:p>
      <w:pPr>
        <w:spacing w:line="560" w:lineRule="exact"/>
        <w:jc w:val="center"/>
        <w:rPr>
          <w:rFonts w:ascii="方正小标宋简体" w:hAnsi="新宋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left="3957" w:leftChars="1" w:hanging="3955" w:hangingChars="1236"/>
        <w:rPr>
          <w:rFonts w:eastAsia="仿宋_GB2312"/>
          <w:sz w:val="32"/>
          <w:szCs w:val="32"/>
        </w:rPr>
      </w:pPr>
      <w:bookmarkStart w:id="7" w:name="OLE_LINK15"/>
      <w:bookmarkStart w:id="8" w:name="OLE_LINK12"/>
      <w:r>
        <w:rPr>
          <w:rFonts w:hint="eastAsia" w:eastAsia="仿宋_GB2312"/>
          <w:sz w:val="32"/>
          <w:szCs w:val="32"/>
        </w:rPr>
        <w:t>安康紫茄子农业科技有限公司</w:t>
      </w:r>
      <w:bookmarkEnd w:id="7"/>
      <w:bookmarkEnd w:id="8"/>
      <w:r>
        <w:rPr>
          <w:rFonts w:hint="eastAsia" w:eastAsia="仿宋_GB2312"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你单位报来的《万吨蔬菜深加工生产线建设项目环境影响报告表》（以下简称《报告表》）收悉。《报告表》经公示无异议后，根据国家环境保护法律法规、《报告表》评价结论、污染防治措施和专家组技术审查意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经我局研究，现批复如下：</w:t>
      </w:r>
    </w:p>
    <w:p>
      <w:pPr>
        <w:numPr>
          <w:ilvl w:val="0"/>
          <w:numId w:val="1"/>
        </w:numPr>
        <w:tabs>
          <w:tab w:val="left" w:pos="1418"/>
        </w:tabs>
        <w:spacing w:line="560" w:lineRule="exact"/>
        <w:ind w:left="709" w:firstLine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项目概况</w:t>
      </w:r>
    </w:p>
    <w:p>
      <w:pPr>
        <w:autoSpaceDE w:val="0"/>
        <w:autoSpaceDN w:val="0"/>
        <w:adjustRightInd w:val="0"/>
        <w:spacing w:line="560" w:lineRule="exact"/>
        <w:ind w:firstLine="707" w:firstLineChars="221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万吨蔬菜深加工生产线建设项目位于石泉县经济开发区</w:t>
      </w:r>
      <w:r>
        <w:rPr>
          <w:rFonts w:hint="eastAsia" w:eastAsia="仿宋_GB2312"/>
          <w:color w:val="000000" w:themeColor="text1"/>
          <w:sz w:val="32"/>
          <w:szCs w:val="32"/>
        </w:rPr>
        <w:t>古堰工业园区</w:t>
      </w:r>
      <w:r>
        <w:rPr>
          <w:rFonts w:eastAsia="仿宋_GB2312"/>
          <w:color w:val="000000" w:themeColor="text1"/>
          <w:sz w:val="32"/>
          <w:szCs w:val="32"/>
        </w:rPr>
        <w:t>西北基地2号厂房，租赁标准厂房10680平方米，冷库4000立方米</w:t>
      </w:r>
      <w:r>
        <w:rPr>
          <w:rFonts w:hint="eastAsia"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建设智能化预制菜深加工生产线20条，配套建设供电、供气、消防、环保等设施</w:t>
      </w:r>
      <w:bookmarkStart w:id="9" w:name="OLE_LINK7"/>
      <w:r>
        <w:rPr>
          <w:rFonts w:eastAsia="仿宋_GB2312"/>
          <w:color w:val="000000" w:themeColor="text1"/>
          <w:sz w:val="32"/>
          <w:szCs w:val="32"/>
        </w:rPr>
        <w:t>。</w:t>
      </w:r>
      <w:bookmarkEnd w:id="9"/>
      <w:r>
        <w:rPr>
          <w:rFonts w:eastAsia="仿宋_GB2312"/>
          <w:color w:val="000000" w:themeColor="text1"/>
          <w:sz w:val="32"/>
          <w:szCs w:val="32"/>
        </w:rPr>
        <w:t>项目主要产品为各种预制菜及其加工品，年产能约2</w:t>
      </w:r>
      <w:r>
        <w:rPr>
          <w:rFonts w:hint="eastAsia"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00万袋</w:t>
      </w:r>
      <w:r>
        <w:rPr>
          <w:rFonts w:hint="eastAsia"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项目总投资3000万元，其中环保投资98万元，占总投资额的3.27%。</w:t>
      </w:r>
    </w:p>
    <w:p>
      <w:pPr>
        <w:adjustRightInd w:val="0"/>
        <w:snapToGrid w:val="0"/>
        <w:spacing w:line="56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经审查，该项目已取得县发</w:t>
      </w:r>
      <w:r>
        <w:rPr>
          <w:rFonts w:hint="eastAsia" w:eastAsia="仿宋_GB2312"/>
          <w:color w:val="000000" w:themeColor="text1"/>
          <w:sz w:val="32"/>
          <w:szCs w:val="32"/>
        </w:rPr>
        <w:t>改</w:t>
      </w:r>
      <w:r>
        <w:rPr>
          <w:rFonts w:eastAsia="仿宋_GB2312"/>
          <w:color w:val="000000" w:themeColor="text1"/>
          <w:sz w:val="32"/>
          <w:szCs w:val="32"/>
        </w:rPr>
        <w:t>局审核通过的陕西省企业投资项目备案确认书（</w:t>
      </w:r>
      <w:r>
        <w:rPr>
          <w:rFonts w:hint="eastAsia" w:eastAsia="仿宋_GB2312"/>
          <w:color w:val="000000" w:themeColor="text1"/>
          <w:sz w:val="32"/>
          <w:szCs w:val="32"/>
        </w:rPr>
        <w:t>2208-610922-04-01-667436</w:t>
      </w:r>
      <w:r>
        <w:rPr>
          <w:rFonts w:eastAsia="仿宋_GB2312"/>
          <w:color w:val="000000" w:themeColor="text1"/>
          <w:sz w:val="32"/>
          <w:szCs w:val="32"/>
        </w:rPr>
        <w:t>），符合国家及地方产业政策。</w:t>
      </w:r>
      <w:r>
        <w:rPr>
          <w:rFonts w:hAnsi="仿宋_GB2312" w:eastAsia="仿宋_GB2312"/>
          <w:color w:val="000000" w:themeColor="text1"/>
          <w:sz w:val="32"/>
          <w:szCs w:val="32"/>
        </w:rPr>
        <w:t>本项目</w:t>
      </w:r>
      <w:r>
        <w:rPr>
          <w:rFonts w:hint="eastAsia" w:hAnsi="仿宋_GB2312" w:eastAsia="仿宋_GB2312"/>
          <w:color w:val="000000" w:themeColor="text1"/>
          <w:sz w:val="32"/>
          <w:szCs w:val="32"/>
        </w:rPr>
        <w:t>属于其他方便食品制造</w:t>
      </w:r>
      <w:r>
        <w:rPr>
          <w:rFonts w:hAnsi="仿宋_GB2312" w:eastAsia="仿宋_GB2312"/>
          <w:color w:val="000000" w:themeColor="text1"/>
          <w:sz w:val="32"/>
          <w:szCs w:val="32"/>
        </w:rPr>
        <w:t>项目，符合《石泉省级经济技术开发区总体发展规划（</w:t>
      </w:r>
      <w:r>
        <w:rPr>
          <w:rFonts w:eastAsia="仿宋_GB2312"/>
          <w:color w:val="000000" w:themeColor="text1"/>
          <w:sz w:val="32"/>
          <w:szCs w:val="32"/>
        </w:rPr>
        <w:t>2015-2030</w:t>
      </w:r>
      <w:r>
        <w:rPr>
          <w:rFonts w:hAnsi="仿宋_GB2312" w:eastAsia="仿宋_GB2312"/>
          <w:color w:val="000000" w:themeColor="text1"/>
          <w:sz w:val="32"/>
          <w:szCs w:val="32"/>
        </w:rPr>
        <w:t>年》及规划环评要求。</w:t>
      </w:r>
      <w:r>
        <w:rPr>
          <w:rFonts w:hAnsi="仿宋_GB2312" w:eastAsia="仿宋_GB2312"/>
          <w:sz w:val="32"/>
          <w:szCs w:val="32"/>
        </w:rPr>
        <w:t>你单位在严格落实《报告表》提出的污染防治措施、确保环保设施正常运转的前提下，从环境保护技术角度分析，项目建设可行。你单位应严格按照《报告表》所列建设项目的性质、规模、地点和拟采取的环境保护措施要求及专家组技术</w:t>
      </w:r>
      <w:r>
        <w:rPr>
          <w:rFonts w:eastAsia="仿宋_GB2312"/>
          <w:sz w:val="32"/>
          <w:szCs w:val="32"/>
        </w:rPr>
        <w:t>审查意见要求进行项目建设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eastAsia="黑体"/>
          <w:bCs/>
          <w:sz w:val="32"/>
          <w:szCs w:val="32"/>
        </w:rPr>
        <w:t>项目</w:t>
      </w:r>
      <w:r>
        <w:rPr>
          <w:rFonts w:hint="eastAsia" w:eastAsia="黑体"/>
          <w:bCs/>
          <w:sz w:val="32"/>
          <w:szCs w:val="32"/>
        </w:rPr>
        <w:t>建设和运行中应重点做好</w:t>
      </w:r>
      <w:r>
        <w:rPr>
          <w:rFonts w:eastAsia="黑体"/>
          <w:bCs/>
          <w:sz w:val="32"/>
          <w:szCs w:val="32"/>
        </w:rPr>
        <w:t>以下工作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严格按照《报告表》所确定的内容进行建设，本项目若存在建设内容及规模与《报告表》不符，或存在产污情况与实际不符，必须立即向环保行政主管部门报告，并及时采取环保措施进行处理。环境影响评价文件经批准后，项目性质、规模、地点、采用的生产工艺或者防治污染、防止生态破坏的措施发生重大变动的，你单位应当重新报批环境影响评价文件。</w:t>
      </w:r>
    </w:p>
    <w:p>
      <w:pPr>
        <w:spacing w:line="560" w:lineRule="exact"/>
        <w:ind w:firstLine="707" w:firstLineChars="221"/>
        <w:jc w:val="left"/>
        <w:rPr>
          <w:rFonts w:ascii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（二）严格落实《报告表》中各项污染防治措施。切实落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实废气、废水、噪声防治措施，固废规范处置，确保污染防治措施</w:t>
      </w:r>
      <w:r>
        <w:rPr>
          <w:rFonts w:ascii="仿宋_GB2312" w:eastAsia="仿宋_GB2312"/>
          <w:color w:val="000000" w:themeColor="text1"/>
          <w:sz w:val="32"/>
          <w:szCs w:val="32"/>
        </w:rPr>
        <w:t>有效运行，保证污染物达标排放。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油烟废气经静电油烟净化器处理，满足《饮食业油烟排放标准（试行）》（GB18483</w:t>
      </w:r>
      <w:r>
        <w:rPr>
          <w:rFonts w:eastAsia="仿宋_GB2312"/>
          <w:color w:val="000000" w:themeColor="text1"/>
          <w:sz w:val="32"/>
          <w:szCs w:val="32"/>
        </w:rPr>
        <w:t>-</w:t>
      </w:r>
      <w:r>
        <w:rPr>
          <w:rFonts w:hint="eastAsia" w:eastAsia="仿宋_GB2312"/>
          <w:color w:val="000000" w:themeColor="text1"/>
          <w:sz w:val="32"/>
          <w:szCs w:val="32"/>
        </w:rPr>
        <w:t>2001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）大型规模的标准限值</w:t>
      </w:r>
      <w:r>
        <w:rPr>
          <w:rFonts w:eastAsia="仿宋_GB2312"/>
          <w:color w:val="000000" w:themeColor="text1"/>
          <w:sz w:val="32"/>
          <w:szCs w:val="32"/>
        </w:rPr>
        <w:t>后由</w:t>
      </w:r>
      <w:r>
        <w:rPr>
          <w:rFonts w:hint="eastAsia" w:eastAsia="仿宋_GB2312"/>
          <w:color w:val="000000" w:themeColor="text1"/>
          <w:sz w:val="32"/>
          <w:szCs w:val="32"/>
        </w:rPr>
        <w:t>15m高</w:t>
      </w:r>
      <w:r>
        <w:rPr>
          <w:rFonts w:eastAsia="仿宋_GB2312"/>
          <w:color w:val="000000" w:themeColor="text1"/>
          <w:sz w:val="32"/>
          <w:szCs w:val="32"/>
        </w:rPr>
        <w:t>排气筒</w:t>
      </w:r>
      <w:r>
        <w:rPr>
          <w:rFonts w:hint="eastAsia" w:eastAsia="仿宋_GB2312"/>
          <w:color w:val="000000" w:themeColor="text1"/>
          <w:sz w:val="32"/>
          <w:szCs w:val="32"/>
        </w:rPr>
        <w:t>引至屋顶</w:t>
      </w:r>
      <w:r>
        <w:rPr>
          <w:rFonts w:eastAsia="仿宋_GB2312"/>
          <w:color w:val="000000" w:themeColor="text1"/>
          <w:sz w:val="32"/>
          <w:szCs w:val="32"/>
        </w:rPr>
        <w:t>排放</w:t>
      </w:r>
      <w:r>
        <w:rPr>
          <w:rFonts w:hint="eastAsia" w:eastAsia="仿宋_GB2312"/>
          <w:color w:val="000000" w:themeColor="text1"/>
          <w:sz w:val="32"/>
          <w:szCs w:val="32"/>
        </w:rPr>
        <w:t>；蒸汽发生器采用低氮燃烧设备，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燃烧废气满足《陕西省锅炉大气污染物排放标准》</w:t>
      </w:r>
      <w:r>
        <w:rPr>
          <w:rFonts w:hint="eastAsia" w:eastAsia="仿宋_GB2312"/>
          <w:color w:val="000000" w:themeColor="text1"/>
          <w:sz w:val="32"/>
          <w:szCs w:val="32"/>
        </w:rPr>
        <w:t>（DB61/1226-2018）中表3燃气锅炉排放限值要求后</w:t>
      </w:r>
      <w:r>
        <w:rPr>
          <w:rFonts w:eastAsia="仿宋_GB2312"/>
          <w:color w:val="000000" w:themeColor="text1"/>
          <w:sz w:val="32"/>
          <w:szCs w:val="32"/>
        </w:rPr>
        <w:t>由</w:t>
      </w:r>
      <w:r>
        <w:rPr>
          <w:rFonts w:hint="eastAsia" w:eastAsia="仿宋_GB2312"/>
          <w:color w:val="000000" w:themeColor="text1"/>
          <w:sz w:val="32"/>
          <w:szCs w:val="32"/>
        </w:rPr>
        <w:t>8m高</w:t>
      </w:r>
      <w:r>
        <w:rPr>
          <w:rFonts w:eastAsia="仿宋_GB2312"/>
          <w:color w:val="000000" w:themeColor="text1"/>
          <w:sz w:val="32"/>
          <w:szCs w:val="32"/>
        </w:rPr>
        <w:t>排气筒引至</w:t>
      </w:r>
      <w:r>
        <w:rPr>
          <w:rFonts w:hint="eastAsia" w:eastAsia="仿宋_GB2312"/>
          <w:color w:val="000000" w:themeColor="text1"/>
          <w:sz w:val="32"/>
          <w:szCs w:val="32"/>
        </w:rPr>
        <w:t>厂房顶部</w:t>
      </w:r>
      <w:r>
        <w:rPr>
          <w:rFonts w:eastAsia="仿宋_GB2312"/>
          <w:color w:val="000000" w:themeColor="text1"/>
          <w:sz w:val="32"/>
          <w:szCs w:val="32"/>
        </w:rPr>
        <w:t>排放</w:t>
      </w:r>
      <w:r>
        <w:rPr>
          <w:rFonts w:hint="eastAsia" w:eastAsia="仿宋_GB2312"/>
          <w:color w:val="000000" w:themeColor="text1"/>
          <w:sz w:val="32"/>
          <w:szCs w:val="32"/>
        </w:rPr>
        <w:t>。生产废水经隔油池处理后，依托瑞景泉食品有限公司自建污水处理站（处理工艺为“隔油池+气浮+水解酸化+接触氧化池”处理，满足《污水排入城镇下水道水质标准》（GB/T31962</w:t>
      </w:r>
      <w:r>
        <w:rPr>
          <w:rFonts w:eastAsia="仿宋_GB2312"/>
          <w:color w:val="000000" w:themeColor="text1"/>
          <w:sz w:val="32"/>
          <w:szCs w:val="32"/>
        </w:rPr>
        <w:t>-</w:t>
      </w:r>
      <w:r>
        <w:rPr>
          <w:rFonts w:hint="eastAsia" w:eastAsia="仿宋_GB2312"/>
          <w:color w:val="000000" w:themeColor="text1"/>
          <w:sz w:val="32"/>
          <w:szCs w:val="32"/>
        </w:rPr>
        <w:t>2015）B级标准及石泉县污水处理厂进水水质标准后排入市政污水管网，最终排至石泉县污水处理厂处理。选用</w:t>
      </w:r>
      <w:r>
        <w:rPr>
          <w:rFonts w:ascii="仿宋_GB2312" w:eastAsia="仿宋_GB2312"/>
          <w:color w:val="000000" w:themeColor="text1"/>
          <w:sz w:val="32"/>
          <w:szCs w:val="32"/>
        </w:rPr>
        <w:t>低噪声设备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，设备噪声</w:t>
      </w:r>
      <w:r>
        <w:rPr>
          <w:rFonts w:eastAsia="仿宋_GB2312"/>
          <w:color w:val="000000" w:themeColor="text1"/>
          <w:sz w:val="32"/>
          <w:szCs w:val="32"/>
        </w:rPr>
        <w:t>采取</w:t>
      </w:r>
      <w:r>
        <w:rPr>
          <w:rFonts w:hint="eastAsia" w:eastAsia="仿宋_GB2312"/>
          <w:color w:val="000000" w:themeColor="text1"/>
          <w:sz w:val="32"/>
          <w:szCs w:val="32"/>
        </w:rPr>
        <w:t>基础减振、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距离衰减，压缩机车间内部加装隔音棉，合理布局</w:t>
      </w:r>
      <w:r>
        <w:rPr>
          <w:rFonts w:ascii="仿宋_GB2312" w:eastAsia="仿宋_GB2312"/>
          <w:color w:val="000000" w:themeColor="text1"/>
          <w:sz w:val="32"/>
          <w:szCs w:val="32"/>
        </w:rPr>
        <w:t>等降噪措施。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一般固废分类收集暂存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于固废暂存间，合理处置，严禁二次污染；皮渣和霉烂蔬菜设专用桶收集，隔油池废油渣、废油脂设密封桶收集，定期分别交由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有处理能力的单位处置。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（三）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项目建设必须严格执行环境保护设施与主体工程同时</w:t>
      </w:r>
      <w:r>
        <w:rPr>
          <w:rFonts w:hint="eastAsia" w:ascii="仿宋_GB2312" w:eastAsia="仿宋_GB2312"/>
          <w:color w:val="000000"/>
          <w:sz w:val="32"/>
          <w:szCs w:val="32"/>
        </w:rPr>
        <w:t>设计、同时施工、同时投产使用的环境保护“三同时”制度。委托专业设计单位设计环保设施等配套工程，施工单位严格按照设计要求进行建设。项目建成后，建设单位应当按照国务院环境保护行政主管部门规定的标准和程序，对配套建设的环境保护设施进行验收，编制验收报告。</w:t>
      </w:r>
      <w:r>
        <w:rPr>
          <w:rFonts w:hint="eastAsia" w:eastAsia="仿宋_GB2312"/>
          <w:color w:val="000000"/>
          <w:sz w:val="32"/>
          <w:szCs w:val="32"/>
        </w:rPr>
        <w:t>公开相关信息，接受社会监督。并及时办理</w:t>
      </w:r>
      <w:r>
        <w:rPr>
          <w:rFonts w:eastAsia="仿宋_GB2312"/>
          <w:color w:val="000000"/>
          <w:sz w:val="32"/>
          <w:szCs w:val="32"/>
        </w:rPr>
        <w:t>排污许可</w:t>
      </w:r>
      <w:r>
        <w:rPr>
          <w:rFonts w:hint="eastAsia" w:eastAsia="仿宋_GB2312"/>
          <w:color w:val="000000"/>
          <w:sz w:val="32"/>
          <w:szCs w:val="32"/>
        </w:rPr>
        <w:t>手续。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（四）建立健全环境管理制度及环境监测制度</w:t>
      </w:r>
      <w:r>
        <w:rPr>
          <w:rFonts w:hint="eastAsia" w:ascii="仿宋_GB2312" w:eastAsia="仿宋_GB2312"/>
          <w:color w:val="000000"/>
          <w:sz w:val="32"/>
          <w:szCs w:val="32"/>
        </w:rPr>
        <w:t>，运营期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废气、</w:t>
      </w:r>
      <w:r>
        <w:rPr>
          <w:rFonts w:hint="eastAsia" w:ascii="仿宋_GB2312" w:eastAsia="仿宋_GB2312"/>
          <w:sz w:val="32"/>
          <w:szCs w:val="32"/>
        </w:rPr>
        <w:t>废水、厂界噪声</w:t>
      </w:r>
      <w:r>
        <w:rPr>
          <w:rFonts w:hint="eastAsia" w:ascii="仿宋_GB2312" w:eastAsia="仿宋_GB2312"/>
          <w:color w:val="000000"/>
          <w:sz w:val="32"/>
          <w:szCs w:val="32"/>
        </w:rPr>
        <w:t>委托有资质的单位定期进行监测。</w:t>
      </w:r>
      <w:r>
        <w:rPr>
          <w:rFonts w:hint="eastAsia" w:ascii="仿宋_GB2312" w:eastAsia="仿宋_GB2312"/>
          <w:sz w:val="32"/>
          <w:szCs w:val="32"/>
        </w:rPr>
        <w:t>落实环保投资，加强环保设施的管理和维护，确保环保设施正常运转。</w:t>
      </w:r>
    </w:p>
    <w:p>
      <w:pPr>
        <w:adjustRightInd w:val="0"/>
        <w:snapToGrid w:val="0"/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有关事项要求</w:t>
      </w:r>
    </w:p>
    <w:p>
      <w:pPr>
        <w:adjustRightInd w:val="0"/>
        <w:snapToGrid w:val="0"/>
        <w:spacing w:line="560" w:lineRule="exact"/>
        <w:ind w:firstLine="704" w:firstLineChars="2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</w:rPr>
        <w:t>建设单位应当加强对施工单位的环境监管，制定建设期环境管理计划，保证环境保护设施建设进度和资金，并在项目建设过程中同时组织实施《报告表》及其批复中提出的环境</w:t>
      </w:r>
      <w:r>
        <w:rPr>
          <w:rFonts w:hint="eastAsia" w:ascii="仿宋_GB2312" w:eastAsia="仿宋_GB2312"/>
          <w:color w:val="000000"/>
          <w:sz w:val="32"/>
          <w:szCs w:val="32"/>
        </w:rPr>
        <w:t>保护对策措施。</w:t>
      </w:r>
    </w:p>
    <w:p>
      <w:pPr>
        <w:adjustRightInd w:val="0"/>
        <w:snapToGrid w:val="0"/>
        <w:spacing w:line="560" w:lineRule="exact"/>
        <w:ind w:firstLine="704" w:firstLineChars="22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对因项目选址、环保措施、环境影响报告表质量等问题造成的后果和纠纷，由建设单位和环评编制单位依法承担相应责任。</w:t>
      </w:r>
    </w:p>
    <w:p>
      <w:pPr>
        <w:adjustRightInd w:val="0"/>
        <w:snapToGrid w:val="0"/>
        <w:spacing w:line="560" w:lineRule="exact"/>
        <w:ind w:firstLine="704" w:firstLineChars="22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（三）</w:t>
      </w:r>
      <w:r>
        <w:rPr>
          <w:rFonts w:eastAsia="仿宋_GB2312"/>
          <w:color w:val="000000"/>
          <w:sz w:val="32"/>
          <w:szCs w:val="32"/>
        </w:rPr>
        <w:t>该项目由县生态环境</w:t>
      </w:r>
      <w:r>
        <w:rPr>
          <w:rFonts w:hint="eastAsia" w:eastAsia="仿宋_GB2312"/>
          <w:color w:val="000000"/>
          <w:sz w:val="32"/>
          <w:szCs w:val="32"/>
        </w:rPr>
        <w:t>保护</w:t>
      </w:r>
      <w:r>
        <w:rPr>
          <w:rFonts w:eastAsia="仿宋_GB2312"/>
          <w:color w:val="000000"/>
          <w:sz w:val="32"/>
          <w:szCs w:val="32"/>
        </w:rPr>
        <w:t>综合执法大队负责环境保护</w:t>
      </w:r>
      <w:r>
        <w:rPr>
          <w:rFonts w:eastAsia="仿宋_GB2312"/>
          <w:sz w:val="32"/>
          <w:szCs w:val="32"/>
        </w:rPr>
        <w:t>监督检查工作。</w:t>
      </w:r>
    </w:p>
    <w:p>
      <w:pPr>
        <w:spacing w:line="560" w:lineRule="exact"/>
        <w:rPr>
          <w:rFonts w:eastAsia="黑体"/>
          <w:iCs/>
          <w:sz w:val="32"/>
          <w:szCs w:val="32"/>
        </w:rPr>
      </w:pPr>
    </w:p>
    <w:p>
      <w:pPr>
        <w:spacing w:line="560" w:lineRule="exact"/>
        <w:ind w:firstLine="704" w:firstLineChars="220"/>
        <w:rPr>
          <w:rFonts w:eastAsia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安康市生态环境局石泉分局</w:t>
      </w:r>
    </w:p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                    202</w:t>
      </w: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</w:rPr>
        <w:t>13</w:t>
      </w:r>
      <w:r>
        <w:rPr>
          <w:rFonts w:eastAsia="仿宋_GB2312"/>
          <w:bCs/>
          <w:sz w:val="32"/>
          <w:szCs w:val="32"/>
        </w:rPr>
        <w:t>日</w:t>
      </w: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40" w:lineRule="exact"/>
        <w:ind w:firstLine="280" w:firstLineChars="10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35" w:y="-23"/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B1A"/>
    <w:multiLevelType w:val="multilevel"/>
    <w:tmpl w:val="55043B1A"/>
    <w:lvl w:ilvl="0" w:tentative="0">
      <w:start w:val="1"/>
      <w:numFmt w:val="japaneseCounting"/>
      <w:lvlText w:val="%1、"/>
      <w:lvlJc w:val="left"/>
      <w:pPr>
        <w:ind w:left="129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E9"/>
    <w:rsid w:val="00052412"/>
    <w:rsid w:val="000650A8"/>
    <w:rsid w:val="00127D41"/>
    <w:rsid w:val="00201584"/>
    <w:rsid w:val="00214C41"/>
    <w:rsid w:val="0038076A"/>
    <w:rsid w:val="00417FCF"/>
    <w:rsid w:val="00445910"/>
    <w:rsid w:val="004616F9"/>
    <w:rsid w:val="00570228"/>
    <w:rsid w:val="00665803"/>
    <w:rsid w:val="00714EB9"/>
    <w:rsid w:val="00755188"/>
    <w:rsid w:val="009248AB"/>
    <w:rsid w:val="00A751E3"/>
    <w:rsid w:val="00B243E9"/>
    <w:rsid w:val="00C923C5"/>
    <w:rsid w:val="00CC4AF7"/>
    <w:rsid w:val="00E15814"/>
    <w:rsid w:val="00E43F5C"/>
    <w:rsid w:val="00EB57EC"/>
    <w:rsid w:val="0D9A49C7"/>
    <w:rsid w:val="10116E4A"/>
    <w:rsid w:val="256571E6"/>
    <w:rsid w:val="55B7404F"/>
    <w:rsid w:val="56842C52"/>
    <w:rsid w:val="5A9B62A8"/>
    <w:rsid w:val="7A2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 2"/>
    <w:basedOn w:val="1"/>
    <w:next w:val="1"/>
    <w:qFormat/>
    <w:uiPriority w:val="0"/>
    <w:pPr>
      <w:ind w:firstLine="420" w:firstLineChars="200"/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2025-03-13T02:35:00Z</dcterms:created>
  <dc:creator>Administrator</dc:creator>
  <cp:lastModifiedBy>Administrator</cp:lastModifiedBy>
  <cp:lastPrinted>2025-03-12T08:22:00Z</cp:lastPrinted>
  <dcterms:modified xsi:type="dcterms:W3CDTF">2025-03-21T08:43:43Z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KSOTemplateDocerSaveRecord">
    <vt:lpwstr>eyJoZGlkIjoiMDYwNDlhOTk4YTVmZWI3MTBhNWNkMjgyYmJmZDExNzMifQ==</vt:lpwstr>
  </property>
  <property fmtid="{D5CDD505-2E9C-101B-9397-08002B2CF9AE}" pid="4" name="ICV">
    <vt:lpwstr>7B2A36F34E9C4547A03F50F7FD4A3449_12</vt:lpwstr>
  </property>
</Properties>
</file>