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石泉县人民政府</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2021年</w:t>
      </w:r>
      <w:r>
        <w:rPr>
          <w:rFonts w:hint="eastAsia" w:ascii="方正小标宋简体" w:hAnsi="方正小标宋简体" w:eastAsia="方正小标宋简体" w:cs="方正小标宋简体"/>
          <w:sz w:val="44"/>
          <w:szCs w:val="44"/>
          <w:lang w:eastAsia="zh-CN"/>
        </w:rPr>
        <w:t>政府</w:t>
      </w:r>
      <w:r>
        <w:rPr>
          <w:rFonts w:hint="eastAsia" w:ascii="方正小标宋简体" w:hAnsi="方正小标宋简体" w:eastAsia="方正小标宋简体" w:cs="方正小标宋简体"/>
          <w:sz w:val="44"/>
          <w:szCs w:val="44"/>
        </w:rPr>
        <w:t>信息公开工作</w:t>
      </w:r>
      <w:r>
        <w:rPr>
          <w:rFonts w:hint="eastAsia" w:ascii="方正小标宋简体" w:hAnsi="方正小标宋简体" w:eastAsia="方正小标宋简体" w:cs="方正小标宋简体"/>
          <w:sz w:val="44"/>
          <w:szCs w:val="44"/>
          <w:lang w:eastAsia="zh-CN"/>
        </w:rPr>
        <w:t>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石泉县人民政府坚持以习近平新时代中国特色社会主义思想为指导，全面贯彻落实党的十九大和十九届历次全会精神，牢记习近平总书记来陕讲话殷切嘱托，紧紧围绕县委、县政府中心工作，以公开为常态、不公开为例外，认真落实党中央、国务院关于政府信息公开工作的决策部署和新修订的《政府信息公开条例》（以下简称新《条例》），不断推进政府信息公开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政府信息主动公开情况</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9"/>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b/>
          <w:bCs/>
          <w:sz w:val="32"/>
          <w:szCs w:val="32"/>
          <w:lang w:val="en-US" w:eastAsia="zh-CN"/>
        </w:rPr>
        <w:t>一是推进重点领域信息公开。</w:t>
      </w:r>
      <w:r>
        <w:rPr>
          <w:rFonts w:hint="eastAsia" w:ascii="仿宋_GB2312" w:hAnsi="仿宋_GB2312" w:eastAsia="仿宋_GB2312" w:cs="仿宋_GB2312"/>
          <w:sz w:val="32"/>
          <w:szCs w:val="32"/>
          <w:lang w:val="en-US" w:eastAsia="zh-CN"/>
        </w:rPr>
        <w:t>聚焦</w:t>
      </w:r>
      <w:r>
        <w:rPr>
          <w:rFonts w:hint="eastAsia" w:ascii="仿宋_GB2312" w:hAnsi="仿宋_GB2312" w:eastAsia="仿宋_GB2312" w:cs="仿宋_GB2312"/>
          <w:i w:val="0"/>
          <w:caps w:val="0"/>
          <w:color w:val="333333"/>
          <w:spacing w:val="0"/>
          <w:sz w:val="32"/>
          <w:szCs w:val="32"/>
          <w:shd w:val="clear" w:color="auto" w:fill="FFFFFF"/>
          <w:lang w:eastAsia="zh-CN"/>
        </w:rPr>
        <w:t>县委、县政府中心工作和公众需求，</w:t>
      </w:r>
      <w:r>
        <w:rPr>
          <w:rFonts w:hint="eastAsia" w:ascii="仿宋_GB2312" w:hAnsi="仿宋_GB2312" w:eastAsia="仿宋_GB2312" w:cs="仿宋_GB2312"/>
          <w:i w:val="0"/>
          <w:caps w:val="0"/>
          <w:color w:val="333333"/>
          <w:spacing w:val="0"/>
          <w:sz w:val="32"/>
          <w:szCs w:val="32"/>
          <w:shd w:val="clear" w:color="auto" w:fill="FFFFFF"/>
        </w:rPr>
        <w:t>持续</w:t>
      </w:r>
      <w:r>
        <w:rPr>
          <w:rFonts w:hint="eastAsia" w:ascii="仿宋_GB2312" w:hAnsi="仿宋_GB2312" w:eastAsia="仿宋_GB2312" w:cs="仿宋_GB2312"/>
          <w:i w:val="0"/>
          <w:caps w:val="0"/>
          <w:color w:val="333333"/>
          <w:spacing w:val="0"/>
          <w:sz w:val="32"/>
          <w:szCs w:val="32"/>
          <w:shd w:val="clear" w:color="auto" w:fill="FFFFFF"/>
          <w:lang w:eastAsia="zh-CN"/>
        </w:rPr>
        <w:t>做好“</w:t>
      </w:r>
      <w:r>
        <w:rPr>
          <w:rFonts w:hint="eastAsia" w:ascii="仿宋_GB2312" w:hAnsi="仿宋_GB2312" w:eastAsia="仿宋_GB2312" w:cs="仿宋_GB2312"/>
          <w:color w:val="auto"/>
          <w:sz w:val="32"/>
          <w:szCs w:val="32"/>
        </w:rPr>
        <w:t>规划计划、财政预决算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三公经费</w:t>
      </w:r>
      <w:r>
        <w:rPr>
          <w:rFonts w:hint="eastAsia" w:ascii="仿宋_GB2312" w:hAnsi="仿宋_GB2312" w:eastAsia="仿宋_GB2312" w:cs="仿宋_GB2312"/>
          <w:color w:val="auto"/>
          <w:sz w:val="32"/>
          <w:szCs w:val="32"/>
          <w:lang w:eastAsia="zh-CN"/>
        </w:rPr>
        <w:t>、疫情防控、创业就业、民生保障、教育医疗、营商环境、</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eastAsia="zh-CN"/>
        </w:rPr>
        <w:t>双减</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eastAsia="zh-CN"/>
        </w:rPr>
        <w:t>政策</w:t>
      </w:r>
      <w:r>
        <w:rPr>
          <w:rFonts w:hint="eastAsia" w:ascii="仿宋_GB2312" w:hAnsi="仿宋_GB2312" w:eastAsia="仿宋_GB2312" w:cs="仿宋_GB2312"/>
          <w:i w:val="0"/>
          <w:caps w:val="0"/>
          <w:color w:val="333333"/>
          <w:spacing w:val="0"/>
          <w:sz w:val="32"/>
          <w:szCs w:val="32"/>
          <w:shd w:val="clear" w:color="auto" w:fill="FFFFFF"/>
          <w:lang w:eastAsia="zh-CN"/>
        </w:rPr>
        <w:t>”等</w:t>
      </w:r>
      <w:r>
        <w:rPr>
          <w:rFonts w:hint="eastAsia" w:ascii="仿宋_GB2312" w:hAnsi="仿宋_GB2312" w:eastAsia="仿宋_GB2312" w:cs="仿宋_GB2312"/>
          <w:i w:val="0"/>
          <w:caps w:val="0"/>
          <w:color w:val="333333"/>
          <w:spacing w:val="0"/>
          <w:sz w:val="32"/>
          <w:szCs w:val="32"/>
          <w:shd w:val="clear" w:color="auto" w:fill="FFFFFF"/>
        </w:rPr>
        <w:t>各类重点领域信息公开</w:t>
      </w:r>
      <w:r>
        <w:rPr>
          <w:rFonts w:hint="eastAsia" w:ascii="仿宋_GB2312" w:hAnsi="仿宋_GB2312" w:eastAsia="仿宋_GB2312" w:cs="仿宋_GB2312"/>
          <w:i w:val="0"/>
          <w:caps w:val="0"/>
          <w:color w:val="333333"/>
          <w:spacing w:val="0"/>
          <w:sz w:val="32"/>
          <w:szCs w:val="32"/>
          <w:shd w:val="clear" w:color="auto" w:fill="FFFFFF"/>
          <w:lang w:eastAsia="zh-CN"/>
        </w:rPr>
        <w:t>及</w:t>
      </w:r>
      <w:r>
        <w:rPr>
          <w:rFonts w:hint="eastAsia" w:ascii="仿宋_GB2312" w:hAnsi="仿宋_GB2312" w:eastAsia="仿宋_GB2312" w:cs="仿宋_GB2312"/>
          <w:i w:val="0"/>
          <w:caps w:val="0"/>
          <w:color w:val="333333"/>
          <w:spacing w:val="0"/>
          <w:sz w:val="32"/>
          <w:szCs w:val="32"/>
          <w:shd w:val="clear" w:color="auto" w:fill="FFFFFF"/>
        </w:rPr>
        <w:t>重大决策、重要文件</w:t>
      </w:r>
      <w:r>
        <w:rPr>
          <w:rFonts w:hint="eastAsia" w:ascii="仿宋_GB2312" w:hAnsi="仿宋_GB2312" w:eastAsia="仿宋_GB2312" w:cs="仿宋_GB2312"/>
          <w:i w:val="0"/>
          <w:caps w:val="0"/>
          <w:color w:val="auto"/>
          <w:spacing w:val="0"/>
          <w:sz w:val="32"/>
          <w:szCs w:val="32"/>
          <w:shd w:val="clear" w:color="auto" w:fill="FFFFFF"/>
          <w:lang w:eastAsia="zh-CN"/>
        </w:rPr>
        <w:t>公开，全面落实</w:t>
      </w:r>
      <w:r>
        <w:rPr>
          <w:rFonts w:hint="eastAsia" w:ascii="仿宋_GB2312" w:hAnsi="仿宋_GB2312" w:eastAsia="仿宋_GB2312" w:cs="仿宋_GB2312"/>
          <w:color w:val="auto"/>
          <w:sz w:val="32"/>
          <w:szCs w:val="32"/>
          <w:lang w:eastAsia="zh-CN"/>
        </w:rPr>
        <w:t>政府信息工作“五公开”要求，</w:t>
      </w:r>
      <w:r>
        <w:rPr>
          <w:rFonts w:hint="eastAsia" w:ascii="仿宋_GB2312" w:hAnsi="仿宋_GB2312" w:eastAsia="仿宋_GB2312" w:cs="仿宋_GB2312"/>
          <w:i w:val="0"/>
          <w:caps w:val="0"/>
          <w:color w:val="auto"/>
          <w:spacing w:val="0"/>
          <w:sz w:val="32"/>
          <w:szCs w:val="32"/>
          <w:shd w:val="clear" w:color="auto" w:fill="FFFFFF"/>
          <w:lang w:eastAsia="zh-CN"/>
        </w:rPr>
        <w:t>以高质量的信息服务助推县域经济社会高质量发展。</w:t>
      </w:r>
      <w:r>
        <w:rPr>
          <w:rFonts w:hint="eastAsia" w:ascii="仿宋_GB2312" w:hAnsi="仿宋_GB2312" w:eastAsia="仿宋_GB2312" w:cs="仿宋_GB2312"/>
          <w:i w:val="0"/>
          <w:caps w:val="0"/>
          <w:color w:val="auto"/>
          <w:spacing w:val="0"/>
          <w:sz w:val="32"/>
          <w:szCs w:val="32"/>
          <w:shd w:val="clear" w:color="auto" w:fill="FFFFFF"/>
          <w:lang w:val="en-US" w:eastAsia="zh-CN"/>
        </w:rPr>
        <w:t>2021年，县政府网站制作发布</w:t>
      </w:r>
      <w:r>
        <w:rPr>
          <w:rFonts w:hint="eastAsia" w:ascii="仿宋_GB2312" w:hAnsi="仿宋_GB2312" w:eastAsia="仿宋_GB2312" w:cs="仿宋_GB2312"/>
          <w:color w:val="auto"/>
          <w:sz w:val="32"/>
          <w:szCs w:val="32"/>
        </w:rPr>
        <w:t>政府信息</w:t>
      </w:r>
      <w:r>
        <w:rPr>
          <w:rFonts w:hint="eastAsia" w:ascii="仿宋_GB2312" w:hAnsi="仿宋_GB2312" w:eastAsia="仿宋_GB2312" w:cs="仿宋_GB2312"/>
          <w:color w:val="auto"/>
          <w:sz w:val="32"/>
          <w:szCs w:val="32"/>
          <w:lang w:val="en-US" w:eastAsia="zh-CN"/>
        </w:rPr>
        <w:t>15902</w:t>
      </w:r>
      <w:r>
        <w:rPr>
          <w:rFonts w:hint="eastAsia" w:ascii="仿宋_GB2312" w:hAnsi="仿宋_GB2312" w:eastAsia="仿宋_GB2312" w:cs="仿宋_GB2312"/>
          <w:color w:val="auto"/>
          <w:sz w:val="32"/>
          <w:szCs w:val="32"/>
        </w:rPr>
        <w:t>条，县政府官方微信“石泉发布”推送信息</w:t>
      </w:r>
      <w:r>
        <w:rPr>
          <w:rFonts w:hint="eastAsia" w:ascii="仿宋_GB2312" w:hAnsi="仿宋_GB2312" w:eastAsia="仿宋_GB2312" w:cs="仿宋_GB2312"/>
          <w:color w:val="auto"/>
          <w:sz w:val="32"/>
          <w:szCs w:val="32"/>
          <w:lang w:val="en-US" w:eastAsia="zh-CN"/>
        </w:rPr>
        <w:t>1311</w:t>
      </w:r>
      <w:r>
        <w:rPr>
          <w:rFonts w:hint="eastAsia" w:ascii="仿宋_GB2312" w:hAnsi="仿宋_GB2312" w:eastAsia="仿宋_GB2312" w:cs="仿宋_GB2312"/>
          <w:color w:val="auto"/>
          <w:sz w:val="32"/>
          <w:szCs w:val="32"/>
        </w:rPr>
        <w:t>条，官方微博“石泉发布”推送信息</w:t>
      </w:r>
      <w:r>
        <w:rPr>
          <w:rFonts w:hint="eastAsia" w:ascii="仿宋_GB2312" w:hAnsi="仿宋_GB2312" w:eastAsia="仿宋_GB2312" w:cs="仿宋_GB2312"/>
          <w:color w:val="auto"/>
          <w:sz w:val="32"/>
          <w:szCs w:val="32"/>
          <w:lang w:val="en-US" w:eastAsia="zh-CN"/>
        </w:rPr>
        <w:t>1499</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val="en-US" w:eastAsia="zh-CN"/>
        </w:rPr>
        <w:t>二是加强政策解读深化信息公开。</w:t>
      </w:r>
      <w:r>
        <w:rPr>
          <w:rFonts w:hint="eastAsia" w:ascii="仿宋_GB2312" w:hAnsi="仿宋_GB2312" w:eastAsia="仿宋_GB2312" w:cs="仿宋_GB2312"/>
          <w:color w:val="auto"/>
          <w:sz w:val="32"/>
          <w:szCs w:val="32"/>
          <w:lang w:val="en-US" w:eastAsia="zh-CN"/>
        </w:rPr>
        <w:t>聚焦群众关切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i w:val="0"/>
          <w:caps w:val="0"/>
          <w:color w:val="auto"/>
          <w:spacing w:val="0"/>
          <w:sz w:val="32"/>
          <w:szCs w:val="32"/>
          <w:shd w:val="clear" w:color="auto" w:fill="FFFFFF"/>
          <w:lang w:eastAsia="zh-CN"/>
        </w:rPr>
        <w:t>切实做好</w:t>
      </w:r>
      <w:r>
        <w:rPr>
          <w:rFonts w:hint="eastAsia" w:ascii="仿宋_GB2312" w:hAnsi="仿宋_GB2312" w:eastAsia="仿宋_GB2312" w:cs="仿宋_GB2312"/>
          <w:i w:val="0"/>
          <w:caps w:val="0"/>
          <w:color w:val="auto"/>
          <w:spacing w:val="0"/>
          <w:sz w:val="32"/>
          <w:szCs w:val="32"/>
          <w:shd w:val="clear" w:color="auto" w:fill="FFFFFF"/>
        </w:rPr>
        <w:t>重大决策、重要文</w:t>
      </w:r>
      <w:r>
        <w:rPr>
          <w:rFonts w:hint="eastAsia" w:ascii="仿宋_GB2312" w:hAnsi="仿宋_GB2312" w:eastAsia="仿宋_GB2312" w:cs="仿宋_GB2312"/>
          <w:i w:val="0"/>
          <w:caps w:val="0"/>
          <w:color w:val="333333"/>
          <w:spacing w:val="0"/>
          <w:sz w:val="32"/>
          <w:szCs w:val="32"/>
          <w:shd w:val="clear" w:color="auto" w:fill="FFFFFF"/>
        </w:rPr>
        <w:t>件的解读工作</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color w:val="1C1C1C"/>
          <w:sz w:val="32"/>
          <w:szCs w:val="32"/>
          <w:lang w:eastAsia="zh-CN"/>
        </w:rPr>
        <w:t>今年以来，</w:t>
      </w:r>
      <w:r>
        <w:rPr>
          <w:rFonts w:hint="eastAsia" w:ascii="仿宋_GB2312" w:hAnsi="仿宋_GB2312" w:eastAsia="仿宋_GB2312" w:cs="仿宋_GB2312"/>
          <w:color w:val="1C1C1C"/>
          <w:sz w:val="32"/>
          <w:szCs w:val="32"/>
        </w:rPr>
        <w:t>政府网站共公开政策解读</w:t>
      </w:r>
      <w:r>
        <w:rPr>
          <w:rFonts w:hint="eastAsia" w:ascii="仿宋_GB2312" w:hAnsi="仿宋_GB2312" w:eastAsia="仿宋_GB2312" w:cs="仿宋_GB2312"/>
          <w:color w:val="1C1C1C"/>
          <w:sz w:val="32"/>
          <w:szCs w:val="32"/>
          <w:lang w:val="en-US" w:eastAsia="zh-CN"/>
        </w:rPr>
        <w:t>54</w:t>
      </w:r>
      <w:r>
        <w:rPr>
          <w:rFonts w:hint="eastAsia" w:ascii="仿宋_GB2312" w:hAnsi="仿宋_GB2312" w:eastAsia="仿宋_GB2312" w:cs="仿宋_GB2312"/>
          <w:color w:val="1C1C1C"/>
          <w:sz w:val="32"/>
          <w:szCs w:val="32"/>
        </w:rPr>
        <w:t>次，其中领导带头解读政策</w:t>
      </w:r>
      <w:r>
        <w:rPr>
          <w:rFonts w:hint="eastAsia" w:ascii="仿宋_GB2312" w:hAnsi="仿宋_GB2312" w:eastAsia="仿宋_GB2312" w:cs="仿宋_GB2312"/>
          <w:color w:val="1C1C1C"/>
          <w:sz w:val="32"/>
          <w:szCs w:val="32"/>
          <w:lang w:val="en-US" w:eastAsia="zh-CN"/>
        </w:rPr>
        <w:t>17</w:t>
      </w:r>
      <w:r>
        <w:rPr>
          <w:rFonts w:hint="eastAsia" w:ascii="仿宋_GB2312" w:hAnsi="仿宋_GB2312" w:eastAsia="仿宋_GB2312" w:cs="仿宋_GB2312"/>
          <w:color w:val="1C1C1C"/>
          <w:sz w:val="32"/>
          <w:szCs w:val="32"/>
        </w:rPr>
        <w:t>次</w:t>
      </w:r>
      <w:r>
        <w:rPr>
          <w:rFonts w:hint="eastAsia" w:ascii="仿宋_GB2312" w:hAnsi="仿宋_GB2312" w:eastAsia="仿宋_GB2312" w:cs="仿宋_GB2312"/>
          <w:color w:val="1C1C1C"/>
          <w:sz w:val="32"/>
          <w:szCs w:val="32"/>
          <w:lang w:eastAsia="zh-CN"/>
        </w:rPr>
        <w:t>，专家解读政策</w:t>
      </w:r>
      <w:r>
        <w:rPr>
          <w:rFonts w:hint="eastAsia" w:ascii="仿宋_GB2312" w:hAnsi="仿宋_GB2312" w:eastAsia="仿宋_GB2312" w:cs="仿宋_GB2312"/>
          <w:color w:val="1C1C1C"/>
          <w:sz w:val="32"/>
          <w:szCs w:val="32"/>
          <w:lang w:val="en-US" w:eastAsia="zh-CN"/>
        </w:rPr>
        <w:t>5次，视频动漫解读政策3次</w:t>
      </w:r>
      <w:r>
        <w:rPr>
          <w:rFonts w:hint="eastAsia" w:ascii="仿宋_GB2312" w:hAnsi="仿宋_GB2312" w:eastAsia="仿宋_GB2312" w:cs="仿宋_GB2312"/>
          <w:color w:val="1C1C1C"/>
          <w:sz w:val="32"/>
          <w:szCs w:val="32"/>
        </w:rPr>
        <w:t>。</w:t>
      </w:r>
      <w:r>
        <w:rPr>
          <w:rFonts w:hint="eastAsia" w:ascii="仿宋_GB2312" w:hAnsi="仿宋_GB2312" w:eastAsia="仿宋_GB2312" w:cs="仿宋_GB2312"/>
          <w:color w:val="1C1C1C"/>
          <w:sz w:val="32"/>
          <w:szCs w:val="32"/>
          <w:lang w:val="en-US" w:eastAsia="zh-CN"/>
        </w:rPr>
        <w:t>努力做到文字解读和图片解读相结合，方便政策宣传和群众理解，有效打通政策落实最后一公里，</w:t>
      </w:r>
      <w:r>
        <w:rPr>
          <w:rFonts w:hint="eastAsia" w:ascii="仿宋_GB2312" w:hAnsi="仿宋_GB2312" w:eastAsia="仿宋_GB2312" w:cs="仿宋_GB2312"/>
          <w:i w:val="0"/>
          <w:caps w:val="0"/>
          <w:color w:val="333333"/>
          <w:spacing w:val="0"/>
          <w:sz w:val="32"/>
          <w:szCs w:val="32"/>
          <w:shd w:val="clear" w:fill="FFFFFF"/>
          <w:lang w:val="en-US" w:eastAsia="zh-CN"/>
        </w:rPr>
        <w:t>使政务公开真正服务于民、便利于民</w:t>
      </w:r>
      <w:r>
        <w:rPr>
          <w:rFonts w:hint="eastAsia" w:ascii="仿宋_GB2312" w:hAnsi="仿宋_GB2312" w:eastAsia="仿宋_GB2312" w:cs="仿宋_GB2312"/>
          <w:color w:val="1C1C1C"/>
          <w:sz w:val="32"/>
          <w:szCs w:val="32"/>
          <w:lang w:val="en-US" w:eastAsia="zh-CN"/>
        </w:rPr>
        <w:t>。</w:t>
      </w:r>
      <w:r>
        <w:rPr>
          <w:rFonts w:hint="eastAsia" w:ascii="仿宋_GB2312" w:hAnsi="仿宋_GB2312" w:eastAsia="仿宋_GB2312" w:cs="仿宋_GB2312"/>
          <w:b/>
          <w:bCs/>
          <w:color w:val="1C1C1C"/>
          <w:spacing w:val="8"/>
          <w:sz w:val="32"/>
          <w:szCs w:val="32"/>
          <w:lang w:val="en-US" w:eastAsia="zh-CN"/>
        </w:rPr>
        <w:t>三是广泛征集民意做好会议公开。</w:t>
      </w:r>
      <w:r>
        <w:rPr>
          <w:rFonts w:hint="eastAsia" w:ascii="仿宋_GB2312" w:hAnsi="仿宋_GB2312" w:eastAsia="仿宋_GB2312" w:cs="仿宋_GB2312"/>
          <w:color w:val="1C1C1C"/>
          <w:spacing w:val="8"/>
          <w:sz w:val="32"/>
          <w:szCs w:val="32"/>
          <w:lang w:val="en-US" w:eastAsia="zh-CN"/>
        </w:rPr>
        <w:t>全</w:t>
      </w:r>
      <w:r>
        <w:rPr>
          <w:rFonts w:hint="eastAsia" w:ascii="仿宋_GB2312" w:hAnsi="仿宋_GB2312" w:eastAsia="仿宋_GB2312" w:cs="仿宋_GB2312"/>
          <w:b w:val="0"/>
          <w:bCs w:val="0"/>
          <w:color w:val="1C1C1C"/>
          <w:spacing w:val="8"/>
          <w:sz w:val="32"/>
          <w:szCs w:val="32"/>
          <w:lang w:val="en-US" w:eastAsia="zh-CN"/>
        </w:rPr>
        <w:t>面公开政府全体会、常务会、专题会等会议决定事项信息，并在相关事项实施前开展民意征集。今年以来，开展民意征集</w:t>
      </w:r>
      <w:r>
        <w:rPr>
          <w:rFonts w:hint="eastAsia" w:ascii="仿宋_GB2312" w:hAnsi="仿宋" w:eastAsia="仿宋_GB2312" w:cs="仿宋"/>
          <w:color w:val="1C1C1C"/>
          <w:sz w:val="32"/>
          <w:szCs w:val="32"/>
        </w:rPr>
        <w:t>2</w:t>
      </w:r>
      <w:r>
        <w:rPr>
          <w:rFonts w:hint="eastAsia" w:ascii="仿宋_GB2312" w:hAnsi="仿宋" w:eastAsia="仿宋_GB2312" w:cs="仿宋"/>
          <w:color w:val="1C1C1C"/>
          <w:sz w:val="32"/>
          <w:szCs w:val="32"/>
          <w:lang w:val="en-US" w:eastAsia="zh-CN"/>
        </w:rPr>
        <w:t>3</w:t>
      </w:r>
      <w:r>
        <w:rPr>
          <w:rFonts w:hint="eastAsia" w:ascii="仿宋_GB2312" w:hAnsi="仿宋" w:eastAsia="仿宋_GB2312" w:cs="仿宋"/>
          <w:color w:val="1C1C1C"/>
          <w:sz w:val="32"/>
          <w:szCs w:val="32"/>
        </w:rPr>
        <w:t>期，开展问卷调查</w:t>
      </w:r>
      <w:r>
        <w:rPr>
          <w:rFonts w:hint="eastAsia" w:ascii="仿宋_GB2312" w:hAnsi="仿宋" w:eastAsia="仿宋_GB2312" w:cs="仿宋"/>
          <w:color w:val="1C1C1C"/>
          <w:sz w:val="32"/>
          <w:szCs w:val="32"/>
          <w:lang w:val="en-US" w:eastAsia="zh-CN"/>
        </w:rPr>
        <w:t>3</w:t>
      </w:r>
      <w:r>
        <w:rPr>
          <w:rFonts w:hint="eastAsia" w:ascii="仿宋_GB2312" w:hAnsi="仿宋" w:eastAsia="仿宋_GB2312" w:cs="仿宋"/>
          <w:color w:val="1C1C1C"/>
          <w:sz w:val="32"/>
          <w:szCs w:val="32"/>
        </w:rPr>
        <w:t>次，</w:t>
      </w:r>
      <w:r>
        <w:rPr>
          <w:rFonts w:hint="eastAsia" w:ascii="仿宋_GB2312" w:hAnsi="仿宋_GB2312" w:eastAsia="仿宋_GB2312" w:cs="仿宋_GB2312"/>
          <w:b w:val="0"/>
          <w:bCs w:val="0"/>
          <w:color w:val="1C1C1C"/>
          <w:spacing w:val="8"/>
          <w:sz w:val="32"/>
          <w:szCs w:val="32"/>
          <w:lang w:val="en-US" w:eastAsia="zh-CN"/>
        </w:rPr>
        <w:t>公开会议信息36次，</w:t>
      </w:r>
      <w:r>
        <w:rPr>
          <w:rFonts w:hint="eastAsia" w:ascii="仿宋_GB2312" w:hAnsi="仿宋" w:eastAsia="仿宋_GB2312" w:cs="仿宋"/>
          <w:color w:val="1C1C1C"/>
          <w:sz w:val="32"/>
          <w:szCs w:val="32"/>
        </w:rPr>
        <w:t>广泛听取公众意见建议，搭建</w:t>
      </w:r>
      <w:r>
        <w:rPr>
          <w:rFonts w:hint="eastAsia" w:ascii="仿宋_GB2312" w:hAnsi="仿宋" w:eastAsia="仿宋_GB2312" w:cs="仿宋"/>
          <w:color w:val="1C1C1C"/>
          <w:sz w:val="32"/>
          <w:szCs w:val="32"/>
          <w:lang w:eastAsia="zh-CN"/>
        </w:rPr>
        <w:t>了</w:t>
      </w:r>
      <w:r>
        <w:rPr>
          <w:rFonts w:hint="eastAsia" w:ascii="仿宋_GB2312" w:hAnsi="仿宋" w:eastAsia="仿宋_GB2312" w:cs="仿宋"/>
          <w:color w:val="1C1C1C"/>
          <w:sz w:val="32"/>
          <w:szCs w:val="32"/>
        </w:rPr>
        <w:t>政府与公众交流的“直通车”</w:t>
      </w:r>
      <w:r>
        <w:rPr>
          <w:rFonts w:hint="eastAsia" w:ascii="仿宋_GB2312" w:hAnsi="仿宋" w:eastAsia="仿宋_GB2312" w:cs="仿宋"/>
          <w:color w:val="1C1C1C"/>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（二）依申请公开</w:t>
      </w:r>
      <w:r>
        <w:rPr>
          <w:rFonts w:hint="eastAsia" w:ascii="楷体_GB2312" w:hAnsi="楷体_GB2312" w:eastAsia="楷体_GB2312" w:cs="楷体_GB2312"/>
          <w:b/>
          <w:bCs/>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576" w:lineRule="exact"/>
        <w:ind w:firstLine="672" w:firstLineChars="200"/>
        <w:textAlignment w:val="auto"/>
        <w:outlineLvl w:val="9"/>
        <w:rPr>
          <w:rFonts w:hint="eastAsia" w:ascii="仿宋_GB2312" w:hAnsi="仿宋_GB2312" w:eastAsia="仿宋_GB2312" w:cs="仿宋_GB2312"/>
          <w:b w:val="0"/>
          <w:bCs w:val="0"/>
          <w:color w:val="1C1C1C"/>
          <w:spacing w:val="8"/>
          <w:sz w:val="32"/>
          <w:szCs w:val="32"/>
          <w:lang w:val="en-US" w:eastAsia="zh-CN"/>
        </w:rPr>
      </w:pPr>
      <w:r>
        <w:rPr>
          <w:rFonts w:hint="eastAsia" w:ascii="仿宋_GB2312" w:hAnsi="仿宋_GB2312" w:eastAsia="仿宋_GB2312" w:cs="仿宋_GB2312"/>
          <w:b w:val="0"/>
          <w:bCs w:val="0"/>
          <w:color w:val="1C1C1C"/>
          <w:spacing w:val="8"/>
          <w:sz w:val="32"/>
          <w:szCs w:val="32"/>
          <w:lang w:val="en-US" w:eastAsia="zh-CN"/>
        </w:rPr>
        <w:t>进一步规范政府信息公开申请办理工作。根据《中华人民共和国政府信息公开条例》及《陕西省政府信息依申请公开答复示范文本》，明确政府信息公开申请制度和流程，规范答复文书格式，不断提升办理质量。</w:t>
      </w:r>
    </w:p>
    <w:p>
      <w:pPr>
        <w:keepNext w:val="0"/>
        <w:keepLines w:val="0"/>
        <w:pageBreakBefore w:val="0"/>
        <w:widowControl w:val="0"/>
        <w:kinsoku/>
        <w:wordWrap/>
        <w:overflowPunct/>
        <w:topLinePunct w:val="0"/>
        <w:autoSpaceDE/>
        <w:autoSpaceDN/>
        <w:bidi w:val="0"/>
        <w:adjustRightInd/>
        <w:snapToGrid/>
        <w:spacing w:line="576" w:lineRule="exact"/>
        <w:ind w:firstLine="672" w:firstLineChars="200"/>
        <w:textAlignment w:val="auto"/>
        <w:outlineLvl w:val="9"/>
        <w:rPr>
          <w:rFonts w:hint="eastAsia" w:ascii="仿宋_GB2312" w:hAnsi="仿宋_GB2312" w:eastAsia="仿宋_GB2312" w:cs="仿宋_GB2312"/>
          <w:b w:val="0"/>
          <w:bCs w:val="0"/>
          <w:color w:val="1C1C1C"/>
          <w:spacing w:val="8"/>
          <w:sz w:val="32"/>
          <w:szCs w:val="32"/>
          <w:lang w:val="en-US" w:eastAsia="zh-CN"/>
        </w:rPr>
      </w:pPr>
      <w:r>
        <w:rPr>
          <w:rFonts w:hint="eastAsia" w:ascii="仿宋_GB2312" w:hAnsi="仿宋_GB2312" w:eastAsia="仿宋_GB2312" w:cs="仿宋_GB2312"/>
          <w:b w:val="0"/>
          <w:bCs w:val="0"/>
          <w:color w:val="1C1C1C"/>
          <w:spacing w:val="8"/>
          <w:sz w:val="32"/>
          <w:szCs w:val="32"/>
          <w:lang w:val="en-US" w:eastAsia="zh-CN"/>
        </w:rPr>
        <w:t xml:space="preserve">2021年，通过政府网站受理依申请公开信息   件，均及时回复依申请信息公开当事人。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政府信息管理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9"/>
        <w:rPr>
          <w:rFonts w:hint="eastAsia" w:ascii="仿宋_GB2312" w:hAnsi="仿宋_GB2312" w:eastAsia="仿宋_GB2312" w:cs="仿宋_GB2312"/>
          <w:b/>
          <w:bCs w:val="0"/>
          <w:i w:val="0"/>
          <w:caps w:val="0"/>
          <w:color w:val="3D3D3D"/>
          <w:spacing w:val="0"/>
          <w:sz w:val="32"/>
          <w:szCs w:val="32"/>
          <w:shd w:val="clear" w:fill="FFFFFF"/>
          <w:lang w:val="en-US" w:eastAsia="zh-CN"/>
        </w:rPr>
      </w:pPr>
      <w:r>
        <w:rPr>
          <w:rFonts w:hint="eastAsia" w:ascii="仿宋_GB2312" w:hAnsi="仿宋_GB2312" w:eastAsia="仿宋_GB2312" w:cs="仿宋_GB2312"/>
          <w:b/>
          <w:bCs w:val="0"/>
          <w:i w:val="0"/>
          <w:caps w:val="0"/>
          <w:color w:val="3D3D3D"/>
          <w:spacing w:val="0"/>
          <w:sz w:val="32"/>
          <w:szCs w:val="32"/>
          <w:shd w:val="clear" w:fill="FFFFFF"/>
          <w:lang w:eastAsia="zh-CN"/>
        </w:rPr>
        <w:t>一是明确文件公开属性。</w:t>
      </w:r>
      <w:r>
        <w:rPr>
          <w:rFonts w:hint="eastAsia" w:ascii="仿宋_GB2312" w:hAnsi="仿宋_GB2312" w:eastAsia="仿宋_GB2312" w:cs="仿宋_GB2312"/>
          <w:b w:val="0"/>
          <w:bCs w:val="0"/>
          <w:color w:val="1C1C1C"/>
          <w:spacing w:val="8"/>
          <w:sz w:val="32"/>
          <w:szCs w:val="32"/>
          <w:lang w:val="en-US" w:eastAsia="zh-CN"/>
        </w:rPr>
        <w:t>根据文件内容，将文件公开属性分为“主动公开”“部分公开”“依申请公开”“不予公开”四类，并随文件同步审批，从源头上解决“公开什么”的问题。</w:t>
      </w:r>
      <w:r>
        <w:rPr>
          <w:rFonts w:hint="eastAsia" w:ascii="仿宋_GB2312" w:hAnsi="仿宋_GB2312" w:eastAsia="仿宋_GB2312" w:cs="仿宋_GB2312"/>
          <w:b/>
          <w:bCs w:val="0"/>
          <w:i w:val="0"/>
          <w:caps w:val="0"/>
          <w:color w:val="3D3D3D"/>
          <w:spacing w:val="0"/>
          <w:sz w:val="32"/>
          <w:szCs w:val="32"/>
          <w:shd w:val="clear" w:fill="FFFFFF"/>
          <w:lang w:val="en-US" w:eastAsia="zh-CN"/>
        </w:rPr>
        <w:t>二是加强政府信息规范管理。</w:t>
      </w:r>
      <w:r>
        <w:rPr>
          <w:rFonts w:hint="eastAsia" w:ascii="仿宋_GB2312" w:hAnsi="仿宋_GB2312" w:eastAsia="仿宋_GB2312" w:cs="仿宋_GB2312"/>
          <w:b w:val="0"/>
          <w:bCs w:val="0"/>
          <w:color w:val="1C1C1C"/>
          <w:spacing w:val="8"/>
          <w:sz w:val="32"/>
          <w:szCs w:val="32"/>
          <w:lang w:val="en-US" w:eastAsia="zh-CN"/>
        </w:rPr>
        <w:t>严格执行保密审查和信息发布审核制度，落实政府信息动态调整机制。规范做好行政规范性文件起草制定和备案审查工作，定期对政府信息进行清理规范，并公开清理结果。</w:t>
      </w:r>
      <w:r>
        <w:rPr>
          <w:rFonts w:hint="eastAsia" w:ascii="仿宋_GB2312" w:hAnsi="仿宋_GB2312" w:eastAsia="仿宋_GB2312" w:cs="仿宋_GB2312"/>
          <w:b/>
          <w:bCs w:val="0"/>
          <w:i w:val="0"/>
          <w:caps w:val="0"/>
          <w:color w:val="3D3D3D"/>
          <w:spacing w:val="0"/>
          <w:sz w:val="32"/>
          <w:szCs w:val="32"/>
          <w:shd w:val="clear" w:fill="FFFFFF"/>
          <w:lang w:val="en-US" w:eastAsia="zh-CN"/>
        </w:rPr>
        <w:t>三是持续推进基层政务公开标准化规范化建设。</w:t>
      </w:r>
      <w:r>
        <w:rPr>
          <w:rFonts w:hint="eastAsia" w:ascii="仿宋_GB2312" w:hAnsi="仿宋_GB2312" w:eastAsia="仿宋_GB2312" w:cs="仿宋_GB2312"/>
          <w:sz w:val="32"/>
          <w:szCs w:val="32"/>
          <w:lang w:val="en-US" w:eastAsia="zh-CN"/>
        </w:rPr>
        <w:t>编制涉及17个部门26个领域和各镇基层政务公开事项标准目录并督促做好相关信息更新。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（四）平台建设情况</w:t>
      </w:r>
    </w:p>
    <w:p>
      <w:pPr>
        <w:spacing w:line="576" w:lineRule="exact"/>
        <w:ind w:firstLine="643" w:firstLineChars="200"/>
        <w:rPr>
          <w:rFonts w:hint="eastAsia" w:ascii="楷体_GB2312" w:hAnsi="楷体_GB2312" w:eastAsia="楷体_GB2312" w:cs="楷体_GB2312"/>
          <w:b/>
          <w:bCs/>
          <w:sz w:val="32"/>
          <w:szCs w:val="32"/>
        </w:rPr>
      </w:pPr>
      <w:r>
        <w:rPr>
          <w:rFonts w:hint="eastAsia" w:ascii="仿宋_GB2312" w:hAnsi="仿宋_GB2312" w:eastAsia="仿宋_GB2312" w:cs="仿宋_GB2312"/>
          <w:b/>
          <w:bCs/>
          <w:color w:val="333333"/>
          <w:sz w:val="32"/>
          <w:szCs w:val="32"/>
          <w:lang w:eastAsia="zh-CN"/>
        </w:rPr>
        <w:t>一是提升网站服务能力。</w:t>
      </w:r>
      <w:r>
        <w:rPr>
          <w:rFonts w:hint="eastAsia" w:ascii="仿宋_GB2312" w:hAnsi="仿宋_GB2312" w:eastAsia="仿宋_GB2312" w:cs="仿宋_GB2312"/>
          <w:sz w:val="32"/>
          <w:szCs w:val="32"/>
          <w:lang w:val="en-US" w:eastAsia="zh-CN"/>
        </w:rPr>
        <w:t>在政府网站增加“智能机器人”和“无障碍浏览”功能，</w:t>
      </w:r>
      <w:r>
        <w:rPr>
          <w:rFonts w:hint="eastAsia" w:ascii="仿宋_GB2312" w:hAnsi="仿宋_GB2312" w:eastAsia="仿宋_GB2312" w:cs="仿宋_GB2312"/>
          <w:color w:val="333333"/>
          <w:sz w:val="32"/>
          <w:szCs w:val="32"/>
          <w:lang w:eastAsia="zh-CN"/>
        </w:rPr>
        <w:t>开设统一的在线办事入口，</w:t>
      </w:r>
      <w:r>
        <w:rPr>
          <w:rFonts w:hint="eastAsia" w:ascii="仿宋_GB2312" w:hAnsi="仿宋_GB2312" w:eastAsia="仿宋_GB2312" w:cs="仿宋_GB2312"/>
          <w:sz w:val="32"/>
          <w:szCs w:val="32"/>
          <w:lang w:val="en-US" w:eastAsia="zh-CN"/>
        </w:rPr>
        <w:t>提升政府网站服务群众的能力；</w:t>
      </w:r>
      <w:r>
        <w:rPr>
          <w:rFonts w:hint="eastAsia" w:ascii="仿宋_GB2312" w:hAnsi="仿宋_GB2312" w:eastAsia="仿宋_GB2312" w:cs="仿宋_GB2312"/>
          <w:b/>
          <w:bCs/>
          <w:color w:val="333333"/>
          <w:sz w:val="32"/>
          <w:szCs w:val="32"/>
          <w:lang w:val="en-US" w:eastAsia="zh-CN"/>
        </w:rPr>
        <w:t>二是规范网站栏目设置。</w:t>
      </w:r>
      <w:r>
        <w:rPr>
          <w:rFonts w:hint="eastAsia" w:ascii="仿宋_GB2312" w:hAnsi="仿宋_GB2312" w:eastAsia="仿宋_GB2312" w:cs="仿宋_GB2312"/>
          <w:color w:val="333333"/>
          <w:sz w:val="32"/>
          <w:szCs w:val="32"/>
          <w:lang w:val="en-US" w:eastAsia="zh-CN"/>
        </w:rPr>
        <w:t>发挥</w:t>
      </w:r>
      <w:r>
        <w:rPr>
          <w:rFonts w:hint="eastAsia" w:ascii="仿宋_GB2312" w:hAnsi="仿宋_GB2312" w:eastAsia="仿宋_GB2312" w:cs="仿宋_GB2312"/>
          <w:color w:val="333333"/>
          <w:sz w:val="32"/>
          <w:szCs w:val="32"/>
          <w:lang w:eastAsia="zh-CN"/>
        </w:rPr>
        <w:t>政府网站作为政务公开第一平台功能，</w:t>
      </w:r>
      <w:r>
        <w:rPr>
          <w:rFonts w:hint="eastAsia" w:ascii="仿宋_GB2312" w:hAnsi="仿宋_GB2312" w:eastAsia="仿宋_GB2312" w:cs="仿宋_GB2312"/>
          <w:sz w:val="32"/>
          <w:szCs w:val="32"/>
          <w:lang w:val="en-US" w:eastAsia="zh-CN"/>
        </w:rPr>
        <w:t>围绕县委、县政府中心工作和阶段性重点工作，及时调整、整合公开目录，开</w:t>
      </w:r>
      <w:r>
        <w:rPr>
          <w:rFonts w:hint="eastAsia" w:ascii="仿宋_GB2312" w:hAnsi="仿宋_GB2312" w:eastAsia="仿宋_GB2312" w:cs="仿宋_GB2312"/>
          <w:color w:val="333333"/>
          <w:sz w:val="32"/>
          <w:szCs w:val="32"/>
          <w:lang w:eastAsia="zh-CN"/>
        </w:rPr>
        <w:t>设专题专栏，及时主动公开、公示政府信息，为群众提供高效便捷的服务。</w:t>
      </w:r>
      <w:r>
        <w:rPr>
          <w:rFonts w:hint="eastAsia" w:ascii="仿宋_GB2312" w:hAnsi="仿宋_GB2312" w:eastAsia="仿宋_GB2312" w:cs="仿宋_GB2312"/>
          <w:b/>
          <w:bCs/>
          <w:color w:val="333333"/>
          <w:sz w:val="32"/>
          <w:szCs w:val="32"/>
          <w:lang w:eastAsia="zh-CN"/>
        </w:rPr>
        <w:t>三是拓展信息公开渠道。</w:t>
      </w:r>
      <w:r>
        <w:rPr>
          <w:rFonts w:hint="eastAsia" w:ascii="仿宋_GB2312" w:hAnsi="仿宋_GB2312" w:eastAsia="仿宋_GB2312" w:cs="仿宋_GB2312"/>
          <w:color w:val="333333"/>
          <w:sz w:val="32"/>
          <w:szCs w:val="32"/>
        </w:rPr>
        <w:t>做好政务公开窗口建设，</w:t>
      </w:r>
      <w:r>
        <w:rPr>
          <w:rFonts w:hint="eastAsia" w:ascii="仿宋_GB2312" w:hAnsi="仿宋_GB2312" w:eastAsia="仿宋_GB2312" w:cs="仿宋_GB2312"/>
          <w:color w:val="333333"/>
          <w:sz w:val="32"/>
          <w:szCs w:val="32"/>
          <w:lang w:eastAsia="zh-CN"/>
        </w:rPr>
        <w:t>全面提升公开效果，在</w:t>
      </w:r>
      <w:r>
        <w:rPr>
          <w:rFonts w:hint="eastAsia" w:ascii="仿宋_GB2312" w:hAnsi="仿宋_GB2312" w:eastAsia="仿宋_GB2312" w:cs="仿宋_GB2312"/>
          <w:color w:val="333333"/>
          <w:sz w:val="32"/>
          <w:szCs w:val="32"/>
        </w:rPr>
        <w:t>县政务服务中心、</w:t>
      </w:r>
      <w:r>
        <w:rPr>
          <w:rFonts w:hint="eastAsia" w:ascii="仿宋_GB2312" w:hAnsi="仿宋_GB2312" w:eastAsia="仿宋_GB2312" w:cs="仿宋_GB2312"/>
          <w:color w:val="333333"/>
          <w:sz w:val="32"/>
          <w:szCs w:val="32"/>
          <w:lang w:eastAsia="zh-CN"/>
        </w:rPr>
        <w:t>县</w:t>
      </w:r>
      <w:r>
        <w:rPr>
          <w:rFonts w:hint="eastAsia" w:ascii="仿宋_GB2312" w:hAnsi="仿宋_GB2312" w:eastAsia="仿宋_GB2312" w:cs="仿宋_GB2312"/>
          <w:color w:val="333333"/>
          <w:sz w:val="32"/>
          <w:szCs w:val="32"/>
        </w:rPr>
        <w:t>图书馆</w:t>
      </w:r>
      <w:r>
        <w:rPr>
          <w:rFonts w:hint="eastAsia" w:ascii="仿宋_GB2312" w:hAnsi="仿宋_GB2312" w:eastAsia="仿宋_GB2312" w:cs="仿宋_GB2312"/>
          <w:color w:val="333333"/>
          <w:sz w:val="32"/>
          <w:szCs w:val="32"/>
          <w:lang w:eastAsia="zh-CN"/>
        </w:rPr>
        <w:t>、县档案史志馆</w:t>
      </w:r>
      <w:r>
        <w:rPr>
          <w:rFonts w:hint="eastAsia" w:ascii="仿宋_GB2312" w:hAnsi="仿宋_GB2312" w:eastAsia="仿宋_GB2312" w:cs="仿宋_GB2312"/>
          <w:color w:val="333333"/>
          <w:sz w:val="32"/>
          <w:szCs w:val="32"/>
        </w:rPr>
        <w:t>等场所设立标识清楚、方便实用的政务公开专区</w:t>
      </w:r>
      <w:r>
        <w:rPr>
          <w:rFonts w:hint="eastAsia" w:ascii="仿宋_GB2312" w:hAnsi="仿宋_GB2312" w:eastAsia="仿宋_GB2312" w:cs="仿宋_GB2312"/>
          <w:color w:val="333333"/>
          <w:sz w:val="32"/>
          <w:szCs w:val="32"/>
          <w:lang w:eastAsia="zh-CN"/>
        </w:rPr>
        <w:t>和线下查阅点</w:t>
      </w:r>
      <w:r>
        <w:rPr>
          <w:rFonts w:hint="eastAsia" w:ascii="仿宋_GB2312" w:hAnsi="仿宋_GB2312" w:eastAsia="仿宋_GB2312" w:cs="仿宋_GB2312"/>
          <w:color w:val="333333"/>
          <w:sz w:val="32"/>
          <w:szCs w:val="32"/>
        </w:rPr>
        <w:t>，提供政府信息查询、办事咨询答复等服务，不断</w:t>
      </w:r>
      <w:r>
        <w:rPr>
          <w:rFonts w:hint="eastAsia" w:ascii="仿宋_GB2312" w:hAnsi="仿宋_GB2312" w:eastAsia="仿宋_GB2312" w:cs="仿宋_GB2312"/>
          <w:color w:val="333333"/>
          <w:sz w:val="32"/>
          <w:szCs w:val="32"/>
          <w:lang w:eastAsia="zh-CN"/>
        </w:rPr>
        <w:t>拓展信息公开渠道，</w:t>
      </w:r>
      <w:r>
        <w:rPr>
          <w:rFonts w:hint="eastAsia" w:ascii="仿宋_GB2312" w:hAnsi="仿宋_GB2312" w:eastAsia="仿宋_GB2312" w:cs="仿宋_GB2312"/>
          <w:color w:val="333333"/>
          <w:sz w:val="32"/>
          <w:szCs w:val="32"/>
        </w:rPr>
        <w:t>扩大公开的广度和深度</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依法保障群众知情权、参与权、表达权、监督权。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（五）监督保障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outlineLvl w:val="9"/>
        <w:rPr>
          <w:rFonts w:hint="eastAsia" w:ascii="仿宋_GB2312" w:hAnsi="仿宋_GB2312" w:eastAsia="仿宋_GB2312" w:cs="仿宋_GB2312"/>
          <w:i w:val="0"/>
          <w:caps w:val="0"/>
          <w:color w:val="333333"/>
          <w:spacing w:val="0"/>
          <w:sz w:val="32"/>
          <w:szCs w:val="32"/>
          <w:shd w:val="clear" w:color="auto" w:fill="FFFFFF"/>
          <w:lang w:eastAsia="zh-CN"/>
        </w:rPr>
      </w:pPr>
      <w:r>
        <w:rPr>
          <w:rFonts w:hint="eastAsia" w:ascii="仿宋_GB2312" w:hAnsi="仿宋_GB2312" w:eastAsia="仿宋_GB2312" w:cs="仿宋_GB2312"/>
          <w:b/>
          <w:bCs/>
          <w:color w:val="1C1C1C"/>
          <w:sz w:val="32"/>
          <w:szCs w:val="32"/>
          <w:lang w:eastAsia="zh-CN"/>
        </w:rPr>
        <w:t>一是加强考核评估。</w:t>
      </w:r>
      <w:r>
        <w:rPr>
          <w:rFonts w:hint="eastAsia" w:ascii="仿宋_GB2312" w:hAnsi="仿宋" w:eastAsia="仿宋_GB2312" w:cs="仿宋"/>
          <w:color w:val="1C1C1C"/>
          <w:sz w:val="32"/>
          <w:szCs w:val="32"/>
        </w:rPr>
        <w:t>将政府信息公开纳入绩效考核，</w:t>
      </w:r>
      <w:r>
        <w:rPr>
          <w:rFonts w:hint="eastAsia" w:ascii="仿宋_GB2312" w:hAnsi="仿宋_GB2312" w:eastAsia="仿宋_GB2312" w:cs="仿宋_GB2312"/>
          <w:sz w:val="32"/>
          <w:szCs w:val="32"/>
          <w:lang w:val="en-US" w:eastAsia="zh-CN"/>
        </w:rPr>
        <w:t>制定《石泉县2021年政务公开工作考核实施方案》并明确考核指标，</w:t>
      </w:r>
      <w:r>
        <w:rPr>
          <w:rFonts w:hint="eastAsia" w:ascii="仿宋_GB2312" w:hAnsi="仿宋" w:eastAsia="仿宋_GB2312" w:cs="仿宋"/>
          <w:color w:val="1C1C1C"/>
          <w:sz w:val="32"/>
          <w:szCs w:val="32"/>
        </w:rPr>
        <w:t>通过考核排名强化对各级各部门的监督激励，引导各级各部门</w:t>
      </w:r>
      <w:r>
        <w:rPr>
          <w:rFonts w:hint="eastAsia" w:ascii="仿宋_GB2312" w:hAnsi="仿宋" w:eastAsia="仿宋_GB2312" w:cs="仿宋"/>
          <w:color w:val="1C1C1C"/>
          <w:sz w:val="32"/>
          <w:szCs w:val="32"/>
          <w:lang w:eastAsia="zh-CN"/>
        </w:rPr>
        <w:t>提高对</w:t>
      </w:r>
      <w:r>
        <w:rPr>
          <w:rFonts w:hint="eastAsia" w:ascii="仿宋_GB2312" w:hAnsi="仿宋" w:eastAsia="仿宋_GB2312" w:cs="仿宋"/>
          <w:color w:val="1C1C1C"/>
          <w:sz w:val="32"/>
          <w:szCs w:val="32"/>
        </w:rPr>
        <w:t>政府信息公开工作</w:t>
      </w:r>
      <w:r>
        <w:rPr>
          <w:rFonts w:hint="eastAsia" w:ascii="仿宋_GB2312" w:hAnsi="仿宋" w:eastAsia="仿宋_GB2312" w:cs="仿宋"/>
          <w:color w:val="1C1C1C"/>
          <w:sz w:val="32"/>
          <w:szCs w:val="32"/>
          <w:lang w:eastAsia="zh-CN"/>
        </w:rPr>
        <w:t>的</w:t>
      </w:r>
      <w:r>
        <w:rPr>
          <w:rFonts w:hint="eastAsia" w:ascii="仿宋_GB2312" w:hAnsi="仿宋" w:eastAsia="仿宋_GB2312" w:cs="仿宋"/>
          <w:color w:val="1C1C1C"/>
          <w:sz w:val="32"/>
          <w:szCs w:val="32"/>
        </w:rPr>
        <w:t>重视</w:t>
      </w:r>
      <w:r>
        <w:rPr>
          <w:rFonts w:hint="eastAsia" w:ascii="仿宋_GB2312" w:hAnsi="仿宋" w:eastAsia="仿宋_GB2312" w:cs="仿宋"/>
          <w:color w:val="1C1C1C"/>
          <w:sz w:val="32"/>
          <w:szCs w:val="32"/>
          <w:lang w:eastAsia="zh-CN"/>
        </w:rPr>
        <w:t>程度，并强化</w:t>
      </w:r>
      <w:r>
        <w:rPr>
          <w:rFonts w:hint="eastAsia" w:ascii="仿宋_GB2312" w:hAnsi="仿宋" w:eastAsia="仿宋_GB2312" w:cs="仿宋"/>
          <w:color w:val="1C1C1C"/>
          <w:sz w:val="32"/>
          <w:szCs w:val="32"/>
        </w:rPr>
        <w:t>落实。</w:t>
      </w:r>
      <w:r>
        <w:rPr>
          <w:rFonts w:hint="eastAsia" w:ascii="仿宋_GB2312" w:hAnsi="仿宋_GB2312" w:eastAsia="仿宋_GB2312" w:cs="仿宋_GB2312"/>
          <w:b/>
          <w:bCs/>
          <w:color w:val="1C1C1C"/>
          <w:sz w:val="32"/>
          <w:szCs w:val="32"/>
          <w:lang w:eastAsia="zh-CN"/>
        </w:rPr>
        <w:t>二是</w:t>
      </w:r>
      <w:r>
        <w:rPr>
          <w:rFonts w:hint="eastAsia" w:ascii="仿宋_GB2312" w:hAnsi="仿宋_GB2312" w:eastAsia="仿宋_GB2312" w:cs="仿宋_GB2312"/>
          <w:b/>
          <w:bCs/>
          <w:color w:val="1C1C1C"/>
          <w:sz w:val="32"/>
          <w:szCs w:val="32"/>
        </w:rPr>
        <w:t>加强督导检查。</w:t>
      </w:r>
      <w:r>
        <w:rPr>
          <w:rFonts w:hint="eastAsia" w:ascii="仿宋_GB2312" w:hAnsi="仿宋_GB2312" w:eastAsia="仿宋_GB2312" w:cs="仿宋_GB2312"/>
          <w:i w:val="0"/>
          <w:caps w:val="0"/>
          <w:color w:val="333333"/>
          <w:spacing w:val="0"/>
          <w:sz w:val="32"/>
          <w:szCs w:val="32"/>
          <w:shd w:val="clear" w:color="auto" w:fill="FFFFFF"/>
          <w:lang w:eastAsia="zh-CN"/>
        </w:rPr>
        <w:t>坚持政府信息更新“月检查、季通报”和政务新媒体更新“周检查、周通报”制度，</w:t>
      </w:r>
      <w:r>
        <w:rPr>
          <w:rFonts w:hint="eastAsia" w:ascii="仿宋_GB2312" w:hAnsi="仿宋_GB2312" w:eastAsia="仿宋_GB2312" w:cs="仿宋_GB2312"/>
          <w:i w:val="0"/>
          <w:caps w:val="0"/>
          <w:color w:val="333333"/>
          <w:spacing w:val="0"/>
          <w:sz w:val="32"/>
          <w:szCs w:val="32"/>
          <w:shd w:val="clear" w:color="auto" w:fill="FFFFFF"/>
          <w:lang w:val="en-US" w:eastAsia="zh-CN"/>
        </w:rPr>
        <w:t>跟踪督导</w:t>
      </w:r>
      <w:r>
        <w:rPr>
          <w:rFonts w:hint="eastAsia" w:ascii="仿宋_GB2312" w:hAnsi="仿宋_GB2312" w:eastAsia="仿宋_GB2312" w:cs="仿宋_GB2312"/>
          <w:i w:val="0"/>
          <w:caps w:val="0"/>
          <w:color w:val="333333"/>
          <w:spacing w:val="0"/>
          <w:sz w:val="32"/>
          <w:szCs w:val="32"/>
          <w:shd w:val="clear" w:color="auto" w:fill="FFFFFF"/>
          <w:lang w:eastAsia="zh-CN"/>
        </w:rPr>
        <w:t>存在问题整改。</w:t>
      </w:r>
      <w:r>
        <w:rPr>
          <w:rFonts w:hint="eastAsia" w:ascii="仿宋_GB2312" w:hAnsi="仿宋_GB2312" w:eastAsia="仿宋_GB2312" w:cs="仿宋_GB2312"/>
          <w:color w:val="1C1C1C"/>
          <w:sz w:val="32"/>
          <w:szCs w:val="32"/>
          <w:lang w:val="en-US" w:eastAsia="zh-CN"/>
        </w:rPr>
        <w:t>今年以来，累计</w:t>
      </w:r>
      <w:r>
        <w:rPr>
          <w:rFonts w:hint="eastAsia" w:ascii="仿宋_GB2312" w:hAnsi="仿宋_GB2312" w:eastAsia="仿宋_GB2312" w:cs="仿宋_GB2312"/>
          <w:color w:val="1C1C1C"/>
          <w:sz w:val="32"/>
          <w:szCs w:val="32"/>
        </w:rPr>
        <w:t>开展网站自查和政务公开</w:t>
      </w:r>
      <w:r>
        <w:rPr>
          <w:rFonts w:hint="eastAsia" w:ascii="仿宋_GB2312" w:hAnsi="仿宋_GB2312" w:eastAsia="仿宋_GB2312" w:cs="仿宋_GB2312"/>
          <w:color w:val="1C1C1C"/>
          <w:sz w:val="32"/>
          <w:szCs w:val="32"/>
          <w:lang w:eastAsia="zh-CN"/>
        </w:rPr>
        <w:t>专项</w:t>
      </w:r>
      <w:r>
        <w:rPr>
          <w:rFonts w:hint="eastAsia" w:ascii="仿宋_GB2312" w:hAnsi="仿宋_GB2312" w:eastAsia="仿宋_GB2312" w:cs="仿宋_GB2312"/>
          <w:color w:val="1C1C1C"/>
          <w:sz w:val="32"/>
          <w:szCs w:val="32"/>
        </w:rPr>
        <w:t>检查</w:t>
      </w:r>
      <w:r>
        <w:rPr>
          <w:rFonts w:hint="eastAsia" w:ascii="仿宋_GB2312" w:hAnsi="仿宋_GB2312" w:eastAsia="仿宋_GB2312" w:cs="仿宋_GB2312"/>
          <w:color w:val="1C1C1C"/>
          <w:sz w:val="32"/>
          <w:szCs w:val="32"/>
          <w:lang w:val="en-US" w:eastAsia="zh-CN"/>
        </w:rPr>
        <w:t>50余次，交办整改事项18件，</w:t>
      </w:r>
      <w:r>
        <w:rPr>
          <w:rFonts w:hint="eastAsia" w:ascii="仿宋_GB2312" w:hAnsi="仿宋_GB2312" w:eastAsia="仿宋_GB2312" w:cs="仿宋_GB2312"/>
          <w:color w:val="1C1C1C"/>
          <w:sz w:val="32"/>
          <w:szCs w:val="32"/>
          <w:lang w:eastAsia="zh-CN"/>
        </w:rPr>
        <w:t>发布各类工作</w:t>
      </w:r>
      <w:r>
        <w:rPr>
          <w:rFonts w:hint="eastAsia" w:ascii="仿宋_GB2312" w:hAnsi="仿宋_GB2312" w:eastAsia="仿宋_GB2312" w:cs="仿宋_GB2312"/>
          <w:color w:val="1C1C1C"/>
          <w:sz w:val="32"/>
          <w:szCs w:val="32"/>
        </w:rPr>
        <w:t>通报1</w:t>
      </w:r>
      <w:r>
        <w:rPr>
          <w:rFonts w:hint="eastAsia" w:ascii="仿宋_GB2312" w:hAnsi="仿宋_GB2312" w:eastAsia="仿宋_GB2312" w:cs="仿宋_GB2312"/>
          <w:color w:val="1C1C1C"/>
          <w:sz w:val="32"/>
          <w:szCs w:val="32"/>
          <w:lang w:val="en-US" w:eastAsia="zh-CN"/>
        </w:rPr>
        <w:t>4</w:t>
      </w:r>
      <w:r>
        <w:rPr>
          <w:rFonts w:hint="eastAsia" w:ascii="仿宋_GB2312" w:hAnsi="仿宋_GB2312" w:eastAsia="仿宋_GB2312" w:cs="仿宋_GB2312"/>
          <w:color w:val="1C1C1C"/>
          <w:sz w:val="32"/>
          <w:szCs w:val="32"/>
          <w:lang w:eastAsia="zh-CN"/>
        </w:rPr>
        <w:t>期</w:t>
      </w:r>
      <w:r>
        <w:rPr>
          <w:rFonts w:hint="eastAsia" w:ascii="仿宋_GB2312" w:hAnsi="仿宋_GB2312" w:eastAsia="仿宋_GB2312" w:cs="仿宋_GB2312"/>
          <w:color w:val="1C1C1C"/>
          <w:sz w:val="32"/>
          <w:szCs w:val="32"/>
        </w:rPr>
        <w:t>，新媒体</w:t>
      </w:r>
      <w:r>
        <w:rPr>
          <w:rFonts w:hint="eastAsia" w:ascii="仿宋_GB2312" w:hAnsi="仿宋_GB2312" w:eastAsia="仿宋_GB2312" w:cs="仿宋_GB2312"/>
          <w:color w:val="1C1C1C"/>
          <w:sz w:val="32"/>
          <w:szCs w:val="32"/>
          <w:lang w:eastAsia="zh-CN"/>
        </w:rPr>
        <w:t>更新情况</w:t>
      </w:r>
      <w:r>
        <w:rPr>
          <w:rFonts w:hint="eastAsia" w:ascii="仿宋_GB2312" w:hAnsi="仿宋_GB2312" w:eastAsia="仿宋_GB2312" w:cs="仿宋_GB2312"/>
          <w:color w:val="1C1C1C"/>
          <w:sz w:val="32"/>
          <w:szCs w:val="32"/>
        </w:rPr>
        <w:t>通报4</w:t>
      </w:r>
      <w:r>
        <w:rPr>
          <w:rFonts w:hint="eastAsia" w:ascii="仿宋_GB2312" w:hAnsi="仿宋_GB2312" w:eastAsia="仿宋_GB2312" w:cs="仿宋_GB2312"/>
          <w:color w:val="1C1C1C"/>
          <w:sz w:val="32"/>
          <w:szCs w:val="32"/>
          <w:lang w:val="en-US" w:eastAsia="zh-CN"/>
        </w:rPr>
        <w:t>9</w:t>
      </w:r>
      <w:r>
        <w:rPr>
          <w:rFonts w:hint="eastAsia" w:ascii="仿宋_GB2312" w:hAnsi="仿宋_GB2312" w:eastAsia="仿宋_GB2312" w:cs="仿宋_GB2312"/>
          <w:color w:val="1C1C1C"/>
          <w:sz w:val="32"/>
          <w:szCs w:val="32"/>
          <w:lang w:eastAsia="zh-CN"/>
        </w:rPr>
        <w:t>期。</w:t>
      </w:r>
      <w:r>
        <w:rPr>
          <w:rFonts w:hint="eastAsia" w:ascii="仿宋_GB2312" w:hAnsi="仿宋_GB2312" w:eastAsia="仿宋_GB2312" w:cs="仿宋_GB2312"/>
          <w:b/>
          <w:bCs/>
          <w:color w:val="1C1C1C"/>
          <w:sz w:val="32"/>
          <w:szCs w:val="32"/>
          <w:lang w:eastAsia="zh-CN"/>
        </w:rPr>
        <w:t>三是加强业务培训。</w:t>
      </w:r>
      <w:r>
        <w:rPr>
          <w:rFonts w:hint="eastAsia" w:ascii="仿宋_GB2312" w:hAnsi="仿宋_GB2312" w:eastAsia="仿宋_GB2312" w:cs="仿宋_GB2312"/>
          <w:i w:val="0"/>
          <w:caps w:val="0"/>
          <w:color w:val="333333"/>
          <w:spacing w:val="0"/>
          <w:sz w:val="32"/>
          <w:szCs w:val="32"/>
          <w:shd w:val="clear" w:fill="FFFFFF"/>
          <w:lang w:val="en-US" w:eastAsia="zh-CN"/>
        </w:rPr>
        <w:t>针对基层政务公开工作人员更换频繁、业务技能不强的情况，</w:t>
      </w:r>
      <w:r>
        <w:rPr>
          <w:rFonts w:hint="eastAsia" w:ascii="仿宋_GB2312" w:hAnsi="仿宋_GB2312" w:eastAsia="仿宋_GB2312" w:cs="仿宋_GB2312"/>
          <w:i w:val="0"/>
          <w:caps w:val="0"/>
          <w:color w:val="333333"/>
          <w:spacing w:val="0"/>
          <w:sz w:val="32"/>
          <w:szCs w:val="32"/>
          <w:shd w:val="clear" w:color="auto" w:fill="FFFFFF"/>
          <w:lang w:eastAsia="zh-CN"/>
        </w:rPr>
        <w:t>组织开展全县政府信息公开工作培训会</w:t>
      </w:r>
      <w:r>
        <w:rPr>
          <w:rFonts w:hint="eastAsia" w:ascii="仿宋_GB2312" w:hAnsi="仿宋_GB2312" w:eastAsia="仿宋_GB2312" w:cs="仿宋_GB2312"/>
          <w:i w:val="0"/>
          <w:caps w:val="0"/>
          <w:color w:val="333333"/>
          <w:spacing w:val="0"/>
          <w:sz w:val="32"/>
          <w:szCs w:val="32"/>
          <w:shd w:val="clear" w:color="auto" w:fill="FFFFFF"/>
          <w:lang w:val="en-US" w:eastAsia="zh-CN"/>
        </w:rPr>
        <w:t>3次</w:t>
      </w:r>
      <w:r>
        <w:rPr>
          <w:rFonts w:hint="eastAsia" w:ascii="仿宋_GB2312" w:hAnsi="仿宋_GB2312" w:eastAsia="仿宋_GB2312" w:cs="仿宋_GB2312"/>
          <w:i w:val="0"/>
          <w:caps w:val="0"/>
          <w:color w:val="333333"/>
          <w:spacing w:val="0"/>
          <w:sz w:val="32"/>
          <w:szCs w:val="32"/>
          <w:shd w:val="clear" w:color="auto" w:fill="FFFFFF"/>
          <w:lang w:eastAsia="zh-CN"/>
        </w:rPr>
        <w:t>，对各镇、县级有关部门进行集中培训，累计培训</w:t>
      </w:r>
      <w:r>
        <w:rPr>
          <w:rFonts w:hint="eastAsia" w:ascii="仿宋_GB2312" w:hAnsi="仿宋_GB2312" w:eastAsia="仿宋_GB2312" w:cs="仿宋_GB2312"/>
          <w:i w:val="0"/>
          <w:caps w:val="0"/>
          <w:color w:val="333333"/>
          <w:spacing w:val="0"/>
          <w:sz w:val="32"/>
          <w:szCs w:val="32"/>
          <w:shd w:val="clear" w:color="auto" w:fill="FFFFFF"/>
          <w:lang w:val="en-US" w:eastAsia="zh-CN"/>
        </w:rPr>
        <w:t>125</w:t>
      </w:r>
      <w:r>
        <w:rPr>
          <w:rFonts w:hint="eastAsia" w:ascii="仿宋_GB2312" w:hAnsi="仿宋_GB2312" w:eastAsia="仿宋_GB2312" w:cs="仿宋_GB2312"/>
          <w:i w:val="0"/>
          <w:caps w:val="0"/>
          <w:color w:val="333333"/>
          <w:spacing w:val="0"/>
          <w:sz w:val="32"/>
          <w:szCs w:val="32"/>
          <w:shd w:val="clear" w:color="auto" w:fill="FFFFFF"/>
          <w:lang w:eastAsia="zh-CN"/>
        </w:rPr>
        <w:t>人次。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宋体" w:hAnsi="宋体" w:cs="宋体"/>
          <w:color w:val="333333"/>
        </w:rPr>
      </w:pPr>
      <w:r>
        <w:rPr>
          <w:rFonts w:hint="eastAsia" w:ascii="黑体" w:hAnsi="黑体" w:eastAsia="黑体" w:cs="黑体"/>
          <w:bCs/>
          <w:color w:val="333333"/>
          <w:sz w:val="32"/>
          <w:szCs w:val="32"/>
          <w:shd w:val="clear" w:color="auto" w:fill="FFFFFF"/>
        </w:rPr>
        <w:t>二、主动公开政府信息情况</w:t>
      </w:r>
    </w:p>
    <w:tbl>
      <w:tblPr>
        <w:tblStyle w:val="6"/>
        <w:tblW w:w="9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128"/>
        <w:gridCol w:w="2615"/>
        <w:gridCol w:w="2319"/>
        <w:gridCol w:w="23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2" w:hRule="atLeast"/>
          <w:jc w:val="center"/>
        </w:trPr>
        <w:tc>
          <w:tcPr>
            <w:tcW w:w="9440" w:type="dxa"/>
            <w:gridSpan w:val="4"/>
            <w:tcMar>
              <w:left w:w="57" w:type="dxa"/>
              <w:right w:w="57"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第二十条第（一）项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2128" w:type="dxa"/>
            <w:tcMar>
              <w:left w:w="57" w:type="dxa"/>
              <w:right w:w="57"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信息内容</w:t>
            </w:r>
          </w:p>
        </w:tc>
        <w:tc>
          <w:tcPr>
            <w:tcW w:w="2615" w:type="dxa"/>
            <w:tcMar>
              <w:left w:w="57" w:type="dxa"/>
              <w:right w:w="57"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本年</w:t>
            </w:r>
            <w:r>
              <w:rPr>
                <w:rFonts w:hint="eastAsia" w:ascii="仿宋_GB2312" w:hAnsi="仿宋_GB2312" w:eastAsia="仿宋_GB2312" w:cs="仿宋_GB2312"/>
                <w:kern w:val="0"/>
                <w:szCs w:val="21"/>
                <w:lang w:bidi="ar"/>
              </w:rPr>
              <w:t>制发件数</w:t>
            </w:r>
          </w:p>
        </w:tc>
        <w:tc>
          <w:tcPr>
            <w:tcW w:w="2319" w:type="dxa"/>
            <w:tcMar>
              <w:left w:w="57" w:type="dxa"/>
              <w:right w:w="57"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本年废止件数</w:t>
            </w:r>
          </w:p>
        </w:tc>
        <w:tc>
          <w:tcPr>
            <w:tcW w:w="2378" w:type="dxa"/>
            <w:tcMar>
              <w:left w:w="57" w:type="dxa"/>
              <w:right w:w="57"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现行有效件</w:t>
            </w:r>
            <w:r>
              <w:rPr>
                <w:rFonts w:hint="eastAsia" w:ascii="仿宋_GB2312" w:hAnsi="仿宋_GB2312" w:eastAsia="仿宋_GB2312" w:cs="仿宋_GB2312"/>
                <w:kern w:val="0"/>
                <w:szCs w:val="21"/>
                <w:lang w:bidi="ar"/>
              </w:rPr>
              <w:t>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3" w:hRule="atLeast"/>
          <w:jc w:val="center"/>
        </w:trPr>
        <w:tc>
          <w:tcPr>
            <w:tcW w:w="2128" w:type="dxa"/>
            <w:tcMar>
              <w:left w:w="57" w:type="dxa"/>
              <w:right w:w="57"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规章</w:t>
            </w:r>
          </w:p>
        </w:tc>
        <w:tc>
          <w:tcPr>
            <w:tcW w:w="2615" w:type="dxa"/>
            <w:tcMar>
              <w:left w:w="57" w:type="dxa"/>
              <w:right w:w="57" w:type="dxa"/>
            </w:tcMar>
            <w:vAlign w:val="center"/>
          </w:tcPr>
          <w:p>
            <w:pPr>
              <w:widowControl/>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2319" w:type="dxa"/>
            <w:tcMar>
              <w:left w:w="57" w:type="dxa"/>
              <w:right w:w="57" w:type="dxa"/>
            </w:tcMar>
            <w:vAlign w:val="center"/>
          </w:tcPr>
          <w:p>
            <w:pPr>
              <w:widowControl/>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2378" w:type="dxa"/>
            <w:tcMar>
              <w:left w:w="57" w:type="dxa"/>
              <w:right w:w="57" w:type="dxa"/>
            </w:tcMar>
            <w:vAlign w:val="center"/>
          </w:tcPr>
          <w:p>
            <w:pPr>
              <w:widowControl/>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2128" w:type="dxa"/>
            <w:tcMar>
              <w:left w:w="57" w:type="dxa"/>
              <w:right w:w="57"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行政规范性文件</w:t>
            </w:r>
          </w:p>
        </w:tc>
        <w:tc>
          <w:tcPr>
            <w:tcW w:w="2615" w:type="dxa"/>
            <w:tcMar>
              <w:left w:w="57" w:type="dxa"/>
              <w:right w:w="57" w:type="dxa"/>
            </w:tcMar>
            <w:vAlign w:val="center"/>
          </w:tcPr>
          <w:p>
            <w:pPr>
              <w:widowControl/>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w:t>
            </w:r>
          </w:p>
        </w:tc>
        <w:tc>
          <w:tcPr>
            <w:tcW w:w="2319" w:type="dxa"/>
            <w:tcMar>
              <w:left w:w="57" w:type="dxa"/>
              <w:right w:w="57" w:type="dxa"/>
            </w:tcMar>
            <w:vAlign w:val="center"/>
          </w:tcPr>
          <w:p>
            <w:pPr>
              <w:widowControl/>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2378" w:type="dxa"/>
            <w:tcMar>
              <w:left w:w="57" w:type="dxa"/>
              <w:right w:w="57" w:type="dxa"/>
            </w:tcMar>
            <w:vAlign w:val="center"/>
          </w:tcPr>
          <w:p>
            <w:pPr>
              <w:widowControl/>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8" w:hRule="atLeast"/>
          <w:jc w:val="center"/>
        </w:trPr>
        <w:tc>
          <w:tcPr>
            <w:tcW w:w="9440" w:type="dxa"/>
            <w:gridSpan w:val="4"/>
            <w:tcMar>
              <w:left w:w="57" w:type="dxa"/>
              <w:right w:w="57"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第二十条第（五）项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7" w:hRule="atLeast"/>
          <w:jc w:val="center"/>
        </w:trPr>
        <w:tc>
          <w:tcPr>
            <w:tcW w:w="2128" w:type="dxa"/>
            <w:tcMar>
              <w:left w:w="57" w:type="dxa"/>
              <w:right w:w="57"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信息内容</w:t>
            </w:r>
          </w:p>
        </w:tc>
        <w:tc>
          <w:tcPr>
            <w:tcW w:w="7312" w:type="dxa"/>
            <w:gridSpan w:val="3"/>
            <w:tcMar>
              <w:left w:w="57" w:type="dxa"/>
              <w:right w:w="57"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7" w:hRule="atLeast"/>
          <w:jc w:val="center"/>
        </w:trPr>
        <w:tc>
          <w:tcPr>
            <w:tcW w:w="2128" w:type="dxa"/>
            <w:tcMar>
              <w:left w:w="57" w:type="dxa"/>
              <w:right w:w="57"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行政许可</w:t>
            </w:r>
          </w:p>
        </w:tc>
        <w:tc>
          <w:tcPr>
            <w:tcW w:w="7312" w:type="dxa"/>
            <w:gridSpan w:val="3"/>
            <w:tcMar>
              <w:left w:w="57" w:type="dxa"/>
              <w:right w:w="57" w:type="dxa"/>
            </w:tcMar>
            <w:vAlign w:val="center"/>
          </w:tcPr>
          <w:p>
            <w:pPr>
              <w:widowControl/>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31407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2" w:hRule="atLeast"/>
          <w:jc w:val="center"/>
        </w:trPr>
        <w:tc>
          <w:tcPr>
            <w:tcW w:w="9440" w:type="dxa"/>
            <w:gridSpan w:val="4"/>
            <w:tcMar>
              <w:left w:w="57" w:type="dxa"/>
              <w:right w:w="57"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第二十条第（六）项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2" w:hRule="atLeast"/>
          <w:jc w:val="center"/>
        </w:trPr>
        <w:tc>
          <w:tcPr>
            <w:tcW w:w="2128" w:type="dxa"/>
            <w:tcMar>
              <w:left w:w="57" w:type="dxa"/>
              <w:right w:w="57"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信息内容</w:t>
            </w:r>
          </w:p>
        </w:tc>
        <w:tc>
          <w:tcPr>
            <w:tcW w:w="7312" w:type="dxa"/>
            <w:gridSpan w:val="3"/>
            <w:tcMar>
              <w:left w:w="57" w:type="dxa"/>
              <w:right w:w="57"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1" w:hRule="atLeast"/>
          <w:jc w:val="center"/>
        </w:trPr>
        <w:tc>
          <w:tcPr>
            <w:tcW w:w="2128" w:type="dxa"/>
            <w:tcMar>
              <w:left w:w="57" w:type="dxa"/>
              <w:right w:w="57"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行政处罚</w:t>
            </w:r>
          </w:p>
        </w:tc>
        <w:tc>
          <w:tcPr>
            <w:tcW w:w="7312" w:type="dxa"/>
            <w:gridSpan w:val="3"/>
            <w:tcMar>
              <w:left w:w="57" w:type="dxa"/>
              <w:right w:w="57" w:type="dxa"/>
            </w:tcMar>
            <w:vAlign w:val="center"/>
          </w:tcPr>
          <w:p>
            <w:pPr>
              <w:widowControl/>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465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3" w:hRule="atLeast"/>
          <w:jc w:val="center"/>
        </w:trPr>
        <w:tc>
          <w:tcPr>
            <w:tcW w:w="2128" w:type="dxa"/>
            <w:tcMar>
              <w:left w:w="57" w:type="dxa"/>
              <w:right w:w="57"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行政强制</w:t>
            </w:r>
          </w:p>
        </w:tc>
        <w:tc>
          <w:tcPr>
            <w:tcW w:w="7312" w:type="dxa"/>
            <w:gridSpan w:val="3"/>
            <w:tcMar>
              <w:left w:w="57" w:type="dxa"/>
              <w:right w:w="57" w:type="dxa"/>
            </w:tcMar>
            <w:vAlign w:val="center"/>
          </w:tcPr>
          <w:p>
            <w:pPr>
              <w:widowControl/>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0" w:hRule="atLeast"/>
          <w:jc w:val="center"/>
        </w:trPr>
        <w:tc>
          <w:tcPr>
            <w:tcW w:w="9440" w:type="dxa"/>
            <w:gridSpan w:val="4"/>
            <w:tcMar>
              <w:left w:w="57" w:type="dxa"/>
              <w:right w:w="57"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第二十条第（八）项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0" w:hRule="atLeast"/>
          <w:jc w:val="center"/>
        </w:trPr>
        <w:tc>
          <w:tcPr>
            <w:tcW w:w="2128" w:type="dxa"/>
            <w:tcMar>
              <w:left w:w="57" w:type="dxa"/>
              <w:right w:w="57"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信息内容</w:t>
            </w:r>
          </w:p>
        </w:tc>
        <w:tc>
          <w:tcPr>
            <w:tcW w:w="7312" w:type="dxa"/>
            <w:gridSpan w:val="3"/>
            <w:tcMar>
              <w:left w:w="57" w:type="dxa"/>
              <w:right w:w="57"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本年收费金额（单位：万元）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3" w:hRule="atLeast"/>
          <w:jc w:val="center"/>
        </w:trPr>
        <w:tc>
          <w:tcPr>
            <w:tcW w:w="2128" w:type="dxa"/>
            <w:tcMar>
              <w:left w:w="57" w:type="dxa"/>
              <w:right w:w="57"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行政事业性收费</w:t>
            </w:r>
          </w:p>
        </w:tc>
        <w:tc>
          <w:tcPr>
            <w:tcW w:w="7312" w:type="dxa"/>
            <w:gridSpan w:val="3"/>
            <w:tcMar>
              <w:left w:w="57" w:type="dxa"/>
              <w:right w:w="57" w:type="dxa"/>
            </w:tcMar>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560</w:t>
            </w:r>
          </w:p>
        </w:tc>
      </w:tr>
    </w:tbl>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宋体" w:hAnsi="宋体" w:cs="宋体"/>
          <w:color w:val="333333"/>
        </w:rPr>
      </w:pPr>
      <w:r>
        <w:rPr>
          <w:rFonts w:hint="eastAsia" w:ascii="黑体" w:hAnsi="黑体" w:eastAsia="黑体" w:cs="黑体"/>
          <w:bCs/>
          <w:color w:val="333333"/>
          <w:sz w:val="32"/>
          <w:szCs w:val="32"/>
          <w:shd w:val="clear" w:color="auto" w:fill="FFFFFF"/>
        </w:rPr>
        <w:t>三、收到和处理政府信息公开申请情况</w:t>
      </w:r>
    </w:p>
    <w:tbl>
      <w:tblPr>
        <w:tblStyle w:val="6"/>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1"/>
        <w:gridCol w:w="948"/>
        <w:gridCol w:w="3037"/>
        <w:gridCol w:w="691"/>
        <w:gridCol w:w="691"/>
        <w:gridCol w:w="691"/>
        <w:gridCol w:w="691"/>
        <w:gridCol w:w="691"/>
        <w:gridCol w:w="640"/>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4756" w:type="dxa"/>
            <w:gridSpan w:val="3"/>
            <w:vMerge w:val="restart"/>
            <w:tcMar>
              <w:left w:w="108" w:type="dxa"/>
              <w:right w:w="108" w:type="dxa"/>
            </w:tcMar>
            <w:vAlign w:val="center"/>
          </w:tcPr>
          <w:p>
            <w:pPr>
              <w:widowControl/>
              <w:jc w:val="left"/>
              <w:rPr>
                <w:rFonts w:hint="eastAsia" w:ascii="仿宋_GB2312" w:hAnsi="仿宋_GB2312" w:eastAsia="仿宋_GB2312" w:cs="仿宋_GB2312"/>
                <w:szCs w:val="21"/>
              </w:rPr>
            </w:pPr>
            <w:r>
              <w:rPr>
                <w:rFonts w:hint="eastAsia" w:ascii="楷体_GB2312" w:hAnsi="楷体_GB2312" w:eastAsia="楷体_GB2312" w:cs="楷体_GB2312"/>
                <w:b/>
                <w:bCs/>
                <w:kern w:val="0"/>
                <w:szCs w:val="21"/>
                <w:lang w:bidi="ar"/>
              </w:rPr>
              <w:t>（本列数据的勾稽关系为：第一项加第二项之和，等于第三项加第四项之和）</w:t>
            </w:r>
          </w:p>
        </w:tc>
        <w:tc>
          <w:tcPr>
            <w:tcW w:w="4766" w:type="dxa"/>
            <w:gridSpan w:val="7"/>
            <w:tcMar>
              <w:left w:w="57" w:type="dxa"/>
              <w:right w:w="57"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4756" w:type="dxa"/>
            <w:gridSpan w:val="3"/>
            <w:vMerge w:val="continue"/>
            <w:tcMar>
              <w:left w:w="108" w:type="dxa"/>
              <w:right w:w="108" w:type="dxa"/>
            </w:tcMar>
            <w:vAlign w:val="center"/>
          </w:tcPr>
          <w:p>
            <w:pPr>
              <w:rPr>
                <w:rFonts w:hint="eastAsia" w:ascii="仿宋_GB2312" w:hAnsi="仿宋_GB2312" w:eastAsia="仿宋_GB2312" w:cs="仿宋_GB2312"/>
                <w:szCs w:val="21"/>
              </w:rPr>
            </w:pPr>
          </w:p>
        </w:tc>
        <w:tc>
          <w:tcPr>
            <w:tcW w:w="691" w:type="dxa"/>
            <w:vMerge w:val="restart"/>
            <w:tcMar>
              <w:left w:w="57" w:type="dxa"/>
              <w:right w:w="57"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自然人</w:t>
            </w:r>
          </w:p>
        </w:tc>
        <w:tc>
          <w:tcPr>
            <w:tcW w:w="3404" w:type="dxa"/>
            <w:gridSpan w:val="5"/>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法人或其他组织</w:t>
            </w:r>
          </w:p>
        </w:tc>
        <w:tc>
          <w:tcPr>
            <w:tcW w:w="671" w:type="dxa"/>
            <w:vMerge w:val="restart"/>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4756" w:type="dxa"/>
            <w:gridSpan w:val="3"/>
            <w:vMerge w:val="continue"/>
            <w:tcMar>
              <w:left w:w="108" w:type="dxa"/>
              <w:right w:w="108" w:type="dxa"/>
            </w:tcMar>
            <w:vAlign w:val="center"/>
          </w:tcPr>
          <w:p>
            <w:pPr>
              <w:rPr>
                <w:rFonts w:hint="eastAsia" w:ascii="仿宋_GB2312" w:hAnsi="仿宋_GB2312" w:eastAsia="仿宋_GB2312" w:cs="仿宋_GB2312"/>
                <w:szCs w:val="21"/>
              </w:rPr>
            </w:pPr>
          </w:p>
        </w:tc>
        <w:tc>
          <w:tcPr>
            <w:tcW w:w="691" w:type="dxa"/>
            <w:vMerge w:val="continue"/>
            <w:tcMar>
              <w:left w:w="57" w:type="dxa"/>
              <w:right w:w="57" w:type="dxa"/>
            </w:tcMar>
            <w:vAlign w:val="center"/>
          </w:tcPr>
          <w:p>
            <w:pPr>
              <w:rPr>
                <w:rFonts w:hint="eastAsia" w:ascii="仿宋_GB2312" w:hAnsi="仿宋_GB2312" w:eastAsia="仿宋_GB2312" w:cs="仿宋_GB2312"/>
                <w:szCs w:val="21"/>
              </w:rPr>
            </w:pPr>
          </w:p>
        </w:tc>
        <w:tc>
          <w:tcPr>
            <w:tcW w:w="691" w:type="dxa"/>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商业</w:t>
            </w:r>
          </w:p>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企业</w:t>
            </w:r>
          </w:p>
        </w:tc>
        <w:tc>
          <w:tcPr>
            <w:tcW w:w="691" w:type="dxa"/>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科研</w:t>
            </w:r>
          </w:p>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机构</w:t>
            </w:r>
          </w:p>
        </w:tc>
        <w:tc>
          <w:tcPr>
            <w:tcW w:w="691" w:type="dxa"/>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社会公益组织</w:t>
            </w:r>
          </w:p>
        </w:tc>
        <w:tc>
          <w:tcPr>
            <w:tcW w:w="691" w:type="dxa"/>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法律服务机构</w:t>
            </w:r>
          </w:p>
        </w:tc>
        <w:tc>
          <w:tcPr>
            <w:tcW w:w="640" w:type="dxa"/>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其他</w:t>
            </w:r>
          </w:p>
        </w:tc>
        <w:tc>
          <w:tcPr>
            <w:tcW w:w="671" w:type="dxa"/>
            <w:vMerge w:val="continue"/>
            <w:tcMar>
              <w:left w:w="108" w:type="dxa"/>
              <w:right w:w="108" w:type="dxa"/>
            </w:tcMar>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4756" w:type="dxa"/>
            <w:gridSpan w:val="3"/>
            <w:tcMar>
              <w:left w:w="57" w:type="dxa"/>
              <w:right w:w="57" w:type="dxa"/>
            </w:tcMar>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一、本年新收政府信息公开申请数量</w:t>
            </w:r>
          </w:p>
        </w:tc>
        <w:tc>
          <w:tcPr>
            <w:tcW w:w="691" w:type="dxa"/>
            <w:tcMar>
              <w:left w:w="57" w:type="dxa"/>
              <w:right w:w="57" w:type="dxa"/>
            </w:tcMar>
            <w:vAlign w:val="center"/>
          </w:tcPr>
          <w:p>
            <w:pPr>
              <w:widowControl/>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8</w:t>
            </w:r>
          </w:p>
        </w:tc>
        <w:tc>
          <w:tcPr>
            <w:tcW w:w="691" w:type="dxa"/>
            <w:tcMar>
              <w:left w:w="57" w:type="dxa"/>
              <w:right w:w="57"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val="en-US" w:eastAsia="zh-CN" w:bidi="ar"/>
              </w:rPr>
              <w:t>1</w:t>
            </w:r>
            <w:r>
              <w:rPr>
                <w:rFonts w:hint="eastAsia" w:ascii="仿宋_GB2312" w:hAnsi="仿宋_GB2312" w:eastAsia="仿宋_GB2312" w:cs="仿宋_GB2312"/>
                <w:kern w:val="0"/>
                <w:szCs w:val="21"/>
                <w:lang w:bidi="ar"/>
              </w:rPr>
              <w:t> </w:t>
            </w:r>
          </w:p>
        </w:tc>
        <w:tc>
          <w:tcPr>
            <w:tcW w:w="691" w:type="dxa"/>
            <w:tcMar>
              <w:left w:w="57" w:type="dxa"/>
              <w:right w:w="57"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w:t>
            </w:r>
          </w:p>
        </w:tc>
        <w:tc>
          <w:tcPr>
            <w:tcW w:w="691" w:type="dxa"/>
            <w:tcMar>
              <w:left w:w="57" w:type="dxa"/>
              <w:right w:w="57"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w:t>
            </w:r>
          </w:p>
        </w:tc>
        <w:tc>
          <w:tcPr>
            <w:tcW w:w="691" w:type="dxa"/>
            <w:tcMar>
              <w:left w:w="57" w:type="dxa"/>
              <w:right w:w="57"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w:t>
            </w:r>
          </w:p>
        </w:tc>
        <w:tc>
          <w:tcPr>
            <w:tcW w:w="640" w:type="dxa"/>
            <w:tcMar>
              <w:left w:w="57" w:type="dxa"/>
              <w:right w:w="57"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w:t>
            </w:r>
          </w:p>
        </w:tc>
        <w:tc>
          <w:tcPr>
            <w:tcW w:w="671" w:type="dxa"/>
            <w:tcMar>
              <w:left w:w="57" w:type="dxa"/>
              <w:right w:w="57" w:type="dxa"/>
            </w:tcMar>
            <w:vAlign w:val="center"/>
          </w:tcPr>
          <w:p>
            <w:pPr>
              <w:widowControl/>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4756" w:type="dxa"/>
            <w:gridSpan w:val="3"/>
            <w:tcMar>
              <w:left w:w="57" w:type="dxa"/>
              <w:right w:w="57" w:type="dxa"/>
            </w:tcMar>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二、上年结转政府信息公开申请数量</w:t>
            </w:r>
          </w:p>
        </w:tc>
        <w:tc>
          <w:tcPr>
            <w:tcW w:w="691" w:type="dxa"/>
            <w:tcMar>
              <w:left w:w="57" w:type="dxa"/>
              <w:right w:w="57" w:type="dxa"/>
            </w:tcMar>
            <w:vAlign w:val="center"/>
          </w:tcPr>
          <w:p>
            <w:pPr>
              <w:widowControl/>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kern w:val="0"/>
                <w:szCs w:val="21"/>
                <w:lang w:val="en-US" w:eastAsia="zh-CN" w:bidi="ar"/>
              </w:rPr>
              <w:t>0</w:t>
            </w:r>
          </w:p>
        </w:tc>
        <w:tc>
          <w:tcPr>
            <w:tcW w:w="691" w:type="dxa"/>
            <w:tcMar>
              <w:left w:w="57" w:type="dxa"/>
              <w:right w:w="57"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w:t>
            </w:r>
          </w:p>
        </w:tc>
        <w:tc>
          <w:tcPr>
            <w:tcW w:w="691" w:type="dxa"/>
            <w:tcMar>
              <w:left w:w="57" w:type="dxa"/>
              <w:right w:w="57"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w:t>
            </w:r>
          </w:p>
        </w:tc>
        <w:tc>
          <w:tcPr>
            <w:tcW w:w="691" w:type="dxa"/>
            <w:tcMar>
              <w:left w:w="57" w:type="dxa"/>
              <w:right w:w="57"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w:t>
            </w:r>
          </w:p>
        </w:tc>
        <w:tc>
          <w:tcPr>
            <w:tcW w:w="691" w:type="dxa"/>
            <w:tcMar>
              <w:left w:w="57" w:type="dxa"/>
              <w:right w:w="57"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w:t>
            </w:r>
          </w:p>
        </w:tc>
        <w:tc>
          <w:tcPr>
            <w:tcW w:w="640" w:type="dxa"/>
            <w:tcMar>
              <w:left w:w="57" w:type="dxa"/>
              <w:right w:w="57"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w:t>
            </w:r>
          </w:p>
        </w:tc>
        <w:tc>
          <w:tcPr>
            <w:tcW w:w="671" w:type="dxa"/>
            <w:tcMar>
              <w:left w:w="57" w:type="dxa"/>
              <w:right w:w="57" w:type="dxa"/>
            </w:tcMar>
            <w:vAlign w:val="center"/>
          </w:tcPr>
          <w:p>
            <w:pPr>
              <w:widowControl/>
              <w:jc w:val="center"/>
              <w:rPr>
                <w:rFonts w:hint="eastAsia" w:ascii="仿宋_GB2312" w:hAnsi="仿宋_GB2312" w:eastAsia="仿宋_GB2312" w:cs="仿宋_GB2312"/>
                <w:szCs w:val="21"/>
                <w:lang w:eastAsia="zh-CN"/>
              </w:rPr>
            </w:pPr>
            <w:r>
              <w:rPr>
                <w:rFonts w:hint="eastAsia" w:ascii="仿宋_GB2312" w:hAnsi="仿宋_GB2312" w:eastAsia="仿宋_GB2312" w:cs="仿宋_GB2312"/>
                <w:kern w:val="0"/>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771" w:type="dxa"/>
            <w:vMerge w:val="restart"/>
            <w:tcMar>
              <w:left w:w="57" w:type="dxa"/>
              <w:right w:w="57" w:type="dxa"/>
            </w:tcMar>
            <w:vAlign w:val="center"/>
          </w:tcPr>
          <w:p>
            <w:pPr>
              <w:widowControl/>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三、本年度办理结果</w:t>
            </w:r>
          </w:p>
        </w:tc>
        <w:tc>
          <w:tcPr>
            <w:tcW w:w="3985" w:type="dxa"/>
            <w:gridSpan w:val="2"/>
            <w:tcMar>
              <w:left w:w="57" w:type="dxa"/>
              <w:right w:w="57" w:type="dxa"/>
            </w:tcMar>
            <w:vAlign w:val="center"/>
          </w:tcPr>
          <w:p>
            <w:pPr>
              <w:widowControl/>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（一）予以公开</w:t>
            </w:r>
          </w:p>
        </w:tc>
        <w:tc>
          <w:tcPr>
            <w:tcW w:w="691" w:type="dxa"/>
            <w:tcMar>
              <w:left w:w="57" w:type="dxa"/>
              <w:right w:w="57" w:type="dxa"/>
            </w:tcMar>
            <w:vAlign w:val="center"/>
          </w:tcPr>
          <w:p>
            <w:pPr>
              <w:widowControl/>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4</w:t>
            </w:r>
          </w:p>
        </w:tc>
        <w:tc>
          <w:tcPr>
            <w:tcW w:w="691"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40"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71"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jc w:val="center"/>
        </w:trPr>
        <w:tc>
          <w:tcPr>
            <w:tcW w:w="771" w:type="dxa"/>
            <w:vMerge w:val="continue"/>
            <w:tcMar>
              <w:left w:w="57" w:type="dxa"/>
              <w:right w:w="57" w:type="dxa"/>
            </w:tcMar>
            <w:vAlign w:val="center"/>
          </w:tcPr>
          <w:p>
            <w:pPr>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3985" w:type="dxa"/>
            <w:gridSpan w:val="2"/>
            <w:tcMar>
              <w:left w:w="57" w:type="dxa"/>
              <w:right w:w="57" w:type="dxa"/>
            </w:tcMar>
            <w:vAlign w:val="center"/>
          </w:tcPr>
          <w:p>
            <w:pPr>
              <w:widowControl/>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（二）部分公开（区分处理的，只计这一情形，不计其他情形）</w:t>
            </w:r>
          </w:p>
        </w:tc>
        <w:tc>
          <w:tcPr>
            <w:tcW w:w="691"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1</w:t>
            </w:r>
          </w:p>
        </w:tc>
        <w:tc>
          <w:tcPr>
            <w:tcW w:w="691"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40"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71"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771" w:type="dxa"/>
            <w:vMerge w:val="continue"/>
            <w:tcMar>
              <w:left w:w="57" w:type="dxa"/>
              <w:right w:w="57" w:type="dxa"/>
            </w:tcMar>
            <w:vAlign w:val="center"/>
          </w:tcPr>
          <w:p>
            <w:pPr>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948" w:type="dxa"/>
            <w:vMerge w:val="restart"/>
            <w:tcMar>
              <w:left w:w="57" w:type="dxa"/>
              <w:right w:w="57" w:type="dxa"/>
            </w:tcMar>
            <w:vAlign w:val="center"/>
          </w:tcPr>
          <w:p>
            <w:pPr>
              <w:widowControl/>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（三）不予公开</w:t>
            </w:r>
          </w:p>
        </w:tc>
        <w:tc>
          <w:tcPr>
            <w:tcW w:w="3037" w:type="dxa"/>
            <w:tcMar>
              <w:left w:w="57" w:type="dxa"/>
              <w:right w:w="57" w:type="dxa"/>
            </w:tcMar>
            <w:vAlign w:val="top"/>
          </w:tcPr>
          <w:p>
            <w:pPr>
              <w:widowControl/>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1.属于国家秘密</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0</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40"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7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771" w:type="dxa"/>
            <w:vMerge w:val="continue"/>
            <w:tcMar>
              <w:left w:w="57" w:type="dxa"/>
              <w:right w:w="57" w:type="dxa"/>
            </w:tcMar>
            <w:vAlign w:val="center"/>
          </w:tcPr>
          <w:p>
            <w:pPr>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948" w:type="dxa"/>
            <w:vMerge w:val="continue"/>
            <w:tcMar>
              <w:left w:w="57" w:type="dxa"/>
              <w:right w:w="57" w:type="dxa"/>
            </w:tcMar>
            <w:vAlign w:val="center"/>
          </w:tcPr>
          <w:p>
            <w:pPr>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3037" w:type="dxa"/>
            <w:tcMar>
              <w:left w:w="57" w:type="dxa"/>
              <w:right w:w="57" w:type="dxa"/>
            </w:tcMar>
            <w:vAlign w:val="top"/>
          </w:tcPr>
          <w:p>
            <w:pPr>
              <w:widowControl/>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2.其他法律行政法规禁止公开</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0</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40"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7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771" w:type="dxa"/>
            <w:vMerge w:val="continue"/>
            <w:tcMar>
              <w:left w:w="57" w:type="dxa"/>
              <w:right w:w="57" w:type="dxa"/>
            </w:tcMar>
            <w:vAlign w:val="center"/>
          </w:tcPr>
          <w:p>
            <w:pPr>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948" w:type="dxa"/>
            <w:vMerge w:val="continue"/>
            <w:tcMar>
              <w:left w:w="57" w:type="dxa"/>
              <w:right w:w="57" w:type="dxa"/>
            </w:tcMar>
            <w:vAlign w:val="center"/>
          </w:tcPr>
          <w:p>
            <w:pPr>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3037" w:type="dxa"/>
            <w:tcMar>
              <w:left w:w="57" w:type="dxa"/>
              <w:right w:w="57" w:type="dxa"/>
            </w:tcMar>
            <w:vAlign w:val="top"/>
          </w:tcPr>
          <w:p>
            <w:pPr>
              <w:widowControl/>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3.危及“三安全一稳定”</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0</w:t>
            </w: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40"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7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0</w:t>
            </w: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771" w:type="dxa"/>
            <w:vMerge w:val="continue"/>
            <w:tcMar>
              <w:left w:w="57" w:type="dxa"/>
              <w:right w:w="57" w:type="dxa"/>
            </w:tcMar>
            <w:vAlign w:val="center"/>
          </w:tcPr>
          <w:p>
            <w:pPr>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948" w:type="dxa"/>
            <w:vMerge w:val="continue"/>
            <w:tcMar>
              <w:left w:w="57" w:type="dxa"/>
              <w:right w:w="57" w:type="dxa"/>
            </w:tcMar>
            <w:vAlign w:val="center"/>
          </w:tcPr>
          <w:p>
            <w:pPr>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3037" w:type="dxa"/>
            <w:tcMar>
              <w:left w:w="57" w:type="dxa"/>
              <w:right w:w="57" w:type="dxa"/>
            </w:tcMar>
            <w:vAlign w:val="top"/>
          </w:tcPr>
          <w:p>
            <w:pPr>
              <w:widowControl/>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4.保护第三方合法权益</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0</w:t>
            </w: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40"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7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0</w:t>
            </w: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771" w:type="dxa"/>
            <w:vMerge w:val="continue"/>
            <w:tcMar>
              <w:left w:w="57" w:type="dxa"/>
              <w:right w:w="57" w:type="dxa"/>
            </w:tcMar>
            <w:vAlign w:val="center"/>
          </w:tcPr>
          <w:p>
            <w:pPr>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948" w:type="dxa"/>
            <w:vMerge w:val="continue"/>
            <w:tcMar>
              <w:left w:w="57" w:type="dxa"/>
              <w:right w:w="57" w:type="dxa"/>
            </w:tcMar>
            <w:vAlign w:val="center"/>
          </w:tcPr>
          <w:p>
            <w:pPr>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3037" w:type="dxa"/>
            <w:tcMar>
              <w:left w:w="57" w:type="dxa"/>
              <w:right w:w="57" w:type="dxa"/>
            </w:tcMar>
            <w:vAlign w:val="top"/>
          </w:tcPr>
          <w:p>
            <w:pPr>
              <w:widowControl/>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5.属于三类内部事务信息</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0</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40"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7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771" w:type="dxa"/>
            <w:vMerge w:val="continue"/>
            <w:tcMar>
              <w:left w:w="57" w:type="dxa"/>
              <w:right w:w="57" w:type="dxa"/>
            </w:tcMar>
            <w:vAlign w:val="center"/>
          </w:tcPr>
          <w:p>
            <w:pPr>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948" w:type="dxa"/>
            <w:vMerge w:val="continue"/>
            <w:tcMar>
              <w:left w:w="57" w:type="dxa"/>
              <w:right w:w="57" w:type="dxa"/>
            </w:tcMar>
            <w:vAlign w:val="center"/>
          </w:tcPr>
          <w:p>
            <w:pPr>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3037" w:type="dxa"/>
            <w:tcMar>
              <w:left w:w="57" w:type="dxa"/>
              <w:right w:w="57" w:type="dxa"/>
            </w:tcMar>
            <w:vAlign w:val="top"/>
          </w:tcPr>
          <w:p>
            <w:pPr>
              <w:widowControl/>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6.属于四类过程性信息</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0</w:t>
            </w: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40"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7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0</w:t>
            </w: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771" w:type="dxa"/>
            <w:vMerge w:val="continue"/>
            <w:tcMar>
              <w:left w:w="57" w:type="dxa"/>
              <w:right w:w="57" w:type="dxa"/>
            </w:tcMar>
            <w:vAlign w:val="center"/>
          </w:tcPr>
          <w:p>
            <w:pPr>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948" w:type="dxa"/>
            <w:vMerge w:val="continue"/>
            <w:tcMar>
              <w:left w:w="57" w:type="dxa"/>
              <w:right w:w="57" w:type="dxa"/>
            </w:tcMar>
            <w:vAlign w:val="center"/>
          </w:tcPr>
          <w:p>
            <w:pPr>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3037" w:type="dxa"/>
            <w:tcMar>
              <w:left w:w="57" w:type="dxa"/>
              <w:right w:w="57" w:type="dxa"/>
            </w:tcMar>
            <w:vAlign w:val="top"/>
          </w:tcPr>
          <w:p>
            <w:pPr>
              <w:widowControl/>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7.属于行政执法案卷</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0</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40"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7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771" w:type="dxa"/>
            <w:vMerge w:val="continue"/>
            <w:tcMar>
              <w:left w:w="57" w:type="dxa"/>
              <w:right w:w="57" w:type="dxa"/>
            </w:tcMar>
            <w:vAlign w:val="center"/>
          </w:tcPr>
          <w:p>
            <w:pPr>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948" w:type="dxa"/>
            <w:vMerge w:val="continue"/>
            <w:tcMar>
              <w:left w:w="57" w:type="dxa"/>
              <w:right w:w="57" w:type="dxa"/>
            </w:tcMar>
            <w:vAlign w:val="center"/>
          </w:tcPr>
          <w:p>
            <w:pPr>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3037" w:type="dxa"/>
            <w:tcMar>
              <w:left w:w="57" w:type="dxa"/>
              <w:right w:w="57" w:type="dxa"/>
            </w:tcMar>
            <w:vAlign w:val="top"/>
          </w:tcPr>
          <w:p>
            <w:pPr>
              <w:widowControl/>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8.属于行政查询事项</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0</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40"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7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771" w:type="dxa"/>
            <w:vMerge w:val="continue"/>
            <w:tcMar>
              <w:left w:w="57" w:type="dxa"/>
              <w:right w:w="57" w:type="dxa"/>
            </w:tcMar>
            <w:vAlign w:val="center"/>
          </w:tcPr>
          <w:p>
            <w:pPr>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948" w:type="dxa"/>
            <w:vMerge w:val="restart"/>
            <w:tcMar>
              <w:left w:w="57" w:type="dxa"/>
              <w:right w:w="57" w:type="dxa"/>
            </w:tcMar>
            <w:vAlign w:val="center"/>
          </w:tcPr>
          <w:p>
            <w:pPr>
              <w:widowControl/>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（四）无法提供</w:t>
            </w:r>
          </w:p>
        </w:tc>
        <w:tc>
          <w:tcPr>
            <w:tcW w:w="3037" w:type="dxa"/>
            <w:tcMar>
              <w:left w:w="57" w:type="dxa"/>
              <w:right w:w="57" w:type="dxa"/>
            </w:tcMar>
            <w:vAlign w:val="top"/>
          </w:tcPr>
          <w:p>
            <w:pPr>
              <w:widowControl/>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1.本机关不掌握相关政府信息</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2</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40"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7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771" w:type="dxa"/>
            <w:vMerge w:val="continue"/>
            <w:tcMar>
              <w:left w:w="57" w:type="dxa"/>
              <w:right w:w="57" w:type="dxa"/>
            </w:tcMar>
            <w:vAlign w:val="center"/>
          </w:tcPr>
          <w:p>
            <w:pPr>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948" w:type="dxa"/>
            <w:vMerge w:val="continue"/>
            <w:tcMar>
              <w:left w:w="57" w:type="dxa"/>
              <w:right w:w="57" w:type="dxa"/>
            </w:tcMar>
            <w:vAlign w:val="center"/>
          </w:tcPr>
          <w:p>
            <w:pPr>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3037" w:type="dxa"/>
            <w:tcMar>
              <w:left w:w="57" w:type="dxa"/>
              <w:right w:w="57" w:type="dxa"/>
            </w:tcMar>
            <w:vAlign w:val="top"/>
          </w:tcPr>
          <w:p>
            <w:pPr>
              <w:widowControl/>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2.没有现成信息需要另行制作</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0</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40"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7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771" w:type="dxa"/>
            <w:vMerge w:val="continue"/>
            <w:tcMar>
              <w:left w:w="57" w:type="dxa"/>
              <w:right w:w="57" w:type="dxa"/>
            </w:tcMar>
            <w:vAlign w:val="center"/>
          </w:tcPr>
          <w:p>
            <w:pPr>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948" w:type="dxa"/>
            <w:vMerge w:val="continue"/>
            <w:tcMar>
              <w:left w:w="57" w:type="dxa"/>
              <w:right w:w="57" w:type="dxa"/>
            </w:tcMar>
            <w:vAlign w:val="center"/>
          </w:tcPr>
          <w:p>
            <w:pPr>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3037" w:type="dxa"/>
            <w:tcMar>
              <w:left w:w="57" w:type="dxa"/>
              <w:right w:w="57" w:type="dxa"/>
            </w:tcMar>
            <w:vAlign w:val="top"/>
          </w:tcPr>
          <w:p>
            <w:pPr>
              <w:widowControl/>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3.补正后申请内容仍不明确</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0</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40"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7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771" w:type="dxa"/>
            <w:vMerge w:val="continue"/>
            <w:tcMar>
              <w:left w:w="57" w:type="dxa"/>
              <w:right w:w="57" w:type="dxa"/>
            </w:tcMar>
            <w:vAlign w:val="center"/>
          </w:tcPr>
          <w:p>
            <w:pPr>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948" w:type="dxa"/>
            <w:vMerge w:val="restart"/>
            <w:tcMar>
              <w:left w:w="57" w:type="dxa"/>
              <w:right w:w="57" w:type="dxa"/>
            </w:tcMar>
            <w:vAlign w:val="center"/>
          </w:tcPr>
          <w:p>
            <w:pPr>
              <w:widowControl/>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（五）不予处理</w:t>
            </w:r>
          </w:p>
        </w:tc>
        <w:tc>
          <w:tcPr>
            <w:tcW w:w="3037" w:type="dxa"/>
            <w:tcMar>
              <w:left w:w="57" w:type="dxa"/>
              <w:right w:w="57" w:type="dxa"/>
            </w:tcMar>
            <w:vAlign w:val="top"/>
          </w:tcPr>
          <w:p>
            <w:pPr>
              <w:widowControl/>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1.信访举报投诉类申请</w:t>
            </w:r>
          </w:p>
        </w:tc>
        <w:tc>
          <w:tcPr>
            <w:tcW w:w="691" w:type="dxa"/>
            <w:tcMar>
              <w:left w:w="57" w:type="dxa"/>
              <w:right w:w="57" w:type="dxa"/>
            </w:tcMar>
            <w:vAlign w:val="top"/>
          </w:tcPr>
          <w:p>
            <w:pPr>
              <w:widowControl/>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0</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1</w:t>
            </w: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40"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7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771" w:type="dxa"/>
            <w:vMerge w:val="continue"/>
            <w:tcMar>
              <w:left w:w="57" w:type="dxa"/>
              <w:right w:w="57" w:type="dxa"/>
            </w:tcMar>
            <w:vAlign w:val="center"/>
          </w:tcPr>
          <w:p>
            <w:pPr>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948" w:type="dxa"/>
            <w:vMerge w:val="continue"/>
            <w:tcMar>
              <w:left w:w="57" w:type="dxa"/>
              <w:right w:w="57" w:type="dxa"/>
            </w:tcMar>
            <w:vAlign w:val="center"/>
          </w:tcPr>
          <w:p>
            <w:pPr>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3037" w:type="dxa"/>
            <w:tcMar>
              <w:left w:w="57" w:type="dxa"/>
              <w:right w:w="57" w:type="dxa"/>
            </w:tcMar>
            <w:vAlign w:val="top"/>
          </w:tcPr>
          <w:p>
            <w:pPr>
              <w:widowControl/>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2.重复申请</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0</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40"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7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771" w:type="dxa"/>
            <w:vMerge w:val="continue"/>
            <w:tcMar>
              <w:left w:w="57" w:type="dxa"/>
              <w:right w:w="57" w:type="dxa"/>
            </w:tcMar>
            <w:vAlign w:val="center"/>
          </w:tcPr>
          <w:p>
            <w:pPr>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948" w:type="dxa"/>
            <w:vMerge w:val="continue"/>
            <w:tcMar>
              <w:left w:w="57" w:type="dxa"/>
              <w:right w:w="57" w:type="dxa"/>
            </w:tcMar>
            <w:vAlign w:val="center"/>
          </w:tcPr>
          <w:p>
            <w:pPr>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3037" w:type="dxa"/>
            <w:tcMar>
              <w:left w:w="57" w:type="dxa"/>
              <w:right w:w="57" w:type="dxa"/>
            </w:tcMar>
            <w:vAlign w:val="top"/>
          </w:tcPr>
          <w:p>
            <w:pPr>
              <w:widowControl/>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3.要求提供公开出版物</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0</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40"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7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771" w:type="dxa"/>
            <w:vMerge w:val="continue"/>
            <w:tcMar>
              <w:left w:w="57" w:type="dxa"/>
              <w:right w:w="57" w:type="dxa"/>
            </w:tcMar>
            <w:vAlign w:val="center"/>
          </w:tcPr>
          <w:p>
            <w:pPr>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948" w:type="dxa"/>
            <w:vMerge w:val="continue"/>
            <w:tcMar>
              <w:left w:w="57" w:type="dxa"/>
              <w:right w:w="57" w:type="dxa"/>
            </w:tcMar>
            <w:vAlign w:val="center"/>
          </w:tcPr>
          <w:p>
            <w:pPr>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3037" w:type="dxa"/>
            <w:tcMar>
              <w:left w:w="57" w:type="dxa"/>
              <w:right w:w="57" w:type="dxa"/>
            </w:tcMar>
            <w:vAlign w:val="top"/>
          </w:tcPr>
          <w:p>
            <w:pPr>
              <w:widowControl/>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4.无正当理由大量反复申请</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0</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40"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7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771" w:type="dxa"/>
            <w:vMerge w:val="continue"/>
            <w:tcMar>
              <w:left w:w="57" w:type="dxa"/>
              <w:right w:w="57" w:type="dxa"/>
            </w:tcMar>
            <w:vAlign w:val="center"/>
          </w:tcPr>
          <w:p>
            <w:pPr>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948" w:type="dxa"/>
            <w:vMerge w:val="continue"/>
            <w:tcMar>
              <w:left w:w="57" w:type="dxa"/>
              <w:right w:w="57" w:type="dxa"/>
            </w:tcMar>
            <w:vAlign w:val="center"/>
          </w:tcPr>
          <w:p>
            <w:pPr>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3037" w:type="dxa"/>
            <w:tcMar>
              <w:left w:w="57" w:type="dxa"/>
              <w:right w:w="57" w:type="dxa"/>
            </w:tcMar>
            <w:vAlign w:val="center"/>
          </w:tcPr>
          <w:p>
            <w:pPr>
              <w:widowControl/>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5.要求行政机关确认或重新出具已获取信息</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0</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40"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7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jc w:val="center"/>
        </w:trPr>
        <w:tc>
          <w:tcPr>
            <w:tcW w:w="771" w:type="dxa"/>
            <w:vMerge w:val="continue"/>
            <w:tcMar>
              <w:left w:w="57" w:type="dxa"/>
              <w:right w:w="57" w:type="dxa"/>
            </w:tcMar>
            <w:vAlign w:val="center"/>
          </w:tcPr>
          <w:p>
            <w:pPr>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948" w:type="dxa"/>
            <w:vMerge w:val="restart"/>
            <w:tcMar>
              <w:left w:w="57" w:type="dxa"/>
              <w:right w:w="57" w:type="dxa"/>
            </w:tcMar>
            <w:vAlign w:val="center"/>
          </w:tcPr>
          <w:p>
            <w:pPr>
              <w:widowControl/>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（六）其他处理</w:t>
            </w:r>
          </w:p>
        </w:tc>
        <w:tc>
          <w:tcPr>
            <w:tcW w:w="3037" w:type="dxa"/>
            <w:tcMar>
              <w:left w:w="57" w:type="dxa"/>
              <w:right w:w="57" w:type="dxa"/>
            </w:tcMar>
            <w:vAlign w:val="center"/>
          </w:tcPr>
          <w:p>
            <w:pPr>
              <w:widowControl/>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1.申请人无正当理由逾期不补正、行政机关不再处理其政府信息公开申请</w:t>
            </w:r>
          </w:p>
        </w:tc>
        <w:tc>
          <w:tcPr>
            <w:tcW w:w="691"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0</w:t>
            </w: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40"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71"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0</w:t>
            </w: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jc w:val="center"/>
        </w:trPr>
        <w:tc>
          <w:tcPr>
            <w:tcW w:w="771" w:type="dxa"/>
            <w:vMerge w:val="continue"/>
            <w:tcMar>
              <w:left w:w="57" w:type="dxa"/>
              <w:right w:w="57" w:type="dxa"/>
            </w:tcMar>
            <w:vAlign w:val="center"/>
          </w:tcPr>
          <w:p>
            <w:pPr>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948" w:type="dxa"/>
            <w:vMerge w:val="continue"/>
            <w:tcMar>
              <w:left w:w="57" w:type="dxa"/>
              <w:right w:w="57" w:type="dxa"/>
            </w:tcMar>
            <w:vAlign w:val="center"/>
          </w:tcPr>
          <w:p>
            <w:pPr>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3037" w:type="dxa"/>
            <w:tcMar>
              <w:left w:w="57" w:type="dxa"/>
              <w:right w:w="57" w:type="dxa"/>
            </w:tcMar>
            <w:vAlign w:val="center"/>
          </w:tcPr>
          <w:p>
            <w:pPr>
              <w:widowControl/>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2.申请人逾期未按收费通知要求缴纳费用、行政机关不再处理其政府信息公开申请</w:t>
            </w:r>
          </w:p>
        </w:tc>
        <w:tc>
          <w:tcPr>
            <w:tcW w:w="691"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0</w:t>
            </w:r>
          </w:p>
        </w:tc>
        <w:tc>
          <w:tcPr>
            <w:tcW w:w="691"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40"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7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0</w:t>
            </w: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771" w:type="dxa"/>
            <w:vMerge w:val="continue"/>
            <w:tcMar>
              <w:left w:w="57" w:type="dxa"/>
              <w:right w:w="57" w:type="dxa"/>
            </w:tcMar>
            <w:vAlign w:val="center"/>
          </w:tcPr>
          <w:p>
            <w:pPr>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948" w:type="dxa"/>
            <w:vMerge w:val="continue"/>
            <w:tcMar>
              <w:left w:w="57" w:type="dxa"/>
              <w:right w:w="57" w:type="dxa"/>
            </w:tcMar>
            <w:vAlign w:val="center"/>
          </w:tcPr>
          <w:p>
            <w:pPr>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3037" w:type="dxa"/>
            <w:tcMar>
              <w:left w:w="57" w:type="dxa"/>
              <w:right w:w="57" w:type="dxa"/>
            </w:tcMar>
            <w:vAlign w:val="center"/>
          </w:tcPr>
          <w:p>
            <w:pPr>
              <w:widowControl/>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3.其他</w:t>
            </w:r>
          </w:p>
        </w:tc>
        <w:tc>
          <w:tcPr>
            <w:tcW w:w="691"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0</w:t>
            </w:r>
          </w:p>
        </w:tc>
        <w:tc>
          <w:tcPr>
            <w:tcW w:w="691"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40"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71" w:type="dxa"/>
            <w:tcMar>
              <w:left w:w="57" w:type="dxa"/>
              <w:right w:w="57" w:type="dxa"/>
            </w:tcMar>
            <w:vAlign w:val="top"/>
          </w:tcPr>
          <w:p>
            <w:pPr>
              <w:widowControl/>
              <w:jc w:val="cente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771" w:type="dxa"/>
            <w:vMerge w:val="continue"/>
            <w:tcMar>
              <w:left w:w="57" w:type="dxa"/>
              <w:right w:w="57" w:type="dxa"/>
            </w:tcMar>
            <w:vAlign w:val="center"/>
          </w:tcPr>
          <w:p>
            <w:pPr>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3985" w:type="dxa"/>
            <w:gridSpan w:val="2"/>
            <w:tcMar>
              <w:left w:w="57" w:type="dxa"/>
              <w:right w:w="57" w:type="dxa"/>
            </w:tcMar>
            <w:vAlign w:val="center"/>
          </w:tcPr>
          <w:p>
            <w:pPr>
              <w:widowControl/>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（七）总计</w:t>
            </w:r>
          </w:p>
        </w:tc>
        <w:tc>
          <w:tcPr>
            <w:tcW w:w="691"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7</w:t>
            </w:r>
          </w:p>
        </w:tc>
        <w:tc>
          <w:tcPr>
            <w:tcW w:w="691"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1</w:t>
            </w:r>
          </w:p>
        </w:tc>
        <w:tc>
          <w:tcPr>
            <w:tcW w:w="691"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40"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71" w:type="dxa"/>
            <w:tcMar>
              <w:left w:w="57" w:type="dxa"/>
              <w:right w:w="57" w:type="dxa"/>
            </w:tcMar>
            <w:vAlign w:val="top"/>
          </w:tcPr>
          <w:p>
            <w:pPr>
              <w:widowControl/>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4756" w:type="dxa"/>
            <w:gridSpan w:val="3"/>
            <w:tcMar>
              <w:left w:w="57" w:type="dxa"/>
              <w:right w:w="57" w:type="dxa"/>
            </w:tcMar>
            <w:vAlign w:val="center"/>
          </w:tcPr>
          <w:p>
            <w:pPr>
              <w:widowControl/>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四、结转下年度继续办理</w:t>
            </w:r>
          </w:p>
        </w:tc>
        <w:tc>
          <w:tcPr>
            <w:tcW w:w="691" w:type="dxa"/>
            <w:tcMar>
              <w:left w:w="57" w:type="dxa"/>
              <w:right w:w="57" w:type="dxa"/>
            </w:tcMar>
            <w:vAlign w:val="center"/>
          </w:tcPr>
          <w:p>
            <w:pPr>
              <w:widowControl/>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1</w:t>
            </w:r>
          </w:p>
        </w:tc>
        <w:tc>
          <w:tcPr>
            <w:tcW w:w="691"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91"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40" w:type="dxa"/>
            <w:tcMar>
              <w:left w:w="57" w:type="dxa"/>
              <w:right w:w="57" w:type="dxa"/>
            </w:tcMar>
            <w:vAlign w:val="center"/>
          </w:tcPr>
          <w:p>
            <w:pPr>
              <w:widowControl/>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 </w:t>
            </w:r>
          </w:p>
        </w:tc>
        <w:tc>
          <w:tcPr>
            <w:tcW w:w="671" w:type="dxa"/>
            <w:tcMar>
              <w:left w:w="57" w:type="dxa"/>
              <w:right w:w="57" w:type="dxa"/>
            </w:tcMar>
            <w:vAlign w:val="top"/>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1</w:t>
            </w:r>
          </w:p>
        </w:tc>
      </w:tr>
    </w:tbl>
    <w:p>
      <w:pPr>
        <w:pStyle w:val="5"/>
        <w:widowControl/>
        <w:shd w:val="clear" w:color="auto" w:fill="FFFFFF"/>
        <w:spacing w:before="0" w:beforeAutospacing="0" w:after="0" w:afterAutospacing="0"/>
        <w:jc w:val="both"/>
        <w:rPr>
          <w:rFonts w:hint="eastAsia" w:ascii="宋体" w:hAnsi="宋体" w:cs="宋体"/>
          <w:color w:val="333333"/>
        </w:rPr>
      </w:pPr>
      <w:r>
        <w:rPr>
          <w:rFonts w:hint="eastAsia" w:ascii="黑体" w:hAnsi="黑体" w:eastAsia="黑体" w:cs="黑体"/>
          <w:bCs/>
          <w:color w:val="000000" w:themeColor="text1"/>
          <w:sz w:val="32"/>
          <w:szCs w:val="32"/>
          <w:highlight w:val="none"/>
          <w:shd w:val="clear" w:color="auto" w:fill="FFFFFF"/>
          <w14:textFill>
            <w14:solidFill>
              <w14:schemeClr w14:val="tx1"/>
            </w14:solidFill>
          </w14:textFill>
        </w:rPr>
        <w:t>四、政府信息公开行政复议、行政诉讼情况</w:t>
      </w:r>
    </w:p>
    <w:tbl>
      <w:tblPr>
        <w:tblStyle w:val="6"/>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2" w:hRule="atLeast"/>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7" w:hRule="atLeast"/>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结果</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其他</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尚未</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仿宋_GB2312" w:eastAsia="仿宋_GB2312" w:cs="仿宋_GB2312"/>
                <w:szCs w:val="21"/>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仿宋_GB2312" w:eastAsia="仿宋_GB2312" w:cs="仿宋_GB2312"/>
                <w:szCs w:val="21"/>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仿宋_GB2312" w:eastAsia="仿宋_GB2312" w:cs="仿宋_GB2312"/>
                <w:szCs w:val="21"/>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仿宋_GB2312" w:eastAsia="仿宋_GB2312" w:cs="仿宋_GB2312"/>
                <w:szCs w:val="21"/>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仿宋_GB2312" w:eastAsia="仿宋_GB2312" w:cs="仿宋_GB2312"/>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结果</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结果</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其他</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尚未</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结果</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结果</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其他</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尚未</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 </w:t>
            </w:r>
            <w:r>
              <w:rPr>
                <w:rFonts w:hint="eastAsia" w:ascii="仿宋_GB2312" w:hAnsi="仿宋_GB2312" w:eastAsia="仿宋_GB2312" w:cs="仿宋_GB2312"/>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 </w:t>
            </w:r>
            <w:r>
              <w:rPr>
                <w:rFonts w:hint="eastAsia" w:ascii="仿宋_GB2312" w:hAnsi="仿宋_GB2312" w:eastAsia="仿宋_GB2312" w:cs="仿宋_GB2312"/>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r>
              <w:rPr>
                <w:rFonts w:hint="eastAsia" w:ascii="仿宋_GB2312" w:hAnsi="仿宋_GB2312" w:eastAsia="仿宋_GB2312" w:cs="仿宋_GB2312"/>
                <w:szCs w:val="21"/>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r>
              <w:rPr>
                <w:rFonts w:hint="eastAsia" w:ascii="仿宋_GB2312" w:hAnsi="仿宋_GB2312" w:eastAsia="仿宋_GB2312" w:cs="仿宋_GB2312"/>
                <w:szCs w:val="21"/>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 </w:t>
            </w:r>
            <w:r>
              <w:rPr>
                <w:rFonts w:hint="eastAsia" w:ascii="仿宋_GB2312" w:hAnsi="仿宋_GB2312" w:eastAsia="仿宋_GB2312" w:cs="仿宋_GB2312"/>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 </w:t>
            </w:r>
            <w:r>
              <w:rPr>
                <w:rFonts w:hint="eastAsia" w:ascii="仿宋_GB2312" w:hAnsi="仿宋_GB2312" w:eastAsia="仿宋_GB2312" w:cs="仿宋_GB2312"/>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r>
              <w:rPr>
                <w:rFonts w:hint="eastAsia" w:ascii="仿宋_GB2312" w:hAnsi="仿宋_GB2312" w:eastAsia="仿宋_GB2312" w:cs="仿宋_GB2312"/>
                <w:szCs w:val="21"/>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r>
    </w:tbl>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黑体" w:hAnsi="黑体" w:eastAsia="黑体" w:cs="黑体"/>
          <w:bCs/>
          <w:color w:val="333333"/>
          <w:sz w:val="32"/>
          <w:szCs w:val="32"/>
          <w:shd w:val="clear" w:color="auto" w:fill="FFFFFF"/>
        </w:rPr>
      </w:pPr>
      <w:r>
        <w:rPr>
          <w:rFonts w:hint="eastAsia" w:ascii="黑体" w:hAnsi="黑体" w:eastAsia="黑体" w:cs="黑体"/>
          <w:bCs/>
          <w:color w:val="333333"/>
          <w:sz w:val="32"/>
          <w:szCs w:val="32"/>
          <w:shd w:val="clear" w:color="auto" w:fill="FFFFFF"/>
        </w:rPr>
        <w:t>五、存在的主要问题及改进情况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eastAsia" w:ascii="楷体_GB2312" w:hAnsi="楷体_GB2312" w:eastAsia="楷体_GB2312" w:cs="楷体_GB2312"/>
          <w:b/>
          <w:bCs/>
          <w:i w:val="0"/>
          <w:caps w:val="0"/>
          <w:color w:val="333333"/>
          <w:spacing w:val="0"/>
          <w:sz w:val="32"/>
          <w:szCs w:val="32"/>
          <w:shd w:val="clear" w:color="auto" w:fill="FFFFFF"/>
        </w:rPr>
      </w:pPr>
      <w:r>
        <w:rPr>
          <w:rFonts w:hint="eastAsia" w:ascii="楷体_GB2312" w:hAnsi="楷体_GB2312" w:eastAsia="楷体_GB2312" w:cs="楷体_GB2312"/>
          <w:b/>
          <w:bCs/>
          <w:i w:val="0"/>
          <w:caps w:val="0"/>
          <w:color w:val="333333"/>
          <w:spacing w:val="0"/>
          <w:sz w:val="32"/>
          <w:szCs w:val="32"/>
          <w:shd w:val="clear" w:color="auto" w:fill="FFFFFF"/>
        </w:rPr>
        <w:t>（一）存在的主要问题。</w:t>
      </w:r>
    </w:p>
    <w:p>
      <w:pPr>
        <w:pStyle w:val="5"/>
        <w:shd w:val="clear" w:color="auto" w:fill="FFFFFF"/>
        <w:spacing w:before="0" w:beforeAutospacing="0" w:after="0" w:afterAutospacing="0" w:line="576" w:lineRule="exact"/>
        <w:ind w:firstLine="640" w:firstLineChars="200"/>
        <w:jc w:val="both"/>
        <w:rPr>
          <w:rFonts w:hint="eastAsia" w:ascii="仿宋_GB2312" w:hAnsi="仿宋_GB2312" w:eastAsia="仿宋_GB2312" w:cs="仿宋_GB2312"/>
          <w:color w:val="1C1C1C"/>
          <w:sz w:val="32"/>
          <w:szCs w:val="32"/>
          <w:lang w:val="en-US" w:eastAsia="zh-CN"/>
        </w:rPr>
      </w:pPr>
      <w:r>
        <w:rPr>
          <w:rFonts w:hint="eastAsia" w:ascii="仿宋_GB2312" w:hAnsi="仿宋_GB2312" w:eastAsia="仿宋_GB2312" w:cs="仿宋_GB2312"/>
          <w:color w:val="1C1C1C"/>
          <w:sz w:val="32"/>
          <w:szCs w:val="32"/>
          <w:lang w:val="en-US" w:eastAsia="zh-CN"/>
        </w:rPr>
        <w:t>2021年，我县在推进政务公开工作中虽然取得了一些成绩和进步，但也存在一些问题。</w:t>
      </w:r>
      <w:r>
        <w:rPr>
          <w:rFonts w:hint="eastAsia" w:ascii="仿宋_GB2312" w:hAnsi="仿宋_GB2312" w:eastAsia="仿宋_GB2312" w:cs="仿宋_GB2312"/>
          <w:b/>
          <w:bCs/>
          <w:color w:val="1C1C1C"/>
          <w:sz w:val="32"/>
          <w:szCs w:val="32"/>
          <w:lang w:val="en-US" w:eastAsia="zh-CN"/>
        </w:rPr>
        <w:t>一是</w:t>
      </w:r>
      <w:r>
        <w:rPr>
          <w:rFonts w:hint="eastAsia" w:ascii="仿宋_GB2312" w:hAnsi="仿宋_GB2312" w:eastAsia="仿宋_GB2312" w:cs="仿宋_GB2312"/>
          <w:color w:val="1C1C1C"/>
          <w:sz w:val="32"/>
          <w:szCs w:val="32"/>
          <w:lang w:val="en-US" w:eastAsia="zh-CN"/>
        </w:rPr>
        <w:t>基层队伍不健全，部分镇和部门人员更换频繁，难以保障工作正常开展；</w:t>
      </w:r>
      <w:r>
        <w:rPr>
          <w:rFonts w:hint="eastAsia" w:ascii="仿宋_GB2312" w:hAnsi="仿宋_GB2312" w:eastAsia="仿宋_GB2312" w:cs="仿宋_GB2312"/>
          <w:b/>
          <w:bCs/>
          <w:color w:val="1C1C1C"/>
          <w:sz w:val="32"/>
          <w:szCs w:val="32"/>
          <w:lang w:val="en-US" w:eastAsia="zh-CN"/>
        </w:rPr>
        <w:t>二是</w:t>
      </w:r>
      <w:r>
        <w:rPr>
          <w:rFonts w:hint="eastAsia" w:ascii="仿宋_GB2312" w:hAnsi="仿宋_GB2312" w:eastAsia="仿宋_GB2312" w:cs="仿宋_GB2312"/>
          <w:color w:val="1C1C1C"/>
          <w:sz w:val="32"/>
          <w:szCs w:val="32"/>
          <w:lang w:val="en-US" w:eastAsia="zh-CN"/>
        </w:rPr>
        <w:t>部分领域信息公开不全面，标准化规范化不够，重大建设项目、社会公益事业、公共资源配置等领域信息公开仍有提升空间；</w:t>
      </w:r>
      <w:r>
        <w:rPr>
          <w:rFonts w:hint="eastAsia" w:ascii="仿宋_GB2312" w:hAnsi="仿宋_GB2312" w:eastAsia="仿宋_GB2312" w:cs="仿宋_GB2312"/>
          <w:b/>
          <w:bCs/>
          <w:color w:val="1C1C1C"/>
          <w:sz w:val="32"/>
          <w:szCs w:val="32"/>
          <w:lang w:val="en-US" w:eastAsia="zh-CN"/>
        </w:rPr>
        <w:t>三是</w:t>
      </w:r>
      <w:r>
        <w:rPr>
          <w:rFonts w:hint="eastAsia" w:ascii="仿宋_GB2312" w:hAnsi="仿宋_GB2312" w:eastAsia="仿宋_GB2312" w:cs="仿宋_GB2312"/>
          <w:color w:val="1C1C1C"/>
          <w:sz w:val="32"/>
          <w:szCs w:val="32"/>
          <w:lang w:val="en-US" w:eastAsia="zh-CN"/>
        </w:rPr>
        <w:t>政策解读形式单一，需要继续丰富；</w:t>
      </w:r>
      <w:r>
        <w:rPr>
          <w:rFonts w:hint="eastAsia" w:ascii="仿宋_GB2312" w:hAnsi="仿宋_GB2312" w:eastAsia="仿宋_GB2312" w:cs="仿宋_GB2312"/>
          <w:b/>
          <w:bCs/>
          <w:color w:val="1C1C1C"/>
          <w:sz w:val="32"/>
          <w:szCs w:val="32"/>
          <w:lang w:val="en-US" w:eastAsia="zh-CN"/>
        </w:rPr>
        <w:t>四是</w:t>
      </w:r>
      <w:r>
        <w:rPr>
          <w:rFonts w:hint="eastAsia" w:ascii="仿宋_GB2312" w:hAnsi="仿宋_GB2312" w:eastAsia="仿宋_GB2312" w:cs="仿宋_GB2312"/>
          <w:color w:val="1C1C1C"/>
          <w:sz w:val="32"/>
          <w:szCs w:val="32"/>
          <w:lang w:val="en-US" w:eastAsia="zh-CN"/>
        </w:rPr>
        <w:t>基层政务公开队伍整体水平与上级要求和群众期盼相比仍有一定差距，需进一步提高。</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eastAsia" w:ascii="楷体_GB2312" w:hAnsi="楷体_GB2312" w:eastAsia="楷体_GB2312" w:cs="楷体_GB2312"/>
          <w:b/>
          <w:bCs/>
          <w:i w:val="0"/>
          <w:caps w:val="0"/>
          <w:color w:val="333333"/>
          <w:spacing w:val="0"/>
          <w:sz w:val="32"/>
          <w:szCs w:val="32"/>
          <w:shd w:val="clear" w:color="auto" w:fill="FFFFFF"/>
        </w:rPr>
      </w:pPr>
      <w:r>
        <w:rPr>
          <w:rFonts w:hint="eastAsia" w:ascii="楷体_GB2312" w:hAnsi="楷体_GB2312" w:eastAsia="楷体_GB2312" w:cs="楷体_GB2312"/>
          <w:b/>
          <w:bCs/>
          <w:i w:val="0"/>
          <w:caps w:val="0"/>
          <w:color w:val="333333"/>
          <w:spacing w:val="0"/>
          <w:sz w:val="32"/>
          <w:szCs w:val="32"/>
          <w:shd w:val="clear" w:color="auto" w:fill="FFFFFF"/>
        </w:rPr>
        <w:t>（二）改进情况。</w:t>
      </w:r>
    </w:p>
    <w:p>
      <w:pPr>
        <w:pStyle w:val="5"/>
        <w:shd w:val="clear" w:color="auto" w:fill="FFFFFF"/>
        <w:spacing w:before="0" w:beforeAutospacing="0" w:after="0" w:afterAutospacing="0" w:line="576" w:lineRule="exact"/>
        <w:ind w:firstLine="643" w:firstLineChars="200"/>
        <w:jc w:val="both"/>
        <w:rPr>
          <w:rFonts w:hint="eastAsia" w:ascii="仿宋_GB2312" w:hAnsi="仿宋_GB2312" w:eastAsia="仿宋_GB2312" w:cs="仿宋_GB2312"/>
          <w:color w:val="1C1C1C"/>
          <w:sz w:val="32"/>
          <w:szCs w:val="32"/>
          <w:lang w:val="en-US" w:eastAsia="zh-CN"/>
        </w:rPr>
      </w:pPr>
      <w:r>
        <w:rPr>
          <w:rFonts w:hint="eastAsia" w:ascii="仿宋_GB2312" w:hAnsi="仿宋_GB2312" w:eastAsia="仿宋_GB2312" w:cs="仿宋_GB2312"/>
          <w:b/>
          <w:bCs/>
          <w:color w:val="1C1C1C"/>
          <w:sz w:val="32"/>
          <w:szCs w:val="32"/>
          <w:lang w:val="en-US" w:eastAsia="zh-CN"/>
        </w:rPr>
        <w:t>一是加强组织领导。</w:t>
      </w:r>
      <w:r>
        <w:rPr>
          <w:rFonts w:hint="eastAsia" w:ascii="仿宋_GB2312" w:hAnsi="仿宋_GB2312" w:eastAsia="仿宋_GB2312" w:cs="仿宋_GB2312"/>
          <w:color w:val="1C1C1C"/>
          <w:sz w:val="32"/>
          <w:szCs w:val="32"/>
          <w:lang w:val="en-US" w:eastAsia="zh-CN"/>
        </w:rPr>
        <w:t>进一步压实工作责任，理顺工作机制，细化工作职责，切实解决工作推进过程中的困难和问题，加强政务公开机构建设和业务培训，切实提高相关干部业务素质，确</w:t>
      </w:r>
      <w:bookmarkStart w:id="0" w:name="_GoBack"/>
      <w:bookmarkEnd w:id="0"/>
      <w:r>
        <w:rPr>
          <w:rFonts w:hint="eastAsia" w:ascii="仿宋_GB2312" w:hAnsi="仿宋_GB2312" w:eastAsia="仿宋_GB2312" w:cs="仿宋_GB2312"/>
          <w:color w:val="1C1C1C"/>
          <w:sz w:val="32"/>
          <w:szCs w:val="32"/>
          <w:lang w:val="en-US" w:eastAsia="zh-CN"/>
        </w:rPr>
        <w:t>保政务公开工作有序开展，取得实效。</w:t>
      </w:r>
    </w:p>
    <w:p>
      <w:pPr>
        <w:pStyle w:val="5"/>
        <w:shd w:val="clear" w:color="auto" w:fill="FFFFFF"/>
        <w:spacing w:before="0" w:beforeAutospacing="0" w:after="0" w:afterAutospacing="0" w:line="576" w:lineRule="exact"/>
        <w:ind w:firstLine="643" w:firstLineChars="200"/>
        <w:jc w:val="both"/>
        <w:rPr>
          <w:rFonts w:hint="eastAsia" w:ascii="仿宋_GB2312" w:hAnsi="仿宋_GB2312" w:eastAsia="仿宋_GB2312" w:cs="仿宋_GB2312"/>
          <w:color w:val="1C1C1C"/>
          <w:sz w:val="32"/>
          <w:szCs w:val="32"/>
          <w:lang w:val="en-US" w:eastAsia="zh-CN"/>
        </w:rPr>
      </w:pPr>
      <w:r>
        <w:rPr>
          <w:rFonts w:hint="eastAsia" w:ascii="仿宋_GB2312" w:hAnsi="仿宋_GB2312" w:eastAsia="仿宋_GB2312" w:cs="仿宋_GB2312"/>
          <w:b/>
          <w:bCs/>
          <w:color w:val="1C1C1C"/>
          <w:sz w:val="32"/>
          <w:szCs w:val="32"/>
          <w:lang w:val="en-US" w:eastAsia="zh-CN"/>
        </w:rPr>
        <w:t>二是创新解读方式。</w:t>
      </w:r>
      <w:r>
        <w:rPr>
          <w:rFonts w:hint="eastAsia" w:ascii="仿宋_GB2312" w:hAnsi="仿宋_GB2312" w:eastAsia="仿宋_GB2312" w:cs="仿宋_GB2312"/>
          <w:color w:val="1C1C1C"/>
          <w:sz w:val="32"/>
          <w:szCs w:val="32"/>
          <w:lang w:val="en-US" w:eastAsia="zh-CN"/>
        </w:rPr>
        <w:t>对涉及面广、社会关注度高、专业性强的政策文件，创新运用视频、图解、数字等公众喜闻乐见的呈现方式进行深入解读，及时准确传递权威信息和政策意图。</w:t>
      </w:r>
    </w:p>
    <w:p>
      <w:pPr>
        <w:pStyle w:val="5"/>
        <w:shd w:val="clear" w:color="auto" w:fill="FFFFFF"/>
        <w:spacing w:before="0" w:beforeAutospacing="0" w:after="0" w:afterAutospacing="0" w:line="576" w:lineRule="exact"/>
        <w:ind w:firstLine="643" w:firstLineChars="200"/>
        <w:jc w:val="both"/>
        <w:rPr>
          <w:rFonts w:hint="eastAsia" w:ascii="仿宋_GB2312" w:hAnsi="仿宋_GB2312" w:eastAsia="仿宋_GB2312" w:cs="仿宋_GB2312"/>
          <w:color w:val="1C1C1C"/>
          <w:sz w:val="32"/>
          <w:szCs w:val="32"/>
          <w:lang w:val="en-US" w:eastAsia="zh-CN"/>
        </w:rPr>
      </w:pPr>
      <w:r>
        <w:rPr>
          <w:rFonts w:hint="eastAsia" w:ascii="仿宋_GB2312" w:hAnsi="仿宋_GB2312" w:eastAsia="仿宋_GB2312" w:cs="仿宋_GB2312"/>
          <w:b/>
          <w:bCs/>
          <w:color w:val="1C1C1C"/>
          <w:sz w:val="32"/>
          <w:szCs w:val="32"/>
          <w:lang w:val="en-US" w:eastAsia="zh-CN"/>
        </w:rPr>
        <w:t>三是提升公开质效。</w:t>
      </w:r>
      <w:r>
        <w:rPr>
          <w:rFonts w:hint="eastAsia" w:ascii="仿宋_GB2312" w:hAnsi="仿宋_GB2312" w:eastAsia="仿宋_GB2312" w:cs="仿宋_GB2312"/>
          <w:color w:val="1C1C1C"/>
          <w:sz w:val="32"/>
          <w:szCs w:val="32"/>
          <w:lang w:val="en-US" w:eastAsia="zh-CN"/>
        </w:rPr>
        <w:t>坚持“公开为常态、不公开为例外”原则，持续推进政务公开工作常态化、规范化建设。定期对政务公开工作开展情况进行督查，发现问题及时督办整改，切实提高政府信息公开质量。</w:t>
      </w:r>
    </w:p>
    <w:p>
      <w:pPr>
        <w:pStyle w:val="5"/>
        <w:shd w:val="clear" w:color="auto" w:fill="FFFFFF"/>
        <w:spacing w:before="0" w:beforeAutospacing="0" w:after="0" w:afterAutospacing="0" w:line="576" w:lineRule="exact"/>
        <w:ind w:firstLine="643" w:firstLineChars="200"/>
        <w:jc w:val="both"/>
        <w:rPr>
          <w:rFonts w:hint="eastAsia" w:ascii="仿宋_GB2312" w:hAnsi="仿宋_GB2312" w:eastAsia="仿宋_GB2312" w:cs="仿宋_GB2312"/>
          <w:color w:val="1C1C1C"/>
          <w:sz w:val="32"/>
          <w:szCs w:val="32"/>
          <w:lang w:val="en-US" w:eastAsia="zh-CN"/>
        </w:rPr>
      </w:pPr>
      <w:r>
        <w:rPr>
          <w:rFonts w:hint="eastAsia" w:ascii="仿宋_GB2312" w:hAnsi="仿宋_GB2312" w:eastAsia="仿宋_GB2312" w:cs="仿宋_GB2312"/>
          <w:b/>
          <w:bCs/>
          <w:color w:val="1C1C1C"/>
          <w:sz w:val="32"/>
          <w:szCs w:val="32"/>
          <w:lang w:val="en-US" w:eastAsia="zh-CN"/>
        </w:rPr>
        <w:t>四是拓展公开范围。</w:t>
      </w:r>
      <w:r>
        <w:rPr>
          <w:rFonts w:hint="eastAsia" w:ascii="仿宋_GB2312" w:hAnsi="仿宋_GB2312" w:eastAsia="仿宋_GB2312" w:cs="仿宋_GB2312"/>
          <w:color w:val="1C1C1C"/>
          <w:sz w:val="32"/>
          <w:szCs w:val="32"/>
          <w:lang w:val="en-US" w:eastAsia="zh-CN"/>
        </w:rPr>
        <w:t>持续推进政务“五公开”。紧紧围绕全县工作大局，将政务公开同“放管服”改革、优化营商环境等工作有机结合，深入推进政务公开标准化规范化建设，以高效的政务公开促进经济社会高质量发展。</w:t>
      </w:r>
    </w:p>
    <w:p>
      <w:pPr>
        <w:pStyle w:val="5"/>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黑体" w:hAnsi="黑体" w:eastAsia="黑体" w:cs="黑体"/>
          <w:bCs/>
          <w:color w:val="333333"/>
          <w:sz w:val="32"/>
          <w:szCs w:val="32"/>
          <w:shd w:val="clear" w:color="auto" w:fill="FFFFFF"/>
        </w:rPr>
      </w:pPr>
      <w:r>
        <w:rPr>
          <w:rFonts w:hint="eastAsia" w:ascii="黑体" w:hAnsi="黑体" w:eastAsia="黑体" w:cs="黑体"/>
          <w:bCs/>
          <w:color w:val="333333"/>
          <w:sz w:val="32"/>
          <w:szCs w:val="32"/>
          <w:shd w:val="clear" w:color="auto" w:fill="FFFFFF"/>
        </w:rPr>
        <w:t>其他需要报告的事项</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2021年，我县共收到9件政府信息公开申请，均未收取信息公开信息处理费。</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5103495</wp:posOffset>
              </wp:positionH>
              <wp:positionV relativeFrom="paragraph">
                <wp:posOffset>-121285</wp:posOffset>
              </wp:positionV>
              <wp:extent cx="513080" cy="2673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13080" cy="2673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1.85pt;margin-top:-9.55pt;height:21.05pt;width:40.4pt;mso-position-horizontal-relative:margin;z-index:251659264;mso-width-relative:page;mso-height-relative:page;" filled="f" stroked="f" coordsize="21600,21600" o:gfxdata="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jNG3vZAAAACgEAAA8AAAAAAAAAAQAgAAAAIgAAAGRycy9kb3du&#10;cmV2LnhtbFBLAQIUABQAAAAIAIdO4kCXLyzJNwIAAGEEAAAOAAAAAAAAAAEAIAAAACgBAABkcnMv&#10;ZTJvRG9jLnhtbFBLBQYAAAAABgAGAFkBAADRBQA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131892"/>
    <w:multiLevelType w:val="singleLevel"/>
    <w:tmpl w:val="32131892"/>
    <w:lvl w:ilvl="0" w:tentative="0">
      <w:start w:val="1"/>
      <w:numFmt w:val="chineseCounting"/>
      <w:suff w:val="nothing"/>
      <w:lvlText w:val="（%1）"/>
      <w:lvlJc w:val="left"/>
      <w:rPr>
        <w:rFonts w:hint="eastAsia"/>
      </w:rPr>
    </w:lvl>
  </w:abstractNum>
  <w:abstractNum w:abstractNumId="1">
    <w:nsid w:val="780F0199"/>
    <w:multiLevelType w:val="singleLevel"/>
    <w:tmpl w:val="780F0199"/>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MTFiNGJhYTAwM2JiZGViYTFkN2U1ZTYwYzA5NmQifQ=="/>
  </w:docVars>
  <w:rsids>
    <w:rsidRoot w:val="00000000"/>
    <w:rsid w:val="07262C55"/>
    <w:rsid w:val="139F7891"/>
    <w:rsid w:val="13B01CAC"/>
    <w:rsid w:val="1A4607A2"/>
    <w:rsid w:val="1B8F658C"/>
    <w:rsid w:val="1DA52684"/>
    <w:rsid w:val="22D07EA5"/>
    <w:rsid w:val="26B34207"/>
    <w:rsid w:val="27B31F7C"/>
    <w:rsid w:val="2D132CAD"/>
    <w:rsid w:val="2FEF0E50"/>
    <w:rsid w:val="321D4525"/>
    <w:rsid w:val="35224913"/>
    <w:rsid w:val="38A463F3"/>
    <w:rsid w:val="397253EC"/>
    <w:rsid w:val="3A6175C3"/>
    <w:rsid w:val="3F647C94"/>
    <w:rsid w:val="4E2F284B"/>
    <w:rsid w:val="50370E8C"/>
    <w:rsid w:val="51192C7F"/>
    <w:rsid w:val="540B7D45"/>
    <w:rsid w:val="588A0328"/>
    <w:rsid w:val="58C07286"/>
    <w:rsid w:val="59C052F6"/>
    <w:rsid w:val="5A1D21B2"/>
    <w:rsid w:val="60880427"/>
    <w:rsid w:val="617F6195"/>
    <w:rsid w:val="61E67610"/>
    <w:rsid w:val="637230C0"/>
    <w:rsid w:val="68646CA7"/>
    <w:rsid w:val="6F7E5D52"/>
    <w:rsid w:val="701F5BC8"/>
    <w:rsid w:val="75C62E56"/>
    <w:rsid w:val="79C550D9"/>
    <w:rsid w:val="7A413B10"/>
    <w:rsid w:val="7B8D3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8" w:lineRule="auto"/>
      <w:outlineLvl w:val="0"/>
    </w:pPr>
    <w:rPr>
      <w:rFonts w:ascii="Calibri" w:hAnsi="Calibri"/>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99"/>
    <w:rPr>
      <w:rFonts w:cs="Times New Roman"/>
    </w:rPr>
  </w:style>
  <w:style w:type="character" w:styleId="10">
    <w:name w:val="FollowedHyperlink"/>
    <w:basedOn w:val="7"/>
    <w:qFormat/>
    <w:uiPriority w:val="0"/>
    <w:rPr>
      <w:color w:val="333333"/>
      <w:u w:val="none"/>
    </w:rPr>
  </w:style>
  <w:style w:type="character" w:styleId="11">
    <w:name w:val="Emphasis"/>
    <w:basedOn w:val="7"/>
    <w:qFormat/>
    <w:uiPriority w:val="0"/>
  </w:style>
  <w:style w:type="character" w:styleId="12">
    <w:name w:val="HTML Definition"/>
    <w:basedOn w:val="7"/>
    <w:qFormat/>
    <w:uiPriority w:val="0"/>
  </w:style>
  <w:style w:type="character" w:styleId="13">
    <w:name w:val="HTML Acronym"/>
    <w:basedOn w:val="7"/>
    <w:qFormat/>
    <w:uiPriority w:val="0"/>
  </w:style>
  <w:style w:type="character" w:styleId="14">
    <w:name w:val="HTML Variable"/>
    <w:basedOn w:val="7"/>
    <w:qFormat/>
    <w:uiPriority w:val="0"/>
  </w:style>
  <w:style w:type="character" w:styleId="15">
    <w:name w:val="Hyperlink"/>
    <w:basedOn w:val="7"/>
    <w:qFormat/>
    <w:uiPriority w:val="0"/>
    <w:rPr>
      <w:color w:val="333333"/>
      <w:u w:val="none"/>
    </w:rPr>
  </w:style>
  <w:style w:type="character" w:styleId="16">
    <w:name w:val="HTML Code"/>
    <w:basedOn w:val="7"/>
    <w:qFormat/>
    <w:uiPriority w:val="0"/>
    <w:rPr>
      <w:rFonts w:ascii="Courier New" w:hAnsi="Courier New"/>
      <w:sz w:val="20"/>
    </w:rPr>
  </w:style>
  <w:style w:type="character" w:styleId="17">
    <w:name w:val="HTML Cite"/>
    <w:basedOn w:val="7"/>
    <w:qFormat/>
    <w:uiPriority w:val="0"/>
  </w:style>
  <w:style w:type="character" w:customStyle="1" w:styleId="18">
    <w:name w:val="chljeg"/>
    <w:basedOn w:val="7"/>
    <w:qFormat/>
    <w:uiPriority w:val="0"/>
    <w:rPr>
      <w:color w:val="E70000"/>
    </w:rPr>
  </w:style>
  <w:style w:type="character" w:customStyle="1" w:styleId="19">
    <w:name w:val="current1"/>
    <w:basedOn w:val="7"/>
    <w:qFormat/>
    <w:uiPriority w:val="0"/>
    <w:rPr>
      <w:b/>
      <w:color w:val="FFFFFF"/>
      <w:bdr w:val="single" w:color="278100" w:sz="4" w:space="0"/>
      <w:shd w:val="clear" w:fill="278100"/>
    </w:rPr>
  </w:style>
  <w:style w:type="character" w:customStyle="1" w:styleId="20">
    <w:name w:val="current2"/>
    <w:basedOn w:val="7"/>
    <w:qFormat/>
    <w:uiPriority w:val="0"/>
    <w:rPr>
      <w:b/>
      <w:color w:val="FFFFFF"/>
      <w:bdr w:val="single" w:color="1485FF" w:sz="4" w:space="0"/>
      <w:shd w:val="clear" w:fill="1485FF"/>
    </w:rPr>
  </w:style>
  <w:style w:type="character" w:customStyle="1" w:styleId="21">
    <w:name w:val="disabled"/>
    <w:basedOn w:val="7"/>
    <w:autoRedefine/>
    <w:qFormat/>
    <w:uiPriority w:val="0"/>
    <w:rPr>
      <w:color w:val="999999"/>
      <w:bdr w:val="single" w:color="C5C5C5" w:sz="4" w:space="0"/>
    </w:rPr>
  </w:style>
  <w:style w:type="character" w:customStyle="1" w:styleId="22">
    <w:name w:val="disabled1"/>
    <w:basedOn w:val="7"/>
    <w:qFormat/>
    <w:uiPriority w:val="0"/>
    <w:rPr>
      <w:color w:val="C0C0C0"/>
      <w:bdr w:val="single" w:color="C5C5C5" w:sz="4" w:space="0"/>
    </w:rPr>
  </w:style>
  <w:style w:type="character" w:customStyle="1" w:styleId="23">
    <w:name w:val="xjbm"/>
    <w:basedOn w:val="7"/>
    <w:qFormat/>
    <w:uiPriority w:val="0"/>
  </w:style>
  <w:style w:type="character" w:customStyle="1" w:styleId="24">
    <w:name w:val="dengji"/>
    <w:basedOn w:val="7"/>
    <w:qFormat/>
    <w:uiPriority w:val="0"/>
  </w:style>
  <w:style w:type="character" w:customStyle="1" w:styleId="25">
    <w:name w:val="dengji1"/>
    <w:basedOn w:val="7"/>
    <w:qFormat/>
    <w:uiPriority w:val="0"/>
  </w:style>
  <w:style w:type="character" w:customStyle="1" w:styleId="26">
    <w:name w:val="shenhe"/>
    <w:basedOn w:val="7"/>
    <w:qFormat/>
    <w:uiPriority w:val="0"/>
    <w:rPr>
      <w:color w:val="007E09"/>
    </w:rPr>
  </w:style>
  <w:style w:type="character" w:customStyle="1" w:styleId="27">
    <w:name w:val="fy_go"/>
    <w:basedOn w:val="7"/>
    <w:qFormat/>
    <w:uiPriority w:val="0"/>
    <w:rPr>
      <w:color w:val="FFFFFF"/>
      <w:sz w:val="16"/>
      <w:szCs w:val="16"/>
      <w:shd w:val="clear" w:fill="D10200"/>
    </w:rPr>
  </w:style>
  <w:style w:type="character" w:customStyle="1" w:styleId="28">
    <w:name w:val="line"/>
    <w:basedOn w:val="7"/>
    <w:qFormat/>
    <w:uiPriority w:val="0"/>
  </w:style>
  <w:style w:type="character" w:customStyle="1" w:styleId="29">
    <w:name w:val="line1"/>
    <w:basedOn w:val="7"/>
    <w:qFormat/>
    <w:uiPriority w:val="0"/>
  </w:style>
  <w:style w:type="character" w:customStyle="1" w:styleId="30">
    <w:name w:val="icon4"/>
    <w:basedOn w:val="7"/>
    <w:qFormat/>
    <w:uiPriority w:val="0"/>
  </w:style>
  <w:style w:type="character" w:customStyle="1" w:styleId="31">
    <w:name w:val="icon6"/>
    <w:basedOn w:val="7"/>
    <w:autoRedefine/>
    <w:qFormat/>
    <w:uiPriority w:val="0"/>
  </w:style>
  <w:style w:type="character" w:customStyle="1" w:styleId="32">
    <w:name w:val="icon8"/>
    <w:basedOn w:val="7"/>
    <w:qFormat/>
    <w:uiPriority w:val="0"/>
  </w:style>
  <w:style w:type="character" w:customStyle="1" w:styleId="33">
    <w:name w:val="last-child"/>
    <w:basedOn w:val="7"/>
    <w:qFormat/>
    <w:uiPriority w:val="0"/>
  </w:style>
  <w:style w:type="character" w:customStyle="1" w:styleId="34">
    <w:name w:val="sl"/>
    <w:basedOn w:val="7"/>
    <w:qFormat/>
    <w:uiPriority w:val="0"/>
    <w:rPr>
      <w:sz w:val="16"/>
      <w:szCs w:val="16"/>
    </w:rPr>
  </w:style>
  <w:style w:type="character" w:customStyle="1" w:styleId="35">
    <w:name w:val="on3"/>
    <w:basedOn w:val="7"/>
    <w:qFormat/>
    <w:uiPriority w:val="0"/>
    <w:rPr>
      <w:b/>
      <w:color w:val="D10200"/>
      <w:shd w:val="clear" w:fill="F2F2F2"/>
    </w:rPr>
  </w:style>
  <w:style w:type="character" w:customStyle="1" w:styleId="36">
    <w:name w:val="icon3"/>
    <w:basedOn w:val="7"/>
    <w:qFormat/>
    <w:uiPriority w:val="0"/>
  </w:style>
  <w:style w:type="character" w:customStyle="1" w:styleId="37">
    <w:name w:val="icon5"/>
    <w:basedOn w:val="7"/>
    <w:qFormat/>
    <w:uiPriority w:val="0"/>
  </w:style>
  <w:style w:type="character" w:customStyle="1" w:styleId="38">
    <w:name w:val="icon1"/>
    <w:basedOn w:val="7"/>
    <w:qFormat/>
    <w:uiPriority w:val="0"/>
  </w:style>
  <w:style w:type="character" w:customStyle="1" w:styleId="39">
    <w:name w:val="icon2"/>
    <w:basedOn w:val="7"/>
    <w:qFormat/>
    <w:uiPriority w:val="0"/>
  </w:style>
  <w:style w:type="character" w:customStyle="1" w:styleId="40">
    <w:name w:val="icon7"/>
    <w:basedOn w:val="7"/>
    <w:qFormat/>
    <w:uiPriority w:val="0"/>
  </w:style>
  <w:style w:type="character" w:customStyle="1" w:styleId="41">
    <w:name w:val="last-child1"/>
    <w:basedOn w:val="7"/>
    <w:qFormat/>
    <w:uiPriority w:val="0"/>
  </w:style>
  <w:style w:type="character" w:customStyle="1" w:styleId="42">
    <w:name w:val="line2"/>
    <w:basedOn w:val="7"/>
    <w:qFormat/>
    <w:uiPriority w:val="0"/>
  </w:style>
  <w:style w:type="character" w:customStyle="1" w:styleId="43">
    <w:name w:val="line3"/>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简单办公丶皎舟</cp:lastModifiedBy>
  <dcterms:modified xsi:type="dcterms:W3CDTF">2024-04-18T08:39:51Z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3DF9F70512594924A09F3A1D8BB5D27F</vt:lpwstr>
  </property>
</Properties>
</file>