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wmf" ContentType="image/x-wmf"/>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sz w:val="36"/>
          <w:szCs w:val="36"/>
        </w:rPr>
      </w:pPr>
      <w:bookmarkStart w:id="22" w:name="_GoBack"/>
      <w:bookmarkEnd w:id="22"/>
    </w:p>
    <w:p>
      <w:pPr>
        <w:pStyle w:val="3"/>
        <w:ind w:firstLine="0" w:firstLineChars="0"/>
        <w:rPr>
          <w:rFonts w:hint="default"/>
        </w:rPr>
      </w:pPr>
    </w:p>
    <w:p>
      <w:pPr>
        <w:adjustRightInd w:val="0"/>
        <w:snapToGrid w:val="0"/>
        <w:ind w:firstLine="0" w:firstLineChars="0"/>
        <w:jc w:val="center"/>
        <w:outlineLvl w:val="0"/>
        <w:rPr>
          <w:rFonts w:ascii="方正小标宋_GBK" w:eastAsia="方正小标宋_GBK"/>
          <w:bCs/>
          <w:sz w:val="72"/>
          <w:szCs w:val="72"/>
        </w:rPr>
      </w:pPr>
      <w:bookmarkStart w:id="0" w:name="_Toc10753"/>
      <w:r>
        <w:rPr>
          <w:rFonts w:hint="eastAsia" w:ascii="方正小标宋_GBK" w:eastAsia="方正小标宋_GBK"/>
          <w:bCs/>
          <w:sz w:val="72"/>
          <w:szCs w:val="72"/>
        </w:rPr>
        <w:t>建设项目环境影响报告表</w:t>
      </w:r>
      <w:bookmarkEnd w:id="0"/>
    </w:p>
    <w:p>
      <w:pPr>
        <w:adjustRightInd w:val="0"/>
        <w:snapToGrid w:val="0"/>
        <w:spacing w:beforeLines="80"/>
        <w:ind w:firstLine="0" w:firstLineChars="0"/>
        <w:jc w:val="center"/>
        <w:rPr>
          <w:rFonts w:ascii="楷体_GB2312" w:eastAsia="楷体_GB2312"/>
          <w:bCs/>
          <w:sz w:val="48"/>
          <w:szCs w:val="48"/>
        </w:rPr>
      </w:pPr>
      <w:r>
        <w:rPr>
          <w:rFonts w:hint="eastAsia" w:ascii="楷体_GB2312" w:eastAsia="楷体_GB2312"/>
          <w:bCs/>
          <w:sz w:val="48"/>
          <w:szCs w:val="48"/>
        </w:rPr>
        <w:t>（污染影响类）</w:t>
      </w:r>
    </w:p>
    <w:p>
      <w:pPr>
        <w:adjustRightInd w:val="0"/>
        <w:snapToGrid w:val="0"/>
        <w:spacing w:line="240" w:lineRule="auto"/>
        <w:ind w:firstLine="0" w:firstLineChars="0"/>
      </w:pPr>
    </w:p>
    <w:p>
      <w:pPr>
        <w:adjustRightInd w:val="0"/>
        <w:snapToGrid w:val="0"/>
        <w:spacing w:line="240" w:lineRule="auto"/>
        <w:ind w:firstLine="0" w:firstLineChars="0"/>
        <w:rPr>
          <w:rFonts w:eastAsia="仿宋"/>
          <w:sz w:val="52"/>
          <w:szCs w:val="52"/>
        </w:rPr>
      </w:pPr>
    </w:p>
    <w:p>
      <w:pPr>
        <w:adjustRightInd w:val="0"/>
        <w:snapToGrid w:val="0"/>
        <w:spacing w:line="240" w:lineRule="auto"/>
        <w:ind w:firstLine="0" w:firstLineChars="0"/>
        <w:rPr>
          <w:rFonts w:eastAsia="仿宋"/>
          <w:sz w:val="44"/>
          <w:szCs w:val="44"/>
        </w:rPr>
      </w:pPr>
    </w:p>
    <w:p>
      <w:pPr>
        <w:adjustRightInd w:val="0"/>
        <w:snapToGrid w:val="0"/>
        <w:spacing w:line="240" w:lineRule="auto"/>
        <w:ind w:firstLine="0" w:firstLineChars="0"/>
        <w:rPr>
          <w:rFonts w:eastAsia="仿宋"/>
          <w:sz w:val="44"/>
          <w:szCs w:val="44"/>
        </w:rPr>
      </w:pPr>
    </w:p>
    <w:p>
      <w:pPr>
        <w:pStyle w:val="25"/>
        <w:adjustRightInd w:val="0"/>
        <w:snapToGrid w:val="0"/>
        <w:spacing w:line="240" w:lineRule="auto"/>
        <w:ind w:left="0" w:leftChars="0" w:firstLine="0" w:firstLineChars="0"/>
      </w:pPr>
    </w:p>
    <w:p>
      <w:pPr>
        <w:pStyle w:val="8"/>
        <w:adjustRightInd w:val="0"/>
        <w:spacing w:before="0" w:after="0" w:line="240" w:lineRule="auto"/>
        <w:ind w:right="0" w:firstLine="0" w:firstLineChars="0"/>
      </w:pPr>
    </w:p>
    <w:p>
      <w:pPr>
        <w:adjustRightInd w:val="0"/>
        <w:snapToGrid w:val="0"/>
        <w:spacing w:line="240" w:lineRule="auto"/>
        <w:ind w:firstLine="0" w:firstLineChars="0"/>
        <w:rPr>
          <w:rFonts w:eastAsia="仿宋"/>
          <w:sz w:val="44"/>
          <w:szCs w:val="44"/>
        </w:rPr>
      </w:pPr>
    </w:p>
    <w:p>
      <w:pPr>
        <w:adjustRightInd w:val="0"/>
        <w:snapToGrid w:val="0"/>
        <w:spacing w:line="240" w:lineRule="auto"/>
        <w:ind w:firstLine="0" w:firstLineChars="0"/>
      </w:pPr>
    </w:p>
    <w:p>
      <w:pPr>
        <w:adjustRightInd w:val="0"/>
        <w:snapToGrid w:val="0"/>
        <w:spacing w:line="240" w:lineRule="auto"/>
        <w:ind w:firstLine="0" w:firstLineChars="0"/>
        <w:rPr>
          <w:rFonts w:eastAsia="仿宋"/>
          <w:sz w:val="44"/>
          <w:szCs w:val="44"/>
        </w:rPr>
      </w:pPr>
    </w:p>
    <w:p>
      <w:pPr>
        <w:adjustRightInd w:val="0"/>
        <w:snapToGrid w:val="0"/>
        <w:spacing w:line="288" w:lineRule="auto"/>
        <w:ind w:firstLine="360" w:firstLineChars="100"/>
        <w:rPr>
          <w:rFonts w:ascii="仿宋_GB2312" w:eastAsia="仿宋_GB2312"/>
          <w:sz w:val="36"/>
          <w:szCs w:val="36"/>
          <w:u w:val="single"/>
        </w:rPr>
      </w:pPr>
      <w:r>
        <w:rPr>
          <w:rFonts w:hint="eastAsia" w:ascii="仿宋_GB2312" w:eastAsia="仿宋_GB2312"/>
          <w:sz w:val="36"/>
          <w:szCs w:val="36"/>
        </w:rPr>
        <w:t>项目名称：</w:t>
      </w:r>
      <w:r>
        <w:rPr>
          <w:rFonts w:hint="eastAsia" w:ascii="仿宋_GB2312" w:eastAsia="仿宋_GB2312"/>
          <w:sz w:val="36"/>
          <w:szCs w:val="36"/>
          <w:u w:val="single"/>
        </w:rPr>
        <w:t>年产2万吨再生高纯硅生产项目</w:t>
      </w:r>
    </w:p>
    <w:p>
      <w:pPr>
        <w:adjustRightInd w:val="0"/>
        <w:snapToGrid w:val="0"/>
        <w:spacing w:line="288" w:lineRule="auto"/>
        <w:ind w:firstLine="360" w:firstLineChars="100"/>
        <w:rPr>
          <w:rFonts w:ascii="仿宋_GB2312" w:eastAsia="仿宋_GB2312"/>
          <w:sz w:val="36"/>
          <w:szCs w:val="36"/>
          <w:u w:val="single"/>
        </w:rPr>
      </w:pPr>
      <w:r>
        <w:rPr>
          <w:rFonts w:hint="eastAsia" w:ascii="仿宋_GB2312" w:eastAsia="仿宋_GB2312"/>
          <w:sz w:val="36"/>
          <w:szCs w:val="36"/>
        </w:rPr>
        <w:t>建设单位（盖章）：</w:t>
      </w:r>
      <w:r>
        <w:rPr>
          <w:rFonts w:hint="eastAsia" w:ascii="仿宋_GB2312" w:eastAsia="仿宋_GB2312"/>
          <w:sz w:val="36"/>
          <w:szCs w:val="36"/>
          <w:u w:val="single"/>
        </w:rPr>
        <w:t>陕西双环锻造有限公司</w:t>
      </w:r>
    </w:p>
    <w:p>
      <w:pPr>
        <w:tabs>
          <w:tab w:val="right" w:pos="8484"/>
        </w:tabs>
        <w:adjustRightInd w:val="0"/>
        <w:snapToGrid w:val="0"/>
        <w:spacing w:line="288" w:lineRule="auto"/>
        <w:ind w:firstLine="360" w:firstLineChars="100"/>
        <w:rPr>
          <w:rFonts w:ascii="仿宋_GB2312" w:eastAsia="仿宋_GB2312"/>
          <w:sz w:val="36"/>
          <w:szCs w:val="36"/>
          <w:u w:val="single"/>
        </w:rPr>
      </w:pPr>
      <w:r>
        <w:rPr>
          <w:rFonts w:hint="eastAsia" w:ascii="仿宋_GB2312" w:eastAsia="仿宋_GB2312"/>
          <w:sz w:val="36"/>
          <w:szCs w:val="36"/>
        </w:rPr>
        <w:t>编制日期：</w:t>
      </w:r>
      <w:r>
        <w:rPr>
          <w:rFonts w:hint="eastAsia" w:ascii="仿宋_GB2312" w:eastAsia="仿宋_GB2312"/>
          <w:sz w:val="36"/>
          <w:szCs w:val="36"/>
          <w:u w:val="single"/>
        </w:rPr>
        <w:t>二</w:t>
      </w:r>
      <w:r>
        <w:rPr>
          <w:rFonts w:hint="eastAsia" w:ascii="仿宋" w:hAnsi="仿宋" w:eastAsia="仿宋" w:cs="仿宋"/>
          <w:sz w:val="36"/>
          <w:szCs w:val="32"/>
          <w:u w:val="single"/>
        </w:rPr>
        <w:t>〇</w:t>
      </w:r>
      <w:r>
        <w:rPr>
          <w:rFonts w:hint="eastAsia" w:ascii="仿宋_GB2312" w:eastAsia="仿宋_GB2312"/>
          <w:sz w:val="36"/>
          <w:szCs w:val="36"/>
          <w:u w:val="single"/>
        </w:rPr>
        <w:t>二四年一月</w:t>
      </w:r>
      <w:bookmarkStart w:id="1" w:name="_Hlk57884087"/>
    </w:p>
    <w:p>
      <w:pPr>
        <w:adjustRightInd w:val="0"/>
        <w:snapToGrid w:val="0"/>
        <w:spacing w:line="288" w:lineRule="auto"/>
        <w:rPr>
          <w:rFonts w:ascii="仿宋_GB2312" w:eastAsia="仿宋_GB2312"/>
          <w:sz w:val="36"/>
          <w:szCs w:val="36"/>
        </w:rPr>
      </w:pPr>
    </w:p>
    <w:p>
      <w:pPr>
        <w:adjustRightInd w:val="0"/>
        <w:snapToGrid w:val="0"/>
        <w:spacing w:line="288" w:lineRule="auto"/>
        <w:rPr>
          <w:rFonts w:ascii="仿宋_GB2312" w:eastAsia="仿宋_GB2312"/>
          <w:sz w:val="36"/>
          <w:szCs w:val="36"/>
        </w:rPr>
      </w:pPr>
    </w:p>
    <w:p>
      <w:pPr>
        <w:adjustRightInd w:val="0"/>
        <w:snapToGrid w:val="0"/>
        <w:spacing w:line="288" w:lineRule="auto"/>
        <w:rPr>
          <w:rFonts w:ascii="仿宋_GB2312" w:eastAsia="仿宋_GB2312"/>
          <w:sz w:val="36"/>
          <w:szCs w:val="36"/>
        </w:rPr>
      </w:pPr>
    </w:p>
    <w:bookmarkEnd w:id="1"/>
    <w:p>
      <w:pPr>
        <w:adjustRightInd w:val="0"/>
        <w:snapToGrid w:val="0"/>
        <w:spacing w:line="288" w:lineRule="auto"/>
        <w:jc w:val="center"/>
        <w:rPr>
          <w:rFonts w:ascii="楷体_GB2312" w:eastAsia="楷体_GB2312"/>
          <w:sz w:val="36"/>
          <w:szCs w:val="36"/>
        </w:rPr>
        <w:sectPr>
          <w:headerReference r:id="rId3" w:type="default"/>
          <w:footerReference r:id="rId4" w:type="default"/>
          <w:footerReference r:id="rId5" w:type="even"/>
          <w:pgSz w:w="11906" w:h="16838"/>
          <w:pgMar w:top="1701" w:right="1531" w:bottom="1701" w:left="1531" w:header="851" w:footer="1077" w:gutter="0"/>
          <w:pgNumType w:fmt="numberInDash" w:start="3"/>
          <w:cols w:space="720" w:num="1"/>
          <w:docGrid w:linePitch="312" w:charSpace="0"/>
        </w:sectPr>
      </w:pPr>
      <w:r>
        <w:rPr>
          <w:rFonts w:hint="eastAsia" w:ascii="楷体_GB2312" w:eastAsia="楷体_GB2312"/>
          <w:sz w:val="36"/>
          <w:szCs w:val="36"/>
        </w:rPr>
        <w:t>中华人民共和国生态环境部制</w:t>
      </w:r>
    </w:p>
    <w:p>
      <w:pPr>
        <w:ind w:firstLine="480"/>
      </w:pPr>
    </w:p>
    <w:p>
      <w:pPr>
        <w:adjustRightInd w:val="0"/>
        <w:snapToGrid w:val="0"/>
        <w:spacing w:line="288" w:lineRule="auto"/>
        <w:rPr>
          <w:rFonts w:ascii="仿宋_GB2312" w:eastAsia="仿宋_GB2312"/>
          <w:sz w:val="36"/>
          <w:szCs w:val="36"/>
        </w:rPr>
        <w:sectPr>
          <w:pgSz w:w="11906" w:h="16838"/>
          <w:pgMar w:top="1701" w:right="1531" w:bottom="1701" w:left="1531" w:header="851" w:footer="1077" w:gutter="0"/>
          <w:pgNumType w:fmt="numberInDash" w:start="3"/>
          <w:cols w:space="720" w:num="1"/>
          <w:docGrid w:linePitch="312" w:charSpace="0"/>
        </w:sectPr>
      </w:pPr>
    </w:p>
    <w:p>
      <w:pPr>
        <w:pStyle w:val="28"/>
        <w:ind w:firstLine="600"/>
        <w:jc w:val="center"/>
        <w:outlineLvl w:val="0"/>
        <w:rPr>
          <w:rFonts w:ascii="黑体" w:hAnsi="黑体" w:eastAsia="黑体"/>
          <w:snapToGrid w:val="0"/>
          <w:sz w:val="30"/>
          <w:szCs w:val="30"/>
        </w:rPr>
      </w:pPr>
      <w:bookmarkStart w:id="2" w:name="_Toc24034"/>
      <w:r>
        <w:rPr>
          <w:rFonts w:hint="eastAsia" w:ascii="黑体" w:hAnsi="黑体" w:eastAsia="黑体"/>
          <w:snapToGrid w:val="0"/>
          <w:sz w:val="30"/>
          <w:szCs w:val="30"/>
        </w:rPr>
        <w:t>一、建设项目基本情况</w:t>
      </w:r>
      <w:bookmarkEnd w:id="2"/>
    </w:p>
    <w:tbl>
      <w:tblPr>
        <w:tblStyle w:val="36"/>
        <w:tblW w:w="8953"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651"/>
        <w:gridCol w:w="2085"/>
        <w:gridCol w:w="1920"/>
        <w:gridCol w:w="329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82" w:hRule="atLeast"/>
          <w:jc w:val="center"/>
        </w:trPr>
        <w:tc>
          <w:tcPr>
            <w:tcW w:w="1651" w:type="dxa"/>
            <w:tcMar>
              <w:top w:w="57" w:type="dxa"/>
              <w:left w:w="57" w:type="dxa"/>
              <w:right w:w="57" w:type="dxa"/>
            </w:tcMar>
            <w:vAlign w:val="center"/>
          </w:tcPr>
          <w:p>
            <w:pPr>
              <w:adjustRightInd w:val="0"/>
              <w:snapToGrid w:val="0"/>
              <w:spacing w:line="240" w:lineRule="auto"/>
              <w:ind w:firstLine="0" w:firstLineChars="0"/>
              <w:jc w:val="center"/>
            </w:pPr>
            <w:r>
              <w:t>建设项目名称</w:t>
            </w:r>
          </w:p>
        </w:tc>
        <w:tc>
          <w:tcPr>
            <w:tcW w:w="7302" w:type="dxa"/>
            <w:gridSpan w:val="3"/>
            <w:tcMar>
              <w:top w:w="57" w:type="dxa"/>
              <w:left w:w="57" w:type="dxa"/>
              <w:right w:w="57" w:type="dxa"/>
            </w:tcMar>
            <w:vAlign w:val="center"/>
          </w:tcPr>
          <w:p>
            <w:pPr>
              <w:adjustRightInd w:val="0"/>
              <w:snapToGrid w:val="0"/>
              <w:spacing w:line="240" w:lineRule="auto"/>
              <w:ind w:firstLine="0" w:firstLineChars="0"/>
              <w:jc w:val="center"/>
            </w:pPr>
            <w:r>
              <w:rPr>
                <w:rFonts w:hint="eastAsia"/>
              </w:rPr>
              <w:t>年产2万吨再生高纯硅生产项目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82" w:hRule="atLeast"/>
          <w:jc w:val="center"/>
        </w:trPr>
        <w:tc>
          <w:tcPr>
            <w:tcW w:w="1651" w:type="dxa"/>
            <w:tcMar>
              <w:top w:w="57" w:type="dxa"/>
              <w:left w:w="57" w:type="dxa"/>
              <w:right w:w="57" w:type="dxa"/>
            </w:tcMar>
            <w:vAlign w:val="center"/>
          </w:tcPr>
          <w:p>
            <w:pPr>
              <w:adjustRightInd w:val="0"/>
              <w:snapToGrid w:val="0"/>
              <w:spacing w:line="240" w:lineRule="auto"/>
              <w:ind w:firstLine="0" w:firstLineChars="0"/>
              <w:jc w:val="center"/>
            </w:pPr>
            <w:r>
              <w:t>项目代码</w:t>
            </w:r>
          </w:p>
        </w:tc>
        <w:tc>
          <w:tcPr>
            <w:tcW w:w="7302" w:type="dxa"/>
            <w:gridSpan w:val="3"/>
            <w:tcMar>
              <w:top w:w="57" w:type="dxa"/>
              <w:left w:w="57" w:type="dxa"/>
              <w:right w:w="57" w:type="dxa"/>
            </w:tcMar>
            <w:vAlign w:val="center"/>
          </w:tcPr>
          <w:p>
            <w:pPr>
              <w:adjustRightInd w:val="0"/>
              <w:snapToGrid w:val="0"/>
              <w:spacing w:line="240" w:lineRule="auto"/>
              <w:ind w:firstLine="0" w:firstLineChars="0"/>
              <w:jc w:val="center"/>
            </w:pPr>
            <w:r>
              <w:t>2401-610922-04-02-496734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82" w:hRule="atLeast"/>
          <w:jc w:val="center"/>
        </w:trPr>
        <w:tc>
          <w:tcPr>
            <w:tcW w:w="1651" w:type="dxa"/>
            <w:tcMar>
              <w:top w:w="57" w:type="dxa"/>
              <w:left w:w="57" w:type="dxa"/>
              <w:right w:w="57" w:type="dxa"/>
            </w:tcMar>
            <w:vAlign w:val="center"/>
          </w:tcPr>
          <w:p>
            <w:pPr>
              <w:adjustRightInd w:val="0"/>
              <w:snapToGrid w:val="0"/>
              <w:spacing w:line="240" w:lineRule="auto"/>
              <w:ind w:firstLine="0" w:firstLineChars="0"/>
              <w:jc w:val="center"/>
            </w:pPr>
            <w:r>
              <w:t>建设单位联系人</w:t>
            </w:r>
          </w:p>
        </w:tc>
        <w:tc>
          <w:tcPr>
            <w:tcW w:w="2085" w:type="dxa"/>
            <w:tcMar>
              <w:top w:w="57" w:type="dxa"/>
              <w:left w:w="57" w:type="dxa"/>
              <w:right w:w="57" w:type="dxa"/>
            </w:tcMar>
            <w:vAlign w:val="center"/>
          </w:tcPr>
          <w:p>
            <w:pPr>
              <w:adjustRightInd w:val="0"/>
              <w:snapToGrid w:val="0"/>
              <w:spacing w:line="240" w:lineRule="auto"/>
              <w:ind w:firstLine="0" w:firstLineChars="0"/>
              <w:jc w:val="center"/>
            </w:pPr>
            <w:r>
              <w:rPr>
                <w:rFonts w:hint="eastAsia" w:ascii="宋体" w:hAnsi="宋体"/>
                <w:szCs w:val="21"/>
              </w:rPr>
              <w:t>沈xx</w:t>
            </w:r>
          </w:p>
        </w:tc>
        <w:tc>
          <w:tcPr>
            <w:tcW w:w="1920" w:type="dxa"/>
            <w:tcMar>
              <w:top w:w="57" w:type="dxa"/>
              <w:left w:w="57" w:type="dxa"/>
              <w:right w:w="57" w:type="dxa"/>
            </w:tcMar>
            <w:vAlign w:val="center"/>
          </w:tcPr>
          <w:p>
            <w:pPr>
              <w:adjustRightInd w:val="0"/>
              <w:snapToGrid w:val="0"/>
              <w:spacing w:line="240" w:lineRule="auto"/>
              <w:ind w:firstLine="0" w:firstLineChars="0"/>
              <w:jc w:val="center"/>
            </w:pPr>
            <w:r>
              <w:t>联系方式</w:t>
            </w:r>
          </w:p>
        </w:tc>
        <w:tc>
          <w:tcPr>
            <w:tcW w:w="3297" w:type="dxa"/>
            <w:tcMar>
              <w:top w:w="57" w:type="dxa"/>
              <w:left w:w="57" w:type="dxa"/>
              <w:right w:w="57" w:type="dxa"/>
            </w:tcMar>
            <w:vAlign w:val="center"/>
          </w:tcPr>
          <w:p>
            <w:pPr>
              <w:adjustRightInd w:val="0"/>
              <w:snapToGrid w:val="0"/>
              <w:spacing w:line="240" w:lineRule="auto"/>
              <w:ind w:firstLine="0" w:firstLineChars="0"/>
              <w:jc w:val="center"/>
            </w:pPr>
            <w:r>
              <w:t>138</w:t>
            </w:r>
            <w:r>
              <w:rPr>
                <w:rFonts w:hint="eastAsia"/>
              </w:rPr>
              <w:t>xxxxxxxx</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82" w:hRule="atLeast"/>
          <w:jc w:val="center"/>
        </w:trPr>
        <w:tc>
          <w:tcPr>
            <w:tcW w:w="1651" w:type="dxa"/>
            <w:tcMar>
              <w:top w:w="57" w:type="dxa"/>
              <w:left w:w="57" w:type="dxa"/>
              <w:right w:w="57" w:type="dxa"/>
            </w:tcMar>
            <w:vAlign w:val="center"/>
          </w:tcPr>
          <w:p>
            <w:pPr>
              <w:adjustRightInd w:val="0"/>
              <w:snapToGrid w:val="0"/>
              <w:spacing w:line="240" w:lineRule="auto"/>
              <w:ind w:firstLine="0" w:firstLineChars="0"/>
              <w:jc w:val="center"/>
            </w:pPr>
            <w:r>
              <w:t>建设地点</w:t>
            </w:r>
          </w:p>
        </w:tc>
        <w:tc>
          <w:tcPr>
            <w:tcW w:w="7302" w:type="dxa"/>
            <w:gridSpan w:val="3"/>
            <w:tcMar>
              <w:top w:w="57" w:type="dxa"/>
              <w:left w:w="57" w:type="dxa"/>
              <w:right w:w="57" w:type="dxa"/>
            </w:tcMar>
            <w:vAlign w:val="center"/>
          </w:tcPr>
          <w:p>
            <w:pPr>
              <w:adjustRightInd w:val="0"/>
              <w:snapToGrid w:val="0"/>
              <w:spacing w:line="240" w:lineRule="auto"/>
              <w:ind w:firstLine="0" w:firstLineChars="0"/>
              <w:jc w:val="center"/>
            </w:pPr>
            <w:r>
              <w:t>石泉县省级经济技术开发区城关镇古堰工业园区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82" w:hRule="atLeast"/>
          <w:jc w:val="center"/>
        </w:trPr>
        <w:tc>
          <w:tcPr>
            <w:tcW w:w="1651" w:type="dxa"/>
            <w:tcMar>
              <w:top w:w="57" w:type="dxa"/>
              <w:left w:w="57" w:type="dxa"/>
              <w:right w:w="57" w:type="dxa"/>
            </w:tcMar>
            <w:vAlign w:val="center"/>
          </w:tcPr>
          <w:p>
            <w:pPr>
              <w:adjustRightInd w:val="0"/>
              <w:snapToGrid w:val="0"/>
              <w:spacing w:line="240" w:lineRule="auto"/>
              <w:ind w:firstLine="0" w:firstLineChars="0"/>
              <w:jc w:val="center"/>
            </w:pPr>
            <w:r>
              <w:t>地理坐标</w:t>
            </w:r>
          </w:p>
        </w:tc>
        <w:tc>
          <w:tcPr>
            <w:tcW w:w="7302" w:type="dxa"/>
            <w:gridSpan w:val="3"/>
            <w:tcMar>
              <w:top w:w="57" w:type="dxa"/>
              <w:left w:w="57" w:type="dxa"/>
              <w:right w:w="57" w:type="dxa"/>
            </w:tcMar>
            <w:vAlign w:val="center"/>
          </w:tcPr>
          <w:p>
            <w:pPr>
              <w:adjustRightInd w:val="0"/>
              <w:snapToGrid w:val="0"/>
              <w:spacing w:line="240" w:lineRule="auto"/>
              <w:ind w:firstLine="0" w:firstLineChars="0"/>
              <w:jc w:val="center"/>
            </w:pPr>
            <w:r>
              <w:t>东经10</w:t>
            </w:r>
            <w:r>
              <w:rPr>
                <w:rFonts w:hint="eastAsia"/>
              </w:rPr>
              <w:t>8</w:t>
            </w:r>
            <w:r>
              <w:t>°1</w:t>
            </w:r>
            <w:r>
              <w:rPr>
                <w:rFonts w:hint="eastAsia"/>
              </w:rPr>
              <w:t>2</w:t>
            </w:r>
            <w:r>
              <w:t>'</w:t>
            </w:r>
            <w:r>
              <w:rPr>
                <w:rFonts w:hint="eastAsia"/>
              </w:rPr>
              <w:t>55.108</w:t>
            </w:r>
            <w:r>
              <w:t>"北纬</w:t>
            </w:r>
            <w:r>
              <w:rPr>
                <w:rFonts w:hint="eastAsia"/>
              </w:rPr>
              <w:t>33</w:t>
            </w:r>
            <w:r>
              <w:t>°</w:t>
            </w:r>
            <w:r>
              <w:rPr>
                <w:rFonts w:hint="eastAsia"/>
              </w:rPr>
              <w:t>4</w:t>
            </w:r>
            <w:r>
              <w:t>'</w:t>
            </w:r>
            <w:r>
              <w:rPr>
                <w:rFonts w:hint="eastAsia"/>
              </w:rPr>
              <w:t>10.294</w:t>
            </w:r>
            <w: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1239" w:hRule="atLeast"/>
          <w:jc w:val="center"/>
        </w:trPr>
        <w:tc>
          <w:tcPr>
            <w:tcW w:w="1651" w:type="dxa"/>
            <w:tcMar>
              <w:top w:w="57" w:type="dxa"/>
              <w:left w:w="57" w:type="dxa"/>
              <w:right w:w="57" w:type="dxa"/>
            </w:tcMar>
            <w:vAlign w:val="center"/>
          </w:tcPr>
          <w:p>
            <w:pPr>
              <w:adjustRightInd w:val="0"/>
              <w:snapToGrid w:val="0"/>
              <w:spacing w:line="240" w:lineRule="auto"/>
              <w:ind w:firstLine="0" w:firstLineChars="0"/>
              <w:jc w:val="center"/>
            </w:pPr>
            <w:r>
              <w:t>国民经济</w:t>
            </w:r>
          </w:p>
          <w:p>
            <w:pPr>
              <w:adjustRightInd w:val="0"/>
              <w:snapToGrid w:val="0"/>
              <w:spacing w:line="240" w:lineRule="auto"/>
              <w:ind w:firstLine="0" w:firstLineChars="0"/>
              <w:jc w:val="center"/>
            </w:pPr>
            <w:r>
              <w:t>行业类别</w:t>
            </w:r>
          </w:p>
        </w:tc>
        <w:tc>
          <w:tcPr>
            <w:tcW w:w="2085" w:type="dxa"/>
            <w:tcMar>
              <w:top w:w="57" w:type="dxa"/>
              <w:left w:w="57" w:type="dxa"/>
              <w:right w:w="57" w:type="dxa"/>
            </w:tcMar>
            <w:vAlign w:val="center"/>
          </w:tcPr>
          <w:p>
            <w:pPr>
              <w:widowControl/>
              <w:adjustRightInd w:val="0"/>
              <w:snapToGrid w:val="0"/>
              <w:spacing w:line="240" w:lineRule="auto"/>
              <w:ind w:firstLine="0" w:firstLineChars="0"/>
              <w:jc w:val="center"/>
              <w:textAlignment w:val="center"/>
            </w:pPr>
            <w:r>
              <w:rPr>
                <w:rFonts w:hint="eastAsia"/>
              </w:rPr>
              <w:t>C4210金属废料和碎屑加工处理</w:t>
            </w:r>
          </w:p>
          <w:p>
            <w:pPr>
              <w:widowControl/>
              <w:adjustRightInd w:val="0"/>
              <w:snapToGrid w:val="0"/>
              <w:spacing w:line="240" w:lineRule="auto"/>
              <w:ind w:firstLine="0" w:firstLineChars="0"/>
              <w:jc w:val="center"/>
              <w:textAlignment w:val="center"/>
              <w:rPr>
                <w:rFonts w:ascii="宋体" w:hAnsi="宋体" w:cs="宋体"/>
                <w:b/>
              </w:rPr>
            </w:pPr>
          </w:p>
        </w:tc>
        <w:tc>
          <w:tcPr>
            <w:tcW w:w="1920" w:type="dxa"/>
            <w:tcMar>
              <w:top w:w="57" w:type="dxa"/>
              <w:left w:w="57" w:type="dxa"/>
              <w:right w:w="57" w:type="dxa"/>
            </w:tcMar>
            <w:vAlign w:val="center"/>
          </w:tcPr>
          <w:p>
            <w:pPr>
              <w:adjustRightInd w:val="0"/>
              <w:snapToGrid w:val="0"/>
              <w:spacing w:line="240" w:lineRule="auto"/>
              <w:ind w:firstLine="0" w:firstLineChars="0"/>
              <w:jc w:val="center"/>
            </w:pPr>
            <w:bookmarkStart w:id="3" w:name="_Hlk49843745"/>
            <w:r>
              <w:t>建设项目</w:t>
            </w:r>
          </w:p>
          <w:p>
            <w:pPr>
              <w:adjustRightInd w:val="0"/>
              <w:snapToGrid w:val="0"/>
              <w:spacing w:line="240" w:lineRule="auto"/>
              <w:ind w:firstLine="0" w:firstLineChars="0"/>
              <w:jc w:val="center"/>
            </w:pPr>
            <w:r>
              <w:t>行业类别</w:t>
            </w:r>
            <w:bookmarkEnd w:id="3"/>
          </w:p>
        </w:tc>
        <w:tc>
          <w:tcPr>
            <w:tcW w:w="3297" w:type="dxa"/>
            <w:tcMar>
              <w:top w:w="57" w:type="dxa"/>
              <w:left w:w="57" w:type="dxa"/>
              <w:right w:w="57" w:type="dxa"/>
            </w:tcMar>
            <w:vAlign w:val="center"/>
          </w:tcPr>
          <w:p>
            <w:pPr>
              <w:pStyle w:val="18"/>
              <w:ind w:left="0" w:firstLine="0" w:firstLineChars="0"/>
              <w:jc w:val="both"/>
              <w:rPr>
                <w:b w:val="0"/>
                <w:sz w:val="24"/>
                <w:szCs w:val="24"/>
              </w:rPr>
            </w:pPr>
            <w:r>
              <w:rPr>
                <w:rFonts w:hint="eastAsia"/>
                <w:b w:val="0"/>
                <w:sz w:val="24"/>
                <w:szCs w:val="24"/>
              </w:rPr>
              <w:t>三十九</w:t>
            </w:r>
            <w:r>
              <w:rPr>
                <w:b w:val="0"/>
                <w:sz w:val="24"/>
                <w:szCs w:val="24"/>
              </w:rPr>
              <w:t>、</w:t>
            </w:r>
            <w:r>
              <w:rPr>
                <w:rFonts w:hint="eastAsia"/>
                <w:b w:val="0"/>
                <w:sz w:val="24"/>
                <w:szCs w:val="24"/>
              </w:rPr>
              <w:t>废弃资源综合利用业</w:t>
            </w:r>
            <w:r>
              <w:rPr>
                <w:b w:val="0"/>
                <w:sz w:val="24"/>
                <w:szCs w:val="24"/>
              </w:rPr>
              <w:t>—</w:t>
            </w:r>
            <w:r>
              <w:rPr>
                <w:rFonts w:hint="eastAsia"/>
                <w:b w:val="0"/>
                <w:sz w:val="24"/>
                <w:szCs w:val="24"/>
              </w:rPr>
              <w:t>85.金属废料和碎屑加工处理421</w:t>
            </w:r>
            <w:r>
              <w:rPr>
                <w:b w:val="0"/>
                <w:sz w:val="24"/>
                <w:szCs w:val="24"/>
              </w:rPr>
              <w:t>—</w:t>
            </w:r>
            <w:r>
              <w:rPr>
                <w:rFonts w:hint="eastAsia"/>
                <w:b w:val="0"/>
                <w:sz w:val="24"/>
                <w:szCs w:val="24"/>
              </w:rPr>
              <w:t>有色金属废料和碎屑的加工处理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1219" w:hRule="atLeast"/>
          <w:jc w:val="center"/>
        </w:trPr>
        <w:tc>
          <w:tcPr>
            <w:tcW w:w="1651" w:type="dxa"/>
            <w:tcMar>
              <w:top w:w="57" w:type="dxa"/>
              <w:left w:w="57" w:type="dxa"/>
              <w:right w:w="57" w:type="dxa"/>
            </w:tcMar>
            <w:vAlign w:val="center"/>
          </w:tcPr>
          <w:p>
            <w:pPr>
              <w:adjustRightInd w:val="0"/>
              <w:snapToGrid w:val="0"/>
              <w:spacing w:line="240" w:lineRule="auto"/>
              <w:ind w:firstLine="0" w:firstLineChars="0"/>
              <w:jc w:val="center"/>
            </w:pPr>
            <w:r>
              <w:t>建设性质</w:t>
            </w:r>
          </w:p>
        </w:tc>
        <w:tc>
          <w:tcPr>
            <w:tcW w:w="2085" w:type="dxa"/>
            <w:tcMar>
              <w:top w:w="57" w:type="dxa"/>
              <w:left w:w="57" w:type="dxa"/>
              <w:right w:w="57" w:type="dxa"/>
            </w:tcMar>
            <w:vAlign w:val="center"/>
          </w:tcPr>
          <w:p>
            <w:pPr>
              <w:adjustRightInd w:val="0"/>
              <w:snapToGrid w:val="0"/>
              <w:spacing w:line="240" w:lineRule="auto"/>
              <w:ind w:firstLine="0" w:firstLineChars="0"/>
              <w:jc w:val="left"/>
            </w:pPr>
            <w:r>
              <w:rPr>
                <w:rFonts w:hint="eastAsia" w:ascii="宋体" w:hAnsi="宋体" w:cs="宋体"/>
              </w:rPr>
              <w:sym w:font="Wingdings 2" w:char="00A3"/>
            </w:r>
            <w:r>
              <w:t>新建（迁建）</w:t>
            </w:r>
          </w:p>
          <w:p>
            <w:pPr>
              <w:adjustRightInd w:val="0"/>
              <w:snapToGrid w:val="0"/>
              <w:spacing w:line="240" w:lineRule="auto"/>
              <w:ind w:firstLine="0" w:firstLineChars="0"/>
              <w:jc w:val="left"/>
            </w:pPr>
            <w:r>
              <w:rPr>
                <w:rFonts w:hint="eastAsia" w:ascii="宋体" w:hAnsi="宋体" w:cs="宋体"/>
              </w:rPr>
              <w:sym w:font="Wingdings 2" w:char="0052"/>
            </w:r>
            <w:r>
              <w:t>改建</w:t>
            </w:r>
          </w:p>
          <w:p>
            <w:pPr>
              <w:adjustRightInd w:val="0"/>
              <w:snapToGrid w:val="0"/>
              <w:spacing w:line="240" w:lineRule="auto"/>
              <w:ind w:firstLine="0" w:firstLineChars="0"/>
              <w:jc w:val="left"/>
            </w:pPr>
            <w:r>
              <w:rPr>
                <w:rFonts w:hint="eastAsia" w:ascii="宋体" w:hAnsi="宋体" w:cs="宋体"/>
              </w:rPr>
              <w:sym w:font="Wingdings 2" w:char="00A3"/>
            </w:r>
            <w:r>
              <w:t>扩建</w:t>
            </w:r>
          </w:p>
          <w:p>
            <w:pPr>
              <w:adjustRightInd w:val="0"/>
              <w:snapToGrid w:val="0"/>
              <w:spacing w:line="240" w:lineRule="auto"/>
              <w:ind w:firstLine="0" w:firstLineChars="0"/>
              <w:jc w:val="left"/>
            </w:pPr>
            <w:r>
              <w:rPr>
                <w:rFonts w:hint="eastAsia" w:ascii="宋体" w:hAnsi="宋体" w:cs="宋体"/>
              </w:rPr>
              <w:sym w:font="Wingdings 2" w:char="00A3"/>
            </w:r>
            <w:r>
              <w:t>技术改造</w:t>
            </w:r>
          </w:p>
        </w:tc>
        <w:tc>
          <w:tcPr>
            <w:tcW w:w="1920" w:type="dxa"/>
            <w:tcMar>
              <w:top w:w="57" w:type="dxa"/>
              <w:left w:w="57" w:type="dxa"/>
              <w:right w:w="57" w:type="dxa"/>
            </w:tcMar>
            <w:vAlign w:val="center"/>
          </w:tcPr>
          <w:p>
            <w:pPr>
              <w:adjustRightInd w:val="0"/>
              <w:snapToGrid w:val="0"/>
              <w:spacing w:line="240" w:lineRule="auto"/>
              <w:ind w:firstLine="0" w:firstLineChars="0"/>
              <w:jc w:val="center"/>
            </w:pPr>
            <w:r>
              <w:t>建设项目</w:t>
            </w:r>
          </w:p>
          <w:p>
            <w:pPr>
              <w:adjustRightInd w:val="0"/>
              <w:snapToGrid w:val="0"/>
              <w:spacing w:line="240" w:lineRule="auto"/>
              <w:ind w:firstLine="0" w:firstLineChars="0"/>
              <w:jc w:val="center"/>
            </w:pPr>
            <w:r>
              <w:t>申报情形</w:t>
            </w:r>
          </w:p>
        </w:tc>
        <w:tc>
          <w:tcPr>
            <w:tcW w:w="3297" w:type="dxa"/>
            <w:tcMar>
              <w:top w:w="57" w:type="dxa"/>
              <w:left w:w="57" w:type="dxa"/>
              <w:right w:w="57" w:type="dxa"/>
            </w:tcMar>
            <w:vAlign w:val="center"/>
          </w:tcPr>
          <w:p>
            <w:pPr>
              <w:adjustRightInd w:val="0"/>
              <w:snapToGrid w:val="0"/>
              <w:spacing w:line="240" w:lineRule="auto"/>
              <w:ind w:firstLine="0" w:firstLineChars="0"/>
              <w:jc w:val="left"/>
            </w:pPr>
            <w:r>
              <w:rPr>
                <w:rFonts w:hint="eastAsia" w:ascii="宋体" w:hAnsi="宋体" w:cs="宋体"/>
              </w:rPr>
              <w:t>☑</w:t>
            </w:r>
            <w:r>
              <w:t>首次申报项目</w:t>
            </w:r>
          </w:p>
          <w:p>
            <w:pPr>
              <w:adjustRightInd w:val="0"/>
              <w:snapToGrid w:val="0"/>
              <w:spacing w:line="240" w:lineRule="auto"/>
              <w:ind w:firstLine="0" w:firstLineChars="0"/>
              <w:jc w:val="left"/>
            </w:pPr>
            <w:r>
              <w:rPr>
                <w:rFonts w:hint="eastAsia" w:ascii="宋体" w:hAnsi="宋体" w:cs="宋体"/>
              </w:rPr>
              <w:t>□</w:t>
            </w:r>
            <w:r>
              <w:t>不予批准后再次申报项目</w:t>
            </w:r>
          </w:p>
          <w:p>
            <w:pPr>
              <w:adjustRightInd w:val="0"/>
              <w:snapToGrid w:val="0"/>
              <w:spacing w:line="240" w:lineRule="auto"/>
              <w:ind w:firstLine="0" w:firstLineChars="0"/>
              <w:jc w:val="left"/>
            </w:pPr>
            <w:r>
              <w:rPr>
                <w:rFonts w:hint="eastAsia" w:ascii="宋体" w:hAnsi="宋体" w:cs="宋体"/>
              </w:rPr>
              <w:t>□</w:t>
            </w:r>
            <w:r>
              <w:t>超五年重新审核项目</w:t>
            </w:r>
          </w:p>
          <w:p>
            <w:pPr>
              <w:adjustRightInd w:val="0"/>
              <w:snapToGrid w:val="0"/>
              <w:spacing w:line="240" w:lineRule="auto"/>
              <w:ind w:firstLine="0" w:firstLineChars="0"/>
              <w:jc w:val="left"/>
            </w:pPr>
            <w:r>
              <w:rPr>
                <w:rFonts w:hint="eastAsia" w:ascii="宋体" w:hAnsi="宋体" w:cs="宋体"/>
              </w:rPr>
              <w:t>□</w:t>
            </w:r>
            <w: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850" w:hRule="atLeast"/>
          <w:jc w:val="center"/>
        </w:trPr>
        <w:tc>
          <w:tcPr>
            <w:tcW w:w="1651" w:type="dxa"/>
            <w:tcMar>
              <w:top w:w="57" w:type="dxa"/>
              <w:left w:w="57" w:type="dxa"/>
              <w:right w:w="57" w:type="dxa"/>
            </w:tcMar>
            <w:vAlign w:val="center"/>
          </w:tcPr>
          <w:p>
            <w:pPr>
              <w:adjustRightInd w:val="0"/>
              <w:snapToGrid w:val="0"/>
              <w:spacing w:line="240" w:lineRule="auto"/>
              <w:ind w:firstLine="0" w:firstLineChars="0"/>
              <w:jc w:val="center"/>
            </w:pPr>
            <w:r>
              <w:t>项目审批（核准/备案）部门</w:t>
            </w:r>
          </w:p>
        </w:tc>
        <w:tc>
          <w:tcPr>
            <w:tcW w:w="2085" w:type="dxa"/>
            <w:tcMar>
              <w:top w:w="57" w:type="dxa"/>
              <w:left w:w="57" w:type="dxa"/>
              <w:right w:w="57" w:type="dxa"/>
            </w:tcMar>
            <w:vAlign w:val="center"/>
          </w:tcPr>
          <w:p>
            <w:pPr>
              <w:adjustRightInd w:val="0"/>
              <w:snapToGrid w:val="0"/>
              <w:spacing w:line="240" w:lineRule="auto"/>
              <w:ind w:firstLine="0" w:firstLineChars="0"/>
              <w:jc w:val="center"/>
            </w:pPr>
            <w:r>
              <w:rPr>
                <w:rFonts w:hint="eastAsia"/>
              </w:rPr>
              <w:t>石泉县发展和改革局</w:t>
            </w:r>
          </w:p>
        </w:tc>
        <w:tc>
          <w:tcPr>
            <w:tcW w:w="1920" w:type="dxa"/>
            <w:tcMar>
              <w:top w:w="57" w:type="dxa"/>
              <w:left w:w="57" w:type="dxa"/>
              <w:right w:w="57" w:type="dxa"/>
            </w:tcMar>
            <w:vAlign w:val="center"/>
          </w:tcPr>
          <w:p>
            <w:pPr>
              <w:adjustRightInd w:val="0"/>
              <w:snapToGrid w:val="0"/>
              <w:spacing w:line="240" w:lineRule="auto"/>
              <w:ind w:firstLine="0" w:firstLineChars="0"/>
              <w:jc w:val="center"/>
            </w:pPr>
            <w:r>
              <w:t>项目审批（核准/备案）文号</w:t>
            </w:r>
          </w:p>
        </w:tc>
        <w:tc>
          <w:tcPr>
            <w:tcW w:w="3297" w:type="dxa"/>
            <w:tcMar>
              <w:top w:w="57" w:type="dxa"/>
              <w:left w:w="57" w:type="dxa"/>
              <w:right w:w="57" w:type="dxa"/>
            </w:tcMar>
            <w:vAlign w:val="center"/>
          </w:tcPr>
          <w:p>
            <w:pPr>
              <w:adjustRightInd w:val="0"/>
              <w:snapToGrid w:val="0"/>
              <w:spacing w:line="240" w:lineRule="auto"/>
              <w:ind w:firstLine="0" w:firstLineChars="0"/>
              <w:jc w:val="center"/>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9" w:hRule="atLeast"/>
          <w:jc w:val="center"/>
        </w:trPr>
        <w:tc>
          <w:tcPr>
            <w:tcW w:w="1651" w:type="dxa"/>
            <w:tcMar>
              <w:top w:w="57" w:type="dxa"/>
              <w:left w:w="57" w:type="dxa"/>
              <w:right w:w="57" w:type="dxa"/>
            </w:tcMar>
            <w:vAlign w:val="center"/>
          </w:tcPr>
          <w:p>
            <w:pPr>
              <w:adjustRightInd w:val="0"/>
              <w:snapToGrid w:val="0"/>
              <w:spacing w:line="240" w:lineRule="auto"/>
              <w:ind w:firstLine="0" w:firstLineChars="0"/>
              <w:jc w:val="center"/>
            </w:pPr>
            <w:r>
              <w:t>总投资（万元）</w:t>
            </w:r>
          </w:p>
        </w:tc>
        <w:tc>
          <w:tcPr>
            <w:tcW w:w="2085" w:type="dxa"/>
            <w:tcMar>
              <w:top w:w="57" w:type="dxa"/>
              <w:left w:w="57" w:type="dxa"/>
              <w:right w:w="57" w:type="dxa"/>
            </w:tcMar>
            <w:vAlign w:val="center"/>
          </w:tcPr>
          <w:p>
            <w:pPr>
              <w:adjustRightInd w:val="0"/>
              <w:snapToGrid w:val="0"/>
              <w:spacing w:line="240" w:lineRule="auto"/>
              <w:ind w:firstLine="0" w:firstLineChars="0"/>
              <w:jc w:val="center"/>
            </w:pPr>
            <w:r>
              <w:rPr>
                <w:rFonts w:hint="eastAsia"/>
              </w:rPr>
              <w:t>5300</w:t>
            </w:r>
          </w:p>
        </w:tc>
        <w:tc>
          <w:tcPr>
            <w:tcW w:w="1920" w:type="dxa"/>
            <w:tcMar>
              <w:top w:w="57" w:type="dxa"/>
              <w:left w:w="57" w:type="dxa"/>
              <w:right w:w="57" w:type="dxa"/>
            </w:tcMar>
            <w:vAlign w:val="center"/>
          </w:tcPr>
          <w:p>
            <w:pPr>
              <w:adjustRightInd w:val="0"/>
              <w:snapToGrid w:val="0"/>
              <w:spacing w:line="240" w:lineRule="auto"/>
              <w:ind w:firstLine="0" w:firstLineChars="0"/>
              <w:jc w:val="center"/>
            </w:pPr>
            <w:r>
              <w:t>环保投资（万元）</w:t>
            </w:r>
          </w:p>
        </w:tc>
        <w:tc>
          <w:tcPr>
            <w:tcW w:w="3297" w:type="dxa"/>
            <w:tcMar>
              <w:top w:w="57" w:type="dxa"/>
              <w:left w:w="57" w:type="dxa"/>
              <w:right w:w="57" w:type="dxa"/>
            </w:tcMar>
            <w:vAlign w:val="center"/>
          </w:tcPr>
          <w:p>
            <w:pPr>
              <w:adjustRightInd w:val="0"/>
              <w:snapToGrid w:val="0"/>
              <w:spacing w:line="240" w:lineRule="auto"/>
              <w:ind w:firstLine="0" w:firstLineChars="0"/>
              <w:jc w:val="center"/>
            </w:pPr>
            <w:r>
              <w:rPr>
                <w:rFonts w:hint="eastAsia"/>
              </w:rPr>
              <w:t>86.5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1651" w:type="dxa"/>
            <w:tcMar>
              <w:top w:w="57" w:type="dxa"/>
              <w:left w:w="57" w:type="dxa"/>
              <w:right w:w="57" w:type="dxa"/>
            </w:tcMar>
            <w:vAlign w:val="center"/>
          </w:tcPr>
          <w:p>
            <w:pPr>
              <w:adjustRightInd w:val="0"/>
              <w:snapToGrid w:val="0"/>
              <w:spacing w:line="240" w:lineRule="auto"/>
              <w:ind w:firstLine="0" w:firstLineChars="0"/>
              <w:jc w:val="center"/>
            </w:pPr>
            <w:r>
              <w:t>环保投资占比（%）</w:t>
            </w:r>
          </w:p>
        </w:tc>
        <w:tc>
          <w:tcPr>
            <w:tcW w:w="2085" w:type="dxa"/>
            <w:tcMar>
              <w:top w:w="57" w:type="dxa"/>
              <w:left w:w="57" w:type="dxa"/>
              <w:right w:w="57" w:type="dxa"/>
            </w:tcMar>
            <w:vAlign w:val="center"/>
          </w:tcPr>
          <w:p>
            <w:pPr>
              <w:adjustRightInd w:val="0"/>
              <w:snapToGrid w:val="0"/>
              <w:spacing w:line="240" w:lineRule="auto"/>
              <w:ind w:firstLine="0" w:firstLineChars="0"/>
              <w:jc w:val="center"/>
            </w:pPr>
            <w:r>
              <w:rPr>
                <w:rFonts w:hint="eastAsia"/>
              </w:rPr>
              <w:t>1.63</w:t>
            </w:r>
          </w:p>
        </w:tc>
        <w:tc>
          <w:tcPr>
            <w:tcW w:w="1920" w:type="dxa"/>
            <w:tcMar>
              <w:top w:w="57" w:type="dxa"/>
              <w:left w:w="57" w:type="dxa"/>
              <w:right w:w="57" w:type="dxa"/>
            </w:tcMar>
            <w:vAlign w:val="center"/>
          </w:tcPr>
          <w:p>
            <w:pPr>
              <w:adjustRightInd w:val="0"/>
              <w:snapToGrid w:val="0"/>
              <w:spacing w:line="240" w:lineRule="auto"/>
              <w:ind w:firstLine="0" w:firstLineChars="0"/>
              <w:jc w:val="center"/>
            </w:pPr>
            <w:r>
              <w:t>施工工期</w:t>
            </w:r>
          </w:p>
        </w:tc>
        <w:tc>
          <w:tcPr>
            <w:tcW w:w="3297" w:type="dxa"/>
            <w:tcMar>
              <w:top w:w="57" w:type="dxa"/>
              <w:left w:w="57" w:type="dxa"/>
              <w:right w:w="57" w:type="dxa"/>
            </w:tcMar>
            <w:vAlign w:val="center"/>
          </w:tcPr>
          <w:p>
            <w:pPr>
              <w:adjustRightInd w:val="0"/>
              <w:snapToGrid w:val="0"/>
              <w:spacing w:line="240" w:lineRule="auto"/>
              <w:ind w:firstLine="0" w:firstLineChars="0"/>
              <w:jc w:val="center"/>
            </w:pPr>
            <w:r>
              <w:rPr>
                <w:rFonts w:hint="eastAsia"/>
              </w:rPr>
              <w:t>6月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1651" w:type="dxa"/>
            <w:tcMar>
              <w:top w:w="57" w:type="dxa"/>
              <w:left w:w="57" w:type="dxa"/>
              <w:right w:w="57" w:type="dxa"/>
            </w:tcMar>
            <w:vAlign w:val="center"/>
          </w:tcPr>
          <w:p>
            <w:pPr>
              <w:adjustRightInd w:val="0"/>
              <w:snapToGrid w:val="0"/>
              <w:spacing w:line="240" w:lineRule="auto"/>
              <w:ind w:firstLine="0" w:firstLineChars="0"/>
              <w:jc w:val="center"/>
            </w:pPr>
            <w:r>
              <w:t>是否开工建设</w:t>
            </w:r>
          </w:p>
        </w:tc>
        <w:tc>
          <w:tcPr>
            <w:tcW w:w="2085" w:type="dxa"/>
            <w:tcMar>
              <w:top w:w="57" w:type="dxa"/>
              <w:left w:w="57" w:type="dxa"/>
              <w:right w:w="57" w:type="dxa"/>
            </w:tcMar>
            <w:vAlign w:val="center"/>
          </w:tcPr>
          <w:p>
            <w:pPr>
              <w:adjustRightInd w:val="0"/>
              <w:snapToGrid w:val="0"/>
              <w:spacing w:line="240" w:lineRule="auto"/>
              <w:ind w:firstLine="0" w:firstLineChars="0"/>
            </w:pPr>
            <w:r>
              <w:rPr>
                <w:rFonts w:hint="eastAsia" w:ascii="宋体" w:hAnsi="宋体" w:cs="宋体"/>
              </w:rPr>
              <w:sym w:font="Wingdings 2" w:char="0052"/>
            </w:r>
            <w:r>
              <w:t>否</w:t>
            </w:r>
          </w:p>
          <w:p>
            <w:pPr>
              <w:adjustRightInd w:val="0"/>
              <w:snapToGrid w:val="0"/>
              <w:spacing w:line="240" w:lineRule="auto"/>
              <w:ind w:firstLine="0" w:firstLineChars="0"/>
            </w:pPr>
            <w:r>
              <w:rPr>
                <w:rFonts w:hint="eastAsia" w:ascii="宋体" w:hAnsi="宋体" w:cs="宋体"/>
              </w:rPr>
              <w:sym w:font="Wingdings 2" w:char="00A3"/>
            </w:r>
            <w:r>
              <w:t>是：</w:t>
            </w:r>
          </w:p>
        </w:tc>
        <w:tc>
          <w:tcPr>
            <w:tcW w:w="1920" w:type="dxa"/>
            <w:tcMar>
              <w:top w:w="57" w:type="dxa"/>
              <w:left w:w="57" w:type="dxa"/>
              <w:right w:w="57" w:type="dxa"/>
            </w:tcMar>
            <w:vAlign w:val="center"/>
          </w:tcPr>
          <w:p>
            <w:pPr>
              <w:adjustRightInd w:val="0"/>
              <w:snapToGrid w:val="0"/>
              <w:spacing w:line="240" w:lineRule="auto"/>
              <w:ind w:firstLine="0" w:firstLineChars="0"/>
              <w:jc w:val="center"/>
            </w:pPr>
            <w:r>
              <w:rPr>
                <w:spacing w:val="-6"/>
              </w:rPr>
              <w:t>用地面积（m</w:t>
            </w:r>
            <w:r>
              <w:rPr>
                <w:spacing w:val="-6"/>
                <w:vertAlign w:val="superscript"/>
              </w:rPr>
              <w:t>2</w:t>
            </w:r>
            <w:r>
              <w:rPr>
                <w:spacing w:val="-6"/>
              </w:rPr>
              <w:t>）</w:t>
            </w:r>
          </w:p>
        </w:tc>
        <w:tc>
          <w:tcPr>
            <w:tcW w:w="3297" w:type="dxa"/>
            <w:tcMar>
              <w:top w:w="57" w:type="dxa"/>
              <w:left w:w="57" w:type="dxa"/>
              <w:right w:w="57" w:type="dxa"/>
            </w:tcMar>
            <w:vAlign w:val="center"/>
          </w:tcPr>
          <w:p>
            <w:pPr>
              <w:adjustRightInd w:val="0"/>
              <w:snapToGrid w:val="0"/>
              <w:spacing w:line="240" w:lineRule="auto"/>
              <w:ind w:firstLine="0" w:firstLineChars="0"/>
              <w:jc w:val="center"/>
            </w:pPr>
            <w:r>
              <w:rPr>
                <w:rFonts w:hint="eastAsia"/>
              </w:rPr>
              <w:t>8800（不新增占地）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51" w:type="dxa"/>
            <w:tcMar>
              <w:top w:w="57" w:type="dxa"/>
              <w:left w:w="57" w:type="dxa"/>
              <w:right w:w="57" w:type="dxa"/>
            </w:tcMar>
            <w:vAlign w:val="center"/>
          </w:tcPr>
          <w:p>
            <w:pPr>
              <w:autoSpaceDE w:val="0"/>
              <w:autoSpaceDN w:val="0"/>
              <w:adjustRightInd w:val="0"/>
              <w:snapToGrid w:val="0"/>
              <w:spacing w:line="240" w:lineRule="auto"/>
              <w:ind w:firstLine="0" w:firstLineChars="0"/>
              <w:jc w:val="center"/>
              <w:rPr>
                <w:kern w:val="0"/>
              </w:rPr>
            </w:pPr>
            <w:r>
              <w:rPr>
                <w:kern w:val="0"/>
              </w:rPr>
              <w:t>专项评价设置情况</w:t>
            </w:r>
          </w:p>
        </w:tc>
        <w:tc>
          <w:tcPr>
            <w:tcW w:w="7302" w:type="dxa"/>
            <w:gridSpan w:val="3"/>
            <w:tcMar>
              <w:top w:w="57" w:type="dxa"/>
              <w:left w:w="57" w:type="dxa"/>
              <w:right w:w="57" w:type="dxa"/>
            </w:tcMar>
            <w:vAlign w:val="center"/>
          </w:tcPr>
          <w:p>
            <w:pPr>
              <w:pStyle w:val="18"/>
              <w:adjustRightInd w:val="0"/>
              <w:snapToGrid w:val="0"/>
              <w:spacing w:afterLines="50" w:line="240" w:lineRule="auto"/>
              <w:ind w:left="0" w:right="0" w:firstLine="0" w:firstLineChars="0"/>
              <w:jc w:val="both"/>
              <w:rPr>
                <w:sz w:val="24"/>
                <w:szCs w:val="24"/>
              </w:rPr>
            </w:pPr>
            <w:r>
              <w:rPr>
                <w:rFonts w:hint="eastAsia"/>
                <w:b w:val="0"/>
                <w:bCs/>
                <w:kern w:val="0"/>
                <w:sz w:val="24"/>
                <w:szCs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651" w:type="dxa"/>
            <w:tcMar>
              <w:top w:w="57" w:type="dxa"/>
              <w:left w:w="57" w:type="dxa"/>
              <w:right w:w="57" w:type="dxa"/>
            </w:tcMar>
            <w:vAlign w:val="center"/>
          </w:tcPr>
          <w:p>
            <w:pPr>
              <w:autoSpaceDE w:val="0"/>
              <w:autoSpaceDN w:val="0"/>
              <w:adjustRightInd w:val="0"/>
              <w:snapToGrid w:val="0"/>
              <w:spacing w:line="240" w:lineRule="auto"/>
              <w:ind w:firstLine="0" w:firstLineChars="0"/>
              <w:jc w:val="center"/>
              <w:rPr>
                <w:kern w:val="0"/>
              </w:rPr>
            </w:pPr>
            <w:r>
              <w:t>规划情况</w:t>
            </w:r>
          </w:p>
        </w:tc>
        <w:tc>
          <w:tcPr>
            <w:tcW w:w="7302" w:type="dxa"/>
            <w:gridSpan w:val="3"/>
            <w:tcMar>
              <w:top w:w="57" w:type="dxa"/>
              <w:left w:w="57" w:type="dxa"/>
              <w:right w:w="57" w:type="dxa"/>
            </w:tcMar>
            <w:vAlign w:val="center"/>
          </w:tcPr>
          <w:p>
            <w:pPr>
              <w:autoSpaceDE w:val="0"/>
              <w:autoSpaceDN w:val="0"/>
              <w:adjustRightInd w:val="0"/>
              <w:snapToGrid w:val="0"/>
              <w:spacing w:afterLines="50" w:line="240" w:lineRule="auto"/>
              <w:ind w:firstLine="0" w:firstLineChars="0"/>
              <w:rPr>
                <w:kern w:val="0"/>
              </w:rPr>
            </w:pPr>
            <w:r>
              <w:t>规划名称：《石泉省级经济技术开发区总体发展规划（2015-2030年）》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jc w:val="center"/>
        </w:trPr>
        <w:tc>
          <w:tcPr>
            <w:tcW w:w="1651" w:type="dxa"/>
            <w:tcMar>
              <w:top w:w="57" w:type="dxa"/>
              <w:left w:w="57" w:type="dxa"/>
              <w:right w:w="57" w:type="dxa"/>
            </w:tcMar>
            <w:vAlign w:val="center"/>
          </w:tcPr>
          <w:p>
            <w:pPr>
              <w:adjustRightInd w:val="0"/>
              <w:snapToGrid w:val="0"/>
              <w:spacing w:line="240" w:lineRule="auto"/>
              <w:ind w:firstLine="0" w:firstLineChars="0"/>
              <w:jc w:val="center"/>
            </w:pPr>
            <w:r>
              <w:t>规划环境影响</w:t>
            </w:r>
          </w:p>
          <w:p>
            <w:pPr>
              <w:adjustRightInd w:val="0"/>
              <w:snapToGrid w:val="0"/>
              <w:spacing w:line="240" w:lineRule="auto"/>
              <w:ind w:firstLine="0" w:firstLineChars="0"/>
              <w:jc w:val="center"/>
              <w:rPr>
                <w:kern w:val="0"/>
              </w:rPr>
            </w:pPr>
            <w:r>
              <w:t>评价情况</w:t>
            </w:r>
          </w:p>
        </w:tc>
        <w:tc>
          <w:tcPr>
            <w:tcW w:w="7302" w:type="dxa"/>
            <w:gridSpan w:val="3"/>
            <w:tcMar>
              <w:top w:w="57" w:type="dxa"/>
              <w:left w:w="57" w:type="dxa"/>
              <w:right w:w="57" w:type="dxa"/>
            </w:tcMar>
            <w:vAlign w:val="center"/>
          </w:tcPr>
          <w:p>
            <w:pPr>
              <w:pStyle w:val="91"/>
              <w:spacing w:line="360" w:lineRule="auto"/>
              <w:jc w:val="left"/>
              <w:rPr>
                <w:sz w:val="24"/>
                <w:szCs w:val="24"/>
              </w:rPr>
            </w:pPr>
            <w:r>
              <w:rPr>
                <w:rFonts w:hint="eastAsia"/>
                <w:sz w:val="24"/>
                <w:szCs w:val="24"/>
              </w:rPr>
              <w:t>规划环境影响评价文件名称：《石泉省级经济技术开发区总体发展规划环境影响报告书》</w:t>
            </w:r>
          </w:p>
          <w:p>
            <w:pPr>
              <w:pStyle w:val="91"/>
              <w:spacing w:line="360" w:lineRule="auto"/>
              <w:jc w:val="left"/>
              <w:rPr>
                <w:sz w:val="24"/>
                <w:szCs w:val="24"/>
              </w:rPr>
            </w:pPr>
            <w:r>
              <w:rPr>
                <w:rFonts w:hint="eastAsia"/>
                <w:sz w:val="24"/>
                <w:szCs w:val="24"/>
              </w:rPr>
              <w:t>审查机关：陕西省生态环境厅</w:t>
            </w:r>
          </w:p>
          <w:p>
            <w:pPr>
              <w:pStyle w:val="91"/>
              <w:spacing w:line="360" w:lineRule="auto"/>
              <w:jc w:val="left"/>
              <w:rPr>
                <w:szCs w:val="24"/>
              </w:rPr>
            </w:pPr>
            <w:r>
              <w:rPr>
                <w:rFonts w:hint="eastAsia"/>
                <w:sz w:val="24"/>
                <w:szCs w:val="24"/>
              </w:rPr>
              <w:t>审查文件名称及文号：《陕西省环境保护厅关于石泉省级经济技术开发区总体发展规划环境影响报告书审查意见的函》（陕环环评函[2018]215号）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651" w:type="dxa"/>
            <w:tcMar>
              <w:top w:w="57" w:type="dxa"/>
              <w:left w:w="57" w:type="dxa"/>
              <w:right w:w="57" w:type="dxa"/>
            </w:tcMar>
            <w:vAlign w:val="center"/>
          </w:tcPr>
          <w:p>
            <w:pPr>
              <w:autoSpaceDE w:val="0"/>
              <w:autoSpaceDN w:val="0"/>
              <w:adjustRightInd w:val="0"/>
              <w:snapToGrid w:val="0"/>
              <w:spacing w:line="240" w:lineRule="auto"/>
              <w:ind w:firstLine="0" w:firstLineChars="0"/>
              <w:jc w:val="center"/>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规划及规划环境影响评价符合性分析</w:t>
            </w:r>
          </w:p>
        </w:tc>
        <w:tc>
          <w:tcPr>
            <w:tcW w:w="7302" w:type="dxa"/>
            <w:gridSpan w:val="3"/>
            <w:tcMar>
              <w:top w:w="57" w:type="dxa"/>
              <w:left w:w="57" w:type="dxa"/>
              <w:right w:w="57" w:type="dxa"/>
            </w:tcMar>
            <w:vAlign w:val="center"/>
          </w:tcPr>
          <w:p>
            <w:pPr>
              <w:pStyle w:val="91"/>
              <w:spacing w:line="360" w:lineRule="auto"/>
              <w:jc w:val="left"/>
              <w:rPr>
                <w:sz w:val="24"/>
                <w:szCs w:val="24"/>
              </w:rPr>
            </w:pPr>
            <w:r>
              <w:rPr>
                <w:rFonts w:hint="eastAsia"/>
                <w:sz w:val="24"/>
                <w:szCs w:val="24"/>
              </w:rPr>
              <w:t>本项目位于陕西省安康市石泉经济技术开发区古堰工业园区，该园区隶属于石泉省级经济技术开发区，规划面积6.3km</w:t>
            </w:r>
            <w:r>
              <w:rPr>
                <w:rFonts w:hint="eastAsia"/>
                <w:sz w:val="24"/>
                <w:szCs w:val="24"/>
                <w:vertAlign w:val="superscript"/>
              </w:rPr>
              <w:t>2</w:t>
            </w:r>
            <w:r>
              <w:rPr>
                <w:rFonts w:hint="eastAsia"/>
                <w:sz w:val="24"/>
                <w:szCs w:val="24"/>
              </w:rPr>
              <w:t>。园区以产业丝绸、富硒食品、装备制造、新型建材等产业为主。本项目与规划及规划环境影响评价符合性分析见下表。</w:t>
            </w:r>
          </w:p>
          <w:p>
            <w:pPr>
              <w:pStyle w:val="85"/>
              <w:rPr>
                <w:color w:val="auto"/>
              </w:rPr>
            </w:pPr>
            <w:r>
              <w:rPr>
                <w:color w:val="auto"/>
              </w:rPr>
              <w:t>表1-1与规划及规划环境影响评价符合性分析</w:t>
            </w:r>
          </w:p>
          <w:tbl>
            <w:tblPr>
              <w:tblStyle w:val="36"/>
              <w:tblW w:w="7178" w:type="dxa"/>
              <w:tblInd w:w="8" w:type="dxa"/>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3074"/>
              <w:gridCol w:w="2362"/>
              <w:gridCol w:w="682"/>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1060" w:type="dxa"/>
                  <w:tcBorders>
                    <w:tl2br w:val="nil"/>
                    <w:tr2bl w:val="nil"/>
                  </w:tcBorders>
                  <w:vAlign w:val="center"/>
                </w:tcPr>
                <w:p>
                  <w:pPr>
                    <w:pStyle w:val="84"/>
                    <w:rPr>
                      <w:color w:val="auto"/>
                    </w:rPr>
                  </w:pPr>
                  <w:r>
                    <w:rPr>
                      <w:color w:val="auto"/>
                    </w:rPr>
                    <w:t>规划</w:t>
                  </w:r>
                </w:p>
              </w:tc>
              <w:tc>
                <w:tcPr>
                  <w:tcW w:w="3074" w:type="dxa"/>
                  <w:tcBorders>
                    <w:tl2br w:val="nil"/>
                    <w:tr2bl w:val="nil"/>
                  </w:tcBorders>
                  <w:vAlign w:val="center"/>
                </w:tcPr>
                <w:p>
                  <w:pPr>
                    <w:pStyle w:val="84"/>
                    <w:rPr>
                      <w:color w:val="auto"/>
                    </w:rPr>
                  </w:pPr>
                  <w:r>
                    <w:rPr>
                      <w:color w:val="auto"/>
                    </w:rPr>
                    <w:t>内容</w:t>
                  </w:r>
                </w:p>
              </w:tc>
              <w:tc>
                <w:tcPr>
                  <w:tcW w:w="2362" w:type="dxa"/>
                  <w:tcBorders>
                    <w:tl2br w:val="nil"/>
                    <w:tr2bl w:val="nil"/>
                  </w:tcBorders>
                  <w:vAlign w:val="center"/>
                </w:tcPr>
                <w:p>
                  <w:pPr>
                    <w:pStyle w:val="84"/>
                    <w:rPr>
                      <w:color w:val="auto"/>
                    </w:rPr>
                  </w:pPr>
                  <w:r>
                    <w:rPr>
                      <w:color w:val="auto"/>
                    </w:rPr>
                    <w:t>本项目情况</w:t>
                  </w:r>
                </w:p>
              </w:tc>
              <w:tc>
                <w:tcPr>
                  <w:tcW w:w="682" w:type="dxa"/>
                  <w:tcBorders>
                    <w:tl2br w:val="nil"/>
                    <w:tr2bl w:val="nil"/>
                  </w:tcBorders>
                  <w:vAlign w:val="center"/>
                </w:tcPr>
                <w:p>
                  <w:pPr>
                    <w:pStyle w:val="84"/>
                    <w:rPr>
                      <w:color w:val="auto"/>
                    </w:rPr>
                  </w:pPr>
                  <w:r>
                    <w:rPr>
                      <w:color w:val="auto"/>
                    </w:rPr>
                    <w:t>符合性</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1060" w:type="dxa"/>
                  <w:vMerge w:val="restart"/>
                  <w:tcBorders>
                    <w:tl2br w:val="nil"/>
                    <w:tr2bl w:val="nil"/>
                  </w:tcBorders>
                  <w:vAlign w:val="center"/>
                </w:tcPr>
                <w:p>
                  <w:pPr>
                    <w:pStyle w:val="84"/>
                    <w:rPr>
                      <w:color w:val="auto"/>
                    </w:rPr>
                  </w:pPr>
                  <w:r>
                    <w:rPr>
                      <w:color w:val="auto"/>
                    </w:rPr>
                    <w:t>石泉省级经济技术开发区总体发展规划</w:t>
                  </w:r>
                </w:p>
              </w:tc>
              <w:tc>
                <w:tcPr>
                  <w:tcW w:w="3074" w:type="dxa"/>
                  <w:tcBorders>
                    <w:tl2br w:val="nil"/>
                    <w:tr2bl w:val="nil"/>
                  </w:tcBorders>
                  <w:vAlign w:val="center"/>
                </w:tcPr>
                <w:p>
                  <w:pPr>
                    <w:pStyle w:val="84"/>
                    <w:jc w:val="left"/>
                    <w:rPr>
                      <w:color w:val="auto"/>
                    </w:rPr>
                  </w:pPr>
                  <w:r>
                    <w:rPr>
                      <w:rFonts w:hint="eastAsia"/>
                      <w:color w:val="auto"/>
                    </w:rPr>
                    <w:t>借助石泉县域资源优势、产业布局和用地，规划石泉省级经济技术开发区空间格局延续、强化产业布局的空间结构，从而形成“一轴两园三体”的空间格局。其中：</w:t>
                  </w:r>
                </w:p>
                <w:p>
                  <w:pPr>
                    <w:pStyle w:val="84"/>
                    <w:jc w:val="left"/>
                    <w:rPr>
                      <w:color w:val="auto"/>
                    </w:rPr>
                  </w:pPr>
                  <w:r>
                    <w:rPr>
                      <w:rFonts w:hint="eastAsia"/>
                      <w:color w:val="auto"/>
                    </w:rPr>
                    <w:t>一轴：以</w:t>
                  </w:r>
                  <w:r>
                    <w:rPr>
                      <w:color w:val="auto"/>
                    </w:rPr>
                    <w:t>G210、G316为依托的石泉省级经济技术开发区发展轴线；</w:t>
                  </w:r>
                </w:p>
                <w:p>
                  <w:pPr>
                    <w:pStyle w:val="84"/>
                    <w:jc w:val="left"/>
                    <w:rPr>
                      <w:color w:val="auto"/>
                    </w:rPr>
                  </w:pPr>
                  <w:r>
                    <w:rPr>
                      <w:rFonts w:hint="eastAsia"/>
                      <w:color w:val="auto"/>
                    </w:rPr>
                    <w:t>两园：古堰工业聚集区和池河工业园区。其中，古堰工业聚集区用地规模为</w:t>
                  </w:r>
                  <w:r>
                    <w:rPr>
                      <w:color w:val="auto"/>
                    </w:rPr>
                    <w:t>2.97平方公里，池河工业园区用地规模为3.33平方公里。</w:t>
                  </w:r>
                </w:p>
                <w:p>
                  <w:pPr>
                    <w:pStyle w:val="84"/>
                    <w:jc w:val="left"/>
                    <w:rPr>
                      <w:color w:val="auto"/>
                    </w:rPr>
                  </w:pPr>
                  <w:r>
                    <w:rPr>
                      <w:rFonts w:hint="eastAsia"/>
                      <w:color w:val="auto"/>
                    </w:rPr>
                    <w:t>三体：以富硒产业和蚕桑产业为主导，在古堰工业聚集区主要发展富硒魔芋版块，并集合富硒魔芋产品加工体系和生产参观体系；在池河工业园区主要发展蚕桑生物健康版块，并结合蚕丝加工体系和文创旅游体系</w:t>
                  </w:r>
                </w:p>
              </w:tc>
              <w:tc>
                <w:tcPr>
                  <w:tcW w:w="2362" w:type="dxa"/>
                  <w:vMerge w:val="restart"/>
                  <w:tcBorders>
                    <w:tl2br w:val="nil"/>
                    <w:tr2bl w:val="nil"/>
                  </w:tcBorders>
                  <w:vAlign w:val="center"/>
                </w:tcPr>
                <w:p>
                  <w:pPr>
                    <w:pStyle w:val="91"/>
                  </w:pPr>
                  <w:r>
                    <w:t>本项目</w:t>
                  </w:r>
                  <w:r>
                    <w:rPr>
                      <w:rFonts w:hint="eastAsia"/>
                    </w:rPr>
                    <w:t>为石泉经济技术开发区招商引资项目，目前与陕西石泉经济技术开发区管理委员会签订了招商引资项目框架协议书。</w:t>
                  </w:r>
                </w:p>
                <w:p>
                  <w:pPr>
                    <w:pStyle w:val="91"/>
                  </w:pPr>
                  <w:r>
                    <w:rPr>
                      <w:rFonts w:hint="eastAsia"/>
                    </w:rPr>
                    <w:t>项目位于古堰工业集中区，项目利用陕西双环锻造有限公司现有1号的车间进行建设，不新增占地，项目属于废旧资源加工再利用项目，为陕西双环锻造有限公司的扩建项目，项目的建设园区已入驻的其他企业基本无影响。</w:t>
                  </w:r>
                </w:p>
                <w:p>
                  <w:pPr>
                    <w:pStyle w:val="91"/>
                  </w:pPr>
                </w:p>
                <w:p>
                  <w:pPr>
                    <w:pStyle w:val="91"/>
                  </w:pPr>
                </w:p>
              </w:tc>
              <w:tc>
                <w:tcPr>
                  <w:tcW w:w="682" w:type="dxa"/>
                  <w:tcBorders>
                    <w:tl2br w:val="nil"/>
                    <w:tr2bl w:val="nil"/>
                  </w:tcBorders>
                  <w:vAlign w:val="center"/>
                </w:tcPr>
                <w:p>
                  <w:pPr>
                    <w:pStyle w:val="84"/>
                    <w:rPr>
                      <w:color w:val="auto"/>
                    </w:rPr>
                  </w:pPr>
                  <w:r>
                    <w:rPr>
                      <w:color w:val="auto"/>
                    </w:rPr>
                    <w:t>符合</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1060" w:type="dxa"/>
                  <w:vMerge w:val="continue"/>
                  <w:tcBorders>
                    <w:tl2br w:val="nil"/>
                    <w:tr2bl w:val="nil"/>
                  </w:tcBorders>
                  <w:vAlign w:val="center"/>
                </w:tcPr>
                <w:p>
                  <w:pPr>
                    <w:pStyle w:val="84"/>
                    <w:rPr>
                      <w:color w:val="auto"/>
                    </w:rPr>
                  </w:pPr>
                </w:p>
              </w:tc>
              <w:tc>
                <w:tcPr>
                  <w:tcW w:w="3074" w:type="dxa"/>
                  <w:tcBorders>
                    <w:tl2br w:val="nil"/>
                    <w:tr2bl w:val="nil"/>
                  </w:tcBorders>
                  <w:vAlign w:val="center"/>
                </w:tcPr>
                <w:p>
                  <w:pPr>
                    <w:pStyle w:val="84"/>
                    <w:jc w:val="left"/>
                    <w:rPr>
                      <w:color w:val="auto"/>
                    </w:rPr>
                  </w:pPr>
                  <w:r>
                    <w:rPr>
                      <w:rFonts w:hint="eastAsia"/>
                      <w:color w:val="auto"/>
                    </w:rPr>
                    <w:t>古堰工业聚集区：</w:t>
                  </w:r>
                </w:p>
                <w:p>
                  <w:pPr>
                    <w:pStyle w:val="84"/>
                    <w:jc w:val="left"/>
                    <w:rPr>
                      <w:color w:val="auto"/>
                    </w:rPr>
                  </w:pPr>
                  <w:r>
                    <w:rPr>
                      <w:rFonts w:hint="eastAsia"/>
                      <w:color w:val="auto"/>
                    </w:rPr>
                    <w:t>近期开发建设（2017-2020年）：重点建设古堰工业聚集区黄荆坝片区，具体包括黄荆坝片区的基础设施以及智慧产业园区、承接加工贸易转移的标准化厂区等项目和部分商业、商务设施。</w:t>
                  </w:r>
                </w:p>
                <w:p>
                  <w:pPr>
                    <w:pStyle w:val="84"/>
                    <w:jc w:val="left"/>
                    <w:rPr>
                      <w:color w:val="auto"/>
                    </w:rPr>
                  </w:pPr>
                  <w:r>
                    <w:rPr>
                      <w:rFonts w:hint="eastAsia"/>
                      <w:color w:val="auto"/>
                    </w:rPr>
                    <w:t>远期开发建设（2021-2030年）：远期以古堰工业聚集区南北两端的用地开发为主，在增加工业用地开发的同时，强化古堰综合中心和副中心的服务、带动、辐射功能。</w:t>
                  </w:r>
                </w:p>
              </w:tc>
              <w:tc>
                <w:tcPr>
                  <w:tcW w:w="2362" w:type="dxa"/>
                  <w:vMerge w:val="continue"/>
                  <w:tcBorders>
                    <w:tl2br w:val="nil"/>
                    <w:tr2bl w:val="nil"/>
                  </w:tcBorders>
                  <w:vAlign w:val="center"/>
                </w:tcPr>
                <w:p>
                  <w:pPr>
                    <w:pStyle w:val="84"/>
                    <w:rPr>
                      <w:color w:val="auto"/>
                    </w:rPr>
                  </w:pPr>
                </w:p>
              </w:tc>
              <w:tc>
                <w:tcPr>
                  <w:tcW w:w="682" w:type="dxa"/>
                  <w:tcBorders>
                    <w:tl2br w:val="nil"/>
                    <w:tr2bl w:val="nil"/>
                  </w:tcBorders>
                  <w:vAlign w:val="center"/>
                </w:tcPr>
                <w:p>
                  <w:pPr>
                    <w:pStyle w:val="84"/>
                    <w:rPr>
                      <w:color w:val="auto"/>
                    </w:rPr>
                  </w:pPr>
                  <w:r>
                    <w:rPr>
                      <w:color w:val="auto"/>
                    </w:rPr>
                    <w:t>符合</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1060" w:type="dxa"/>
                  <w:tcBorders>
                    <w:tl2br w:val="nil"/>
                    <w:tr2bl w:val="nil"/>
                  </w:tcBorders>
                  <w:vAlign w:val="center"/>
                </w:tcPr>
                <w:p>
                  <w:pPr>
                    <w:pStyle w:val="84"/>
                    <w:rPr>
                      <w:color w:val="auto"/>
                    </w:rPr>
                  </w:pPr>
                  <w:r>
                    <w:rPr>
                      <w:color w:val="auto"/>
                    </w:rPr>
                    <w:t>《石泉省级经济技术开发区总体发展规划环境影响报告书》规划环评及审查意见</w:t>
                  </w:r>
                </w:p>
              </w:tc>
              <w:tc>
                <w:tcPr>
                  <w:tcW w:w="3074" w:type="dxa"/>
                  <w:tcBorders>
                    <w:tl2br w:val="nil"/>
                    <w:tr2bl w:val="nil"/>
                  </w:tcBorders>
                  <w:vAlign w:val="center"/>
                </w:tcPr>
                <w:p>
                  <w:pPr>
                    <w:pStyle w:val="84"/>
                    <w:rPr>
                      <w:color w:val="auto"/>
                    </w:rPr>
                  </w:pPr>
                  <w:r>
                    <w:rPr>
                      <w:color w:val="auto"/>
                    </w:rPr>
                    <w:t>落实“三线一单”要求，严格入区项目的环境准入管理，禁止引进有发酵工艺、排水量大且污染物复杂等项目入园。落实《报告书》提出的环境要求，引进项目的生产工艺、设备、污染治理技术，以及单位产品能耗、物耗、污染物排放和资源利用率等均需达到同行业国内先进水平</w:t>
                  </w:r>
                </w:p>
              </w:tc>
              <w:tc>
                <w:tcPr>
                  <w:tcW w:w="2362" w:type="dxa"/>
                  <w:tcBorders>
                    <w:tl2br w:val="nil"/>
                    <w:tr2bl w:val="nil"/>
                  </w:tcBorders>
                  <w:vAlign w:val="center"/>
                </w:tcPr>
                <w:p>
                  <w:pPr>
                    <w:pStyle w:val="84"/>
                    <w:rPr>
                      <w:color w:val="auto"/>
                    </w:rPr>
                  </w:pPr>
                  <w:r>
                    <w:rPr>
                      <w:rFonts w:hint="eastAsia"/>
                      <w:color w:val="auto"/>
                    </w:rPr>
                    <w:t>项目符合“三线一单”要求，本项目属于废旧资源加工再利用项目，项目不新增员工，不新增生活污水，生产不外排。报告中针对运营过程中产生的污染物均提出了相关的环保措施，经处理后均可达标排放</w:t>
                  </w:r>
                </w:p>
              </w:tc>
              <w:tc>
                <w:tcPr>
                  <w:tcW w:w="682" w:type="dxa"/>
                  <w:tcBorders>
                    <w:tl2br w:val="nil"/>
                    <w:tr2bl w:val="nil"/>
                  </w:tcBorders>
                  <w:vAlign w:val="center"/>
                </w:tcPr>
                <w:p>
                  <w:pPr>
                    <w:pStyle w:val="84"/>
                    <w:rPr>
                      <w:color w:val="auto"/>
                    </w:rPr>
                  </w:pPr>
                  <w:r>
                    <w:rPr>
                      <w:color w:val="auto"/>
                    </w:rPr>
                    <w:t>符合</w:t>
                  </w:r>
                </w:p>
              </w:tc>
            </w:tr>
          </w:tbl>
          <w:p>
            <w:pPr>
              <w:pStyle w:val="91"/>
              <w:jc w:val="left"/>
              <w:rPr>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51" w:type="dxa"/>
            <w:tcMar>
              <w:top w:w="57" w:type="dxa"/>
              <w:left w:w="57" w:type="dxa"/>
              <w:right w:w="57" w:type="dxa"/>
            </w:tcMar>
            <w:vAlign w:val="center"/>
          </w:tcPr>
          <w:p>
            <w:pPr>
              <w:autoSpaceDE w:val="0"/>
              <w:autoSpaceDN w:val="0"/>
              <w:adjustRightInd w:val="0"/>
              <w:snapToGrid w:val="0"/>
              <w:spacing w:line="240" w:lineRule="auto"/>
              <w:ind w:firstLine="0" w:firstLineChars="0"/>
              <w:jc w:val="center"/>
              <w:rPr>
                <w:kern w:val="0"/>
              </w:rPr>
            </w:pPr>
            <w:r>
              <w:rPr>
                <w:kern w:val="0"/>
              </w:rPr>
              <w:t>其他符合性分析</w:t>
            </w:r>
          </w:p>
        </w:tc>
        <w:tc>
          <w:tcPr>
            <w:tcW w:w="7302" w:type="dxa"/>
            <w:gridSpan w:val="3"/>
            <w:tcMar>
              <w:top w:w="57" w:type="dxa"/>
              <w:left w:w="57" w:type="dxa"/>
              <w:right w:w="57" w:type="dxa"/>
            </w:tcMar>
            <w:vAlign w:val="center"/>
          </w:tcPr>
          <w:p>
            <w:pPr>
              <w:autoSpaceDE w:val="0"/>
              <w:autoSpaceDN w:val="0"/>
              <w:adjustRightInd w:val="0"/>
              <w:ind w:firstLine="0" w:firstLineChars="0"/>
            </w:pPr>
            <w:r>
              <w:rPr>
                <w:rFonts w:hint="eastAsia"/>
              </w:rPr>
              <w:t>1、产业政策符合性分析</w:t>
            </w:r>
          </w:p>
          <w:p>
            <w:pPr>
              <w:adjustRightInd w:val="0"/>
              <w:ind w:firstLine="480"/>
            </w:pPr>
            <w:r>
              <w:rPr>
                <w:rFonts w:hint="eastAsia"/>
              </w:rPr>
              <w:t>根据《产业结构调整指导目录》（2024修订）（国家发改委令第7号），本项目属于鼓励类“九、有色金属—3、综合利用：高效、节能、低污染、规模化再生资源回收与综合利用。本项目不在《环境保护综合名录》（2021年版）中的“高污染、高环境风险”产品名录之中。</w:t>
            </w:r>
          </w:p>
          <w:p>
            <w:pPr>
              <w:adjustRightInd w:val="0"/>
              <w:ind w:firstLine="480"/>
            </w:pPr>
            <w:r>
              <w:rPr>
                <w:rFonts w:ascii="宋体" w:hAnsi="宋体" w:cs="宋体"/>
              </w:rPr>
              <w:t>市场准入负面清单分为禁止和许可两类事项</w:t>
            </w:r>
            <w:r>
              <w:rPr>
                <w:rFonts w:hint="eastAsia" w:ascii="宋体" w:hAnsi="宋体" w:cs="宋体"/>
              </w:rPr>
              <w:t>，</w:t>
            </w:r>
            <w:r>
              <w:rPr>
                <w:rFonts w:hint="eastAsia"/>
              </w:rPr>
              <w:t>对照《市场准入负面清单（2022年版）》，本项目不属于禁止建设类、许可准入类项目。</w:t>
            </w:r>
          </w:p>
          <w:p>
            <w:pPr>
              <w:adjustRightInd w:val="0"/>
              <w:ind w:firstLine="480"/>
            </w:pPr>
            <w:r>
              <w:rPr>
                <w:rFonts w:hint="eastAsia"/>
              </w:rPr>
              <w:t>目前，本项目已于2024年1月12日取得石泉县发展和改革局《陕西省企业投资项目备案确认书》（见附件）；项目代码：2401-610922-04-02-496734。</w:t>
            </w:r>
          </w:p>
          <w:p>
            <w:pPr>
              <w:adjustRightInd w:val="0"/>
              <w:ind w:firstLine="480"/>
            </w:pPr>
            <w:r>
              <w:rPr>
                <w:rFonts w:hint="eastAsia"/>
              </w:rPr>
              <w:t>2</w:t>
            </w:r>
            <w:r>
              <w:t>、与相关环保政策符合性分析</w:t>
            </w:r>
          </w:p>
          <w:p>
            <w:pPr>
              <w:adjustRightInd w:val="0"/>
              <w:ind w:firstLine="480"/>
            </w:pPr>
            <w:r>
              <w:t>项目与相关</w:t>
            </w:r>
            <w:r>
              <w:rPr>
                <w:rFonts w:hint="eastAsia"/>
              </w:rPr>
              <w:t>环保</w:t>
            </w:r>
            <w:r>
              <w:t>政策符合性对照分析见表1</w:t>
            </w:r>
            <w:r>
              <w:rPr>
                <w:rFonts w:hint="eastAsia"/>
              </w:rPr>
              <w:t>-2</w:t>
            </w:r>
            <w:r>
              <w:t>。</w:t>
            </w:r>
          </w:p>
          <w:p>
            <w:pPr>
              <w:pStyle w:val="85"/>
              <w:rPr>
                <w:color w:val="auto"/>
                <w:lang w:val="zh-CN"/>
              </w:rPr>
            </w:pPr>
            <w:r>
              <w:rPr>
                <w:color w:val="auto"/>
                <w:lang w:val="zh-CN"/>
              </w:rPr>
              <w:t>表1</w:t>
            </w:r>
            <w:r>
              <w:rPr>
                <w:rFonts w:hint="eastAsia"/>
                <w:color w:val="auto"/>
              </w:rPr>
              <w:t>-2</w:t>
            </w:r>
            <w:r>
              <w:rPr>
                <w:color w:val="auto"/>
                <w:lang w:val="zh-CN"/>
              </w:rPr>
              <w:t>项目与相关</w:t>
            </w:r>
            <w:r>
              <w:rPr>
                <w:rFonts w:hint="eastAsia"/>
                <w:color w:val="auto"/>
                <w:lang w:val="zh-CN"/>
              </w:rPr>
              <w:t>环保</w:t>
            </w:r>
            <w:r>
              <w:rPr>
                <w:color w:val="auto"/>
                <w:lang w:val="zh-CN"/>
              </w:rPr>
              <w:t>政策符合性对照一览表</w:t>
            </w:r>
          </w:p>
          <w:tbl>
            <w:tblPr>
              <w:tblStyle w:val="36"/>
              <w:tblW w:w="71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960"/>
              <w:gridCol w:w="3343"/>
              <w:gridCol w:w="2121"/>
              <w:gridCol w:w="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23" w:hRule="atLeast"/>
                <w:jc w:val="center"/>
              </w:trPr>
              <w:tc>
                <w:tcPr>
                  <w:tcW w:w="960" w:type="dxa"/>
                  <w:tcBorders>
                    <w:tl2br w:val="nil"/>
                    <w:tr2bl w:val="nil"/>
                  </w:tcBorders>
                  <w:vAlign w:val="center"/>
                </w:tcPr>
                <w:p>
                  <w:pPr>
                    <w:pStyle w:val="84"/>
                    <w:rPr>
                      <w:color w:val="auto"/>
                    </w:rPr>
                  </w:pPr>
                  <w:r>
                    <w:rPr>
                      <w:rFonts w:hint="eastAsia"/>
                      <w:color w:val="auto"/>
                    </w:rPr>
                    <w:t>环保政策</w:t>
                  </w:r>
                </w:p>
              </w:tc>
              <w:tc>
                <w:tcPr>
                  <w:tcW w:w="3343" w:type="dxa"/>
                  <w:tcBorders>
                    <w:tl2br w:val="nil"/>
                    <w:tr2bl w:val="nil"/>
                  </w:tcBorders>
                  <w:vAlign w:val="center"/>
                </w:tcPr>
                <w:p>
                  <w:pPr>
                    <w:pStyle w:val="84"/>
                    <w:rPr>
                      <w:color w:val="auto"/>
                    </w:rPr>
                  </w:pPr>
                  <w:r>
                    <w:rPr>
                      <w:color w:val="auto"/>
                    </w:rPr>
                    <w:t>要求</w:t>
                  </w:r>
                </w:p>
              </w:tc>
              <w:tc>
                <w:tcPr>
                  <w:tcW w:w="2121" w:type="dxa"/>
                  <w:tcBorders>
                    <w:tl2br w:val="nil"/>
                    <w:tr2bl w:val="nil"/>
                  </w:tcBorders>
                  <w:vAlign w:val="center"/>
                </w:tcPr>
                <w:p>
                  <w:pPr>
                    <w:pStyle w:val="84"/>
                    <w:rPr>
                      <w:color w:val="auto"/>
                    </w:rPr>
                  </w:pPr>
                  <w:r>
                    <w:rPr>
                      <w:color w:val="auto"/>
                    </w:rPr>
                    <w:t>本项目情况</w:t>
                  </w:r>
                </w:p>
              </w:tc>
              <w:tc>
                <w:tcPr>
                  <w:tcW w:w="747" w:type="dxa"/>
                  <w:tcBorders>
                    <w:tl2br w:val="nil"/>
                    <w:tr2bl w:val="nil"/>
                  </w:tcBorders>
                  <w:vAlign w:val="center"/>
                </w:tcPr>
                <w:p>
                  <w:pPr>
                    <w:pStyle w:val="84"/>
                    <w:rPr>
                      <w:color w:val="auto"/>
                    </w:rPr>
                  </w:pPr>
                  <w:r>
                    <w:rPr>
                      <w:color w:val="auto"/>
                    </w:rPr>
                    <w:t>符合性分析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23" w:hRule="atLeast"/>
                <w:jc w:val="center"/>
              </w:trPr>
              <w:tc>
                <w:tcPr>
                  <w:tcW w:w="960" w:type="dxa"/>
                  <w:vMerge w:val="restart"/>
                  <w:tcBorders>
                    <w:tl2br w:val="nil"/>
                    <w:tr2bl w:val="nil"/>
                  </w:tcBorders>
                  <w:vAlign w:val="center"/>
                </w:tcPr>
                <w:p>
                  <w:pPr>
                    <w:pStyle w:val="84"/>
                    <w:rPr>
                      <w:color w:val="auto"/>
                    </w:rPr>
                  </w:pPr>
                  <w:r>
                    <w:rPr>
                      <w:rFonts w:hint="eastAsia"/>
                      <w:color w:val="auto"/>
                    </w:rPr>
                    <w:t>《陕西省蓝天保卫战2022年工作方案》</w:t>
                  </w:r>
                </w:p>
                <w:p>
                  <w:pPr>
                    <w:pStyle w:val="84"/>
                    <w:rPr>
                      <w:color w:val="auto"/>
                    </w:rPr>
                  </w:pPr>
                </w:p>
              </w:tc>
              <w:tc>
                <w:tcPr>
                  <w:tcW w:w="3343" w:type="dxa"/>
                  <w:tcBorders>
                    <w:tl2br w:val="nil"/>
                    <w:tr2bl w:val="nil"/>
                  </w:tcBorders>
                  <w:vAlign w:val="center"/>
                </w:tcPr>
                <w:p>
                  <w:pPr>
                    <w:pStyle w:val="84"/>
                    <w:jc w:val="both"/>
                    <w:rPr>
                      <w:color w:val="auto"/>
                    </w:rPr>
                  </w:pPr>
                  <w:r>
                    <w:rPr>
                      <w:rFonts w:hint="eastAsia"/>
                      <w:color w:val="auto"/>
                    </w:rPr>
                    <w:t>优化产业结构布局。严格执行《产</w:t>
                  </w:r>
                </w:p>
                <w:p>
                  <w:pPr>
                    <w:pStyle w:val="84"/>
                    <w:rPr>
                      <w:color w:val="auto"/>
                    </w:rPr>
                  </w:pPr>
                  <w:r>
                    <w:rPr>
                      <w:rFonts w:hint="eastAsia"/>
                      <w:color w:val="auto"/>
                    </w:rPr>
                    <w:t>业结构调整指导目录》。坚决遏制</w:t>
                  </w:r>
                  <w:r>
                    <w:rPr>
                      <w:color w:val="auto"/>
                    </w:rPr>
                    <w:t>“</w:t>
                  </w:r>
                  <w:r>
                    <w:rPr>
                      <w:rFonts w:hint="eastAsia"/>
                      <w:color w:val="auto"/>
                    </w:rPr>
                    <w:t>两高项目盲目发展，严格落实国家产业规划、产业政策、</w:t>
                  </w:r>
                  <w:r>
                    <w:rPr>
                      <w:color w:val="auto"/>
                    </w:rPr>
                    <w:t>“</w:t>
                  </w:r>
                  <w:r>
                    <w:rPr>
                      <w:rFonts w:hint="eastAsia"/>
                      <w:color w:val="auto"/>
                    </w:rPr>
                    <w:t>三线一单</w:t>
                  </w:r>
                  <w:r>
                    <w:rPr>
                      <w:color w:val="auto"/>
                    </w:rPr>
                    <w:t>”</w:t>
                  </w:r>
                  <w:r>
                    <w:rPr>
                      <w:rFonts w:hint="eastAsia"/>
                      <w:color w:val="auto"/>
                    </w:rPr>
                    <w:t>、规划环评，以及产能置换、</w:t>
                  </w:r>
                </w:p>
                <w:p>
                  <w:pPr>
                    <w:pStyle w:val="84"/>
                    <w:rPr>
                      <w:color w:val="auto"/>
                    </w:rPr>
                  </w:pPr>
                  <w:r>
                    <w:rPr>
                      <w:rFonts w:hint="eastAsia"/>
                      <w:color w:val="auto"/>
                    </w:rPr>
                    <w:t>煤炭消费减量替代、区域污染物削减等要求，对不符合规定的项目坚决停批停建。严格实施节能审查制度，加强节能审查事中事后监管。推动有条件的高炉转炉长流程企业就地改造转型发展电炉短流程炼钢。关中地区逐步淘汰步进式烧结机、球团竖炉等低效率、高能耗、高污染工艺和设备。重点区域严禁新钢铁、焦化水泥熟料、平板玻璃电解铝、煤化工产能，合理控制煤制油气产能规模，严控新增炼油产能。重点区域严禁新增化工园区</w:t>
                  </w:r>
                </w:p>
              </w:tc>
              <w:tc>
                <w:tcPr>
                  <w:tcW w:w="2121" w:type="dxa"/>
                  <w:tcBorders>
                    <w:tl2br w:val="nil"/>
                    <w:tr2bl w:val="nil"/>
                  </w:tcBorders>
                  <w:vAlign w:val="center"/>
                </w:tcPr>
                <w:p>
                  <w:pPr>
                    <w:pStyle w:val="84"/>
                    <w:rPr>
                      <w:color w:val="auto"/>
                    </w:rPr>
                  </w:pPr>
                  <w:r>
                    <w:rPr>
                      <w:rFonts w:hint="eastAsia"/>
                      <w:color w:val="auto"/>
                    </w:rPr>
                    <w:t>本项目位于陕西省安康市石泉县，项目为废硅泥、硅粉加工项目，属于《产业结构调整指导目录（2021年修订）》鼓励类项目。</w:t>
                  </w:r>
                </w:p>
              </w:tc>
              <w:tc>
                <w:tcPr>
                  <w:tcW w:w="747" w:type="dxa"/>
                  <w:tcBorders>
                    <w:tl2br w:val="nil"/>
                    <w:tr2bl w:val="nil"/>
                  </w:tcBorders>
                  <w:vAlign w:val="center"/>
                </w:tcPr>
                <w:p>
                  <w:pPr>
                    <w:pStyle w:val="84"/>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23" w:hRule="atLeast"/>
                <w:jc w:val="center"/>
              </w:trPr>
              <w:tc>
                <w:tcPr>
                  <w:tcW w:w="960" w:type="dxa"/>
                  <w:vMerge w:val="continue"/>
                  <w:tcBorders>
                    <w:tl2br w:val="nil"/>
                    <w:tr2bl w:val="nil"/>
                  </w:tcBorders>
                  <w:vAlign w:val="center"/>
                </w:tcPr>
                <w:p>
                  <w:pPr>
                    <w:pStyle w:val="84"/>
                    <w:rPr>
                      <w:color w:val="auto"/>
                    </w:rPr>
                  </w:pPr>
                </w:p>
              </w:tc>
              <w:tc>
                <w:tcPr>
                  <w:tcW w:w="3343" w:type="dxa"/>
                  <w:tcBorders>
                    <w:tl2br w:val="nil"/>
                    <w:tr2bl w:val="nil"/>
                  </w:tcBorders>
                  <w:vAlign w:val="center"/>
                </w:tcPr>
                <w:p>
                  <w:pPr>
                    <w:pStyle w:val="84"/>
                    <w:rPr>
                      <w:color w:val="auto"/>
                    </w:rPr>
                  </w:pPr>
                  <w:r>
                    <w:rPr>
                      <w:rFonts w:hint="eastAsia"/>
                      <w:color w:val="auto"/>
                    </w:rPr>
                    <w:t>到</w:t>
                  </w:r>
                  <w:r>
                    <w:rPr>
                      <w:color w:val="auto"/>
                    </w:rPr>
                    <w:t>2022</w:t>
                  </w:r>
                  <w:r>
                    <w:rPr>
                      <w:rFonts w:hint="eastAsia"/>
                      <w:color w:val="auto"/>
                    </w:rPr>
                    <w:t>年底，城镇新建建筑中绿色建筑占比提升到</w:t>
                  </w:r>
                  <w:r>
                    <w:rPr>
                      <w:color w:val="auto"/>
                    </w:rPr>
                    <w:t>60%</w:t>
                  </w:r>
                  <w:r>
                    <w:rPr>
                      <w:rFonts w:hint="eastAsia"/>
                      <w:color w:val="auto"/>
                    </w:rPr>
                    <w:t>、装配式建筑占比达到</w:t>
                  </w:r>
                  <w:r>
                    <w:rPr>
                      <w:color w:val="auto"/>
                    </w:rPr>
                    <w:t>24%</w:t>
                  </w:r>
                  <w:r>
                    <w:rPr>
                      <w:rFonts w:hint="eastAsia"/>
                      <w:color w:val="auto"/>
                    </w:rPr>
                    <w:t>。严格落实施工工地扬尘管控责任，建立施工工地动态管理清单，在工地公示具体防治措施及负责人信息，防治扬尘污染费用纳入工程造价。严格落实工地</w:t>
                  </w:r>
                  <w:r>
                    <w:rPr>
                      <w:color w:val="auto"/>
                    </w:rPr>
                    <w:t>“</w:t>
                  </w:r>
                  <w:r>
                    <w:rPr>
                      <w:rFonts w:hint="eastAsia"/>
                      <w:color w:val="auto"/>
                    </w:rPr>
                    <w:t>六个百分之百</w:t>
                  </w:r>
                  <w:r>
                    <w:rPr>
                      <w:color w:val="auto"/>
                    </w:rPr>
                    <w:t>”</w:t>
                  </w:r>
                  <w:r>
                    <w:rPr>
                      <w:rFonts w:hint="eastAsia"/>
                      <w:color w:val="auto"/>
                    </w:rPr>
                    <w:t>，将建筑施工扬尘防落实情况纳入企业信用评价。核查渣土车封闭化改装改造，确保运输过程无扬尘、无遗漏、无抛洒，未达到改造升级要求的渣土车辆不得从事渣土运输活动。加强施工扬尘监管执法，对问题严重的施工单位依法依规实施联合惩戒。</w:t>
                  </w:r>
                </w:p>
              </w:tc>
              <w:tc>
                <w:tcPr>
                  <w:tcW w:w="2121" w:type="dxa"/>
                  <w:tcBorders>
                    <w:tl2br w:val="nil"/>
                    <w:tr2bl w:val="nil"/>
                  </w:tcBorders>
                  <w:vAlign w:val="center"/>
                </w:tcPr>
                <w:p>
                  <w:pPr>
                    <w:pStyle w:val="84"/>
                    <w:jc w:val="both"/>
                    <w:rPr>
                      <w:color w:val="auto"/>
                    </w:rPr>
                  </w:pPr>
                  <w:r>
                    <w:rPr>
                      <w:rFonts w:hint="eastAsia"/>
                      <w:color w:val="auto"/>
                    </w:rPr>
                    <w:t>项目涉及的土建工程较少，施工期在加强施工管理和环保措施的前提下对环境的影响较小。</w:t>
                  </w:r>
                </w:p>
                <w:p>
                  <w:pPr>
                    <w:pStyle w:val="84"/>
                    <w:rPr>
                      <w:color w:val="auto"/>
                    </w:rPr>
                  </w:pPr>
                </w:p>
              </w:tc>
              <w:tc>
                <w:tcPr>
                  <w:tcW w:w="747" w:type="dxa"/>
                  <w:tcBorders>
                    <w:tl2br w:val="nil"/>
                    <w:tr2bl w:val="nil"/>
                  </w:tcBorders>
                  <w:vAlign w:val="center"/>
                </w:tcPr>
                <w:p>
                  <w:pPr>
                    <w:pStyle w:val="84"/>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3876" w:hRule="atLeast"/>
                <w:jc w:val="center"/>
              </w:trPr>
              <w:tc>
                <w:tcPr>
                  <w:tcW w:w="960" w:type="dxa"/>
                  <w:tcBorders>
                    <w:tl2br w:val="nil"/>
                    <w:tr2bl w:val="nil"/>
                  </w:tcBorders>
                  <w:vAlign w:val="center"/>
                </w:tcPr>
                <w:p>
                  <w:pPr>
                    <w:pStyle w:val="84"/>
                    <w:rPr>
                      <w:color w:val="auto"/>
                    </w:rPr>
                  </w:pPr>
                  <w:r>
                    <w:rPr>
                      <w:rFonts w:hint="eastAsia"/>
                      <w:color w:val="auto"/>
                    </w:rPr>
                    <w:t>《陕西省碧水保卫战2022年工作方案》</w:t>
                  </w:r>
                </w:p>
                <w:p>
                  <w:pPr>
                    <w:pStyle w:val="84"/>
                    <w:rPr>
                      <w:color w:val="auto"/>
                    </w:rPr>
                  </w:pPr>
                </w:p>
              </w:tc>
              <w:tc>
                <w:tcPr>
                  <w:tcW w:w="3343" w:type="dxa"/>
                  <w:tcBorders>
                    <w:tl2br w:val="nil"/>
                    <w:tr2bl w:val="nil"/>
                  </w:tcBorders>
                  <w:vAlign w:val="center"/>
                </w:tcPr>
                <w:p>
                  <w:pPr>
                    <w:pStyle w:val="84"/>
                    <w:rPr>
                      <w:color w:val="auto"/>
                    </w:rPr>
                  </w:pPr>
                  <w:r>
                    <w:rPr>
                      <w:rFonts w:hint="eastAsia"/>
                      <w:color w:val="auto"/>
                    </w:rPr>
                    <w:t>深入推进工业污染防治。加快产业结构调整，坚决遏制“两高”项目盲目发展，沿黄重点地区严控高污染、高耗水、高耗能项目，依法依规淘汰落后产能。加快业园区污水集中处理设施建设，严控工业废水未经处理或未有效处理直接排入城镇污水处理系统。严格落实排污许可制度，确保企业持证排污、按证排污。在黄河流域逐步开展煤炭、火电、钢铁、焦化、化工、有色等行业强制性清洁生产。</w:t>
                  </w:r>
                </w:p>
              </w:tc>
              <w:tc>
                <w:tcPr>
                  <w:tcW w:w="2121" w:type="dxa"/>
                  <w:tcBorders>
                    <w:tl2br w:val="nil"/>
                    <w:tr2bl w:val="nil"/>
                  </w:tcBorders>
                  <w:vAlign w:val="center"/>
                </w:tcPr>
                <w:p>
                  <w:pPr>
                    <w:pStyle w:val="84"/>
                    <w:jc w:val="both"/>
                    <w:rPr>
                      <w:color w:val="auto"/>
                    </w:rPr>
                  </w:pPr>
                  <w:r>
                    <w:rPr>
                      <w:rFonts w:hint="eastAsia"/>
                      <w:color w:val="auto"/>
                    </w:rPr>
                    <w:t>本项目员工内部调配；生产废水仅为中频炉循环冷却水、喷淋用水，此部分水循环使用，定期补充，不外排。</w:t>
                  </w:r>
                </w:p>
                <w:p>
                  <w:pPr>
                    <w:pStyle w:val="84"/>
                    <w:rPr>
                      <w:color w:val="auto"/>
                    </w:rPr>
                  </w:pPr>
                </w:p>
              </w:tc>
              <w:tc>
                <w:tcPr>
                  <w:tcW w:w="747" w:type="dxa"/>
                  <w:tcBorders>
                    <w:tl2br w:val="nil"/>
                    <w:tr2bl w:val="nil"/>
                  </w:tcBorders>
                  <w:vAlign w:val="center"/>
                </w:tcPr>
                <w:p>
                  <w:pPr>
                    <w:pStyle w:val="84"/>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2266" w:hRule="atLeast"/>
                <w:jc w:val="center"/>
              </w:trPr>
              <w:tc>
                <w:tcPr>
                  <w:tcW w:w="960" w:type="dxa"/>
                  <w:vMerge w:val="restart"/>
                  <w:tcBorders>
                    <w:tl2br w:val="nil"/>
                    <w:tr2bl w:val="nil"/>
                  </w:tcBorders>
                  <w:vAlign w:val="center"/>
                </w:tcPr>
                <w:p>
                  <w:pPr>
                    <w:pStyle w:val="84"/>
                    <w:rPr>
                      <w:color w:val="auto"/>
                    </w:rPr>
                  </w:pPr>
                  <w:r>
                    <w:rPr>
                      <w:rFonts w:hint="eastAsia"/>
                      <w:color w:val="auto"/>
                    </w:rPr>
                    <w:t>《安康市蓝天保卫战</w:t>
                  </w:r>
                  <w:r>
                    <w:rPr>
                      <w:color w:val="auto"/>
                    </w:rPr>
                    <w:t>2022</w:t>
                  </w:r>
                  <w:r>
                    <w:rPr>
                      <w:rFonts w:hint="eastAsia"/>
                      <w:color w:val="auto"/>
                    </w:rPr>
                    <w:t>年工作方</w:t>
                  </w:r>
                </w:p>
                <w:p>
                  <w:pPr>
                    <w:pStyle w:val="84"/>
                    <w:rPr>
                      <w:color w:val="auto"/>
                    </w:rPr>
                  </w:pPr>
                  <w:r>
                    <w:rPr>
                      <w:rFonts w:hint="eastAsia"/>
                      <w:color w:val="auto"/>
                    </w:rPr>
                    <w:t>案》</w:t>
                  </w:r>
                </w:p>
                <w:p>
                  <w:pPr>
                    <w:pStyle w:val="84"/>
                    <w:rPr>
                      <w:color w:val="auto"/>
                    </w:rPr>
                  </w:pPr>
                </w:p>
              </w:tc>
              <w:tc>
                <w:tcPr>
                  <w:tcW w:w="3343" w:type="dxa"/>
                  <w:tcBorders>
                    <w:tl2br w:val="nil"/>
                    <w:tr2bl w:val="nil"/>
                  </w:tcBorders>
                  <w:vAlign w:val="center"/>
                </w:tcPr>
                <w:p>
                  <w:pPr>
                    <w:pStyle w:val="84"/>
                    <w:rPr>
                      <w:color w:val="auto"/>
                    </w:rPr>
                  </w:pPr>
                  <w:r>
                    <w:rPr>
                      <w:rFonts w:hint="eastAsia"/>
                      <w:color w:val="auto"/>
                    </w:rPr>
                    <w:t>加快产业结构调整，坚决遏制“两高”项目发展，依法依规淘汰落后产能。完善各类工业集中区、高新区、经济开发区污水集中处理，严控工业废水未经处理或未有效处理直接排入城镇污水处理系统。严格落实排污许可制度，确保企业持证排污、按证排污。</w:t>
                  </w:r>
                </w:p>
              </w:tc>
              <w:tc>
                <w:tcPr>
                  <w:tcW w:w="2121" w:type="dxa"/>
                  <w:tcBorders>
                    <w:tl2br w:val="nil"/>
                    <w:tr2bl w:val="nil"/>
                  </w:tcBorders>
                  <w:vAlign w:val="center"/>
                </w:tcPr>
                <w:p>
                  <w:pPr>
                    <w:pStyle w:val="84"/>
                    <w:rPr>
                      <w:color w:val="auto"/>
                    </w:rPr>
                  </w:pPr>
                  <w:r>
                    <w:rPr>
                      <w:rFonts w:hint="eastAsia"/>
                      <w:color w:val="auto"/>
                    </w:rPr>
                    <w:t>本项目为废硅泥、硅粉再加工项目，不属于“两高”项目；本项目不新增生活污水，不产生生产废水。项目建成后将严格落实排污许可制度</w:t>
                  </w:r>
                </w:p>
              </w:tc>
              <w:tc>
                <w:tcPr>
                  <w:tcW w:w="747" w:type="dxa"/>
                  <w:tcBorders>
                    <w:tl2br w:val="nil"/>
                    <w:tr2bl w:val="nil"/>
                  </w:tcBorders>
                  <w:vAlign w:val="center"/>
                </w:tcPr>
                <w:p>
                  <w:pPr>
                    <w:pStyle w:val="84"/>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2266" w:hRule="atLeast"/>
                <w:jc w:val="center"/>
              </w:trPr>
              <w:tc>
                <w:tcPr>
                  <w:tcW w:w="960" w:type="dxa"/>
                  <w:vMerge w:val="continue"/>
                  <w:tcBorders>
                    <w:tl2br w:val="nil"/>
                    <w:tr2bl w:val="nil"/>
                  </w:tcBorders>
                  <w:vAlign w:val="center"/>
                </w:tcPr>
                <w:p>
                  <w:pPr>
                    <w:pStyle w:val="84"/>
                    <w:rPr>
                      <w:color w:val="auto"/>
                    </w:rPr>
                  </w:pPr>
                </w:p>
              </w:tc>
              <w:tc>
                <w:tcPr>
                  <w:tcW w:w="3343" w:type="dxa"/>
                  <w:tcBorders>
                    <w:tl2br w:val="nil"/>
                    <w:tr2bl w:val="nil"/>
                  </w:tcBorders>
                  <w:vAlign w:val="center"/>
                </w:tcPr>
                <w:p>
                  <w:pPr>
                    <w:pStyle w:val="84"/>
                    <w:jc w:val="left"/>
                    <w:rPr>
                      <w:color w:val="auto"/>
                    </w:rPr>
                  </w:pPr>
                  <w:r>
                    <w:rPr>
                      <w:rFonts w:hint="eastAsia"/>
                      <w:color w:val="auto"/>
                    </w:rPr>
                    <w:t>1.产业绿色转型升级</w:t>
                  </w:r>
                  <w:r>
                    <w:rPr>
                      <w:rFonts w:hint="eastAsia"/>
                      <w:color w:val="auto"/>
                    </w:rPr>
                    <w:br w:type="textWrapping"/>
                  </w:r>
                  <w:r>
                    <w:rPr>
                      <w:rFonts w:hint="eastAsia"/>
                      <w:color w:val="auto"/>
                    </w:rPr>
                    <w:t>重点行业绿色升级。以建材、工业涂装、包装印刷、农副食品加工为重点，开展全流程清洁化、循环化、低碳化改造。2025年完成水泥企业超低排放改造。</w:t>
                  </w:r>
                </w:p>
              </w:tc>
              <w:tc>
                <w:tcPr>
                  <w:tcW w:w="2121" w:type="dxa"/>
                  <w:vMerge w:val="restart"/>
                  <w:tcBorders>
                    <w:tl2br w:val="nil"/>
                    <w:tr2bl w:val="nil"/>
                  </w:tcBorders>
                  <w:vAlign w:val="center"/>
                </w:tcPr>
                <w:p>
                  <w:pPr>
                    <w:pStyle w:val="84"/>
                    <w:jc w:val="both"/>
                    <w:rPr>
                      <w:color w:val="auto"/>
                    </w:rPr>
                  </w:pPr>
                  <w:r>
                    <w:rPr>
                      <w:rFonts w:hint="eastAsia"/>
                      <w:color w:val="auto"/>
                    </w:rPr>
                    <w:t>本项目为废硅泥、硅粉再加工项目，产品作为半导体产品的原材料。项目运行过程中不新增生活污水，不产生生产废水。</w:t>
                  </w:r>
                </w:p>
              </w:tc>
              <w:tc>
                <w:tcPr>
                  <w:tcW w:w="747" w:type="dxa"/>
                  <w:vMerge w:val="restart"/>
                  <w:tcBorders>
                    <w:tl2br w:val="nil"/>
                    <w:tr2bl w:val="nil"/>
                  </w:tcBorders>
                  <w:vAlign w:val="center"/>
                </w:tcPr>
                <w:p>
                  <w:pPr>
                    <w:pStyle w:val="84"/>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2266" w:hRule="atLeast"/>
                <w:jc w:val="center"/>
              </w:trPr>
              <w:tc>
                <w:tcPr>
                  <w:tcW w:w="960" w:type="dxa"/>
                  <w:vMerge w:val="continue"/>
                  <w:tcBorders>
                    <w:tl2br w:val="nil"/>
                    <w:tr2bl w:val="nil"/>
                  </w:tcBorders>
                  <w:vAlign w:val="center"/>
                </w:tcPr>
                <w:p>
                  <w:pPr>
                    <w:pStyle w:val="84"/>
                    <w:rPr>
                      <w:color w:val="auto"/>
                    </w:rPr>
                  </w:pPr>
                </w:p>
              </w:tc>
              <w:tc>
                <w:tcPr>
                  <w:tcW w:w="3343" w:type="dxa"/>
                  <w:tcBorders>
                    <w:tl2br w:val="nil"/>
                    <w:tr2bl w:val="nil"/>
                  </w:tcBorders>
                  <w:vAlign w:val="center"/>
                </w:tcPr>
                <w:p>
                  <w:pPr>
                    <w:pStyle w:val="84"/>
                    <w:rPr>
                      <w:color w:val="auto"/>
                    </w:rPr>
                  </w:pPr>
                  <w:r>
                    <w:rPr>
                      <w:rFonts w:hint="eastAsia"/>
                      <w:color w:val="auto"/>
                    </w:rPr>
                    <w:t>持续推进工业污水治理。加强重点企业和工业集中区污水处理设施建设，实现污水达标排放或循环利用。推进安康高新区、旬阳省级高新区、石泉经济开发区、平利经济开发区、恒口示范区5个工业集聚区再生水管网铺设，提高污水处理厂再生水利用率。开展有色金属、农副食品加工、原料药制造等涉水重点行业专项治理。</w:t>
                  </w:r>
                </w:p>
              </w:tc>
              <w:tc>
                <w:tcPr>
                  <w:tcW w:w="2121" w:type="dxa"/>
                  <w:vMerge w:val="continue"/>
                  <w:tcBorders>
                    <w:tl2br w:val="nil"/>
                    <w:tr2bl w:val="nil"/>
                  </w:tcBorders>
                  <w:vAlign w:val="center"/>
                </w:tcPr>
                <w:p>
                  <w:pPr>
                    <w:pStyle w:val="84"/>
                    <w:rPr>
                      <w:color w:val="auto"/>
                    </w:rPr>
                  </w:pPr>
                </w:p>
              </w:tc>
              <w:tc>
                <w:tcPr>
                  <w:tcW w:w="747" w:type="dxa"/>
                  <w:vMerge w:val="continue"/>
                  <w:tcBorders>
                    <w:tl2br w:val="nil"/>
                    <w:tr2bl w:val="nil"/>
                  </w:tcBorders>
                  <w:vAlign w:val="center"/>
                </w:tcPr>
                <w:p>
                  <w:pPr>
                    <w:pStyle w:val="84"/>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2266" w:hRule="atLeast"/>
                <w:jc w:val="center"/>
              </w:trPr>
              <w:tc>
                <w:tcPr>
                  <w:tcW w:w="960" w:type="dxa"/>
                  <w:tcBorders>
                    <w:tl2br w:val="nil"/>
                    <w:tr2bl w:val="nil"/>
                  </w:tcBorders>
                  <w:vAlign w:val="center"/>
                </w:tcPr>
                <w:p>
                  <w:pPr>
                    <w:pStyle w:val="84"/>
                    <w:rPr>
                      <w:color w:val="auto"/>
                    </w:rPr>
                  </w:pPr>
                  <w:r>
                    <w:rPr>
                      <w:color w:val="auto"/>
                    </w:rPr>
                    <w:t>《安康市国民经济和社会发展第十四个五年规划和二〇三五年远景目标纲要》</w:t>
                  </w:r>
                </w:p>
              </w:tc>
              <w:tc>
                <w:tcPr>
                  <w:tcW w:w="3343" w:type="dxa"/>
                  <w:tcBorders>
                    <w:tl2br w:val="nil"/>
                    <w:tr2bl w:val="nil"/>
                  </w:tcBorders>
                  <w:vAlign w:val="center"/>
                </w:tcPr>
                <w:p>
                  <w:pPr>
                    <w:pStyle w:val="84"/>
                    <w:rPr>
                      <w:color w:val="auto"/>
                    </w:rPr>
                  </w:pPr>
                  <w:r>
                    <w:rPr>
                      <w:color w:val="auto"/>
                    </w:rPr>
                    <w:t>实施大气污染物综合治理工程，坚持协同增效，对污染物协同治理和挥发性有机物、臭氧防治技术开展科技攻关，研发新型污染物防治技术路线和装备，开展二氧化硫、氮氧化物、烟粉尘、挥发性有机物、氨气等多污染协同控制，确保城市空气质量优良天数比例保持在90%以上，到2025年，实现细颗粒物和臭氧浓度明显降低。</w:t>
                  </w:r>
                </w:p>
              </w:tc>
              <w:tc>
                <w:tcPr>
                  <w:tcW w:w="2121" w:type="dxa"/>
                  <w:tcBorders>
                    <w:tl2br w:val="nil"/>
                    <w:tr2bl w:val="nil"/>
                  </w:tcBorders>
                  <w:vAlign w:val="center"/>
                </w:tcPr>
                <w:p>
                  <w:pPr>
                    <w:pStyle w:val="84"/>
                    <w:rPr>
                      <w:color w:val="auto"/>
                    </w:rPr>
                  </w:pPr>
                  <w:r>
                    <w:rPr>
                      <w:color w:val="auto"/>
                    </w:rPr>
                    <w:t>本项目</w:t>
                  </w:r>
                  <w:r>
                    <w:rPr>
                      <w:rFonts w:hint="eastAsia"/>
                      <w:color w:val="auto"/>
                    </w:rPr>
                    <w:t>设置2套布袋除尘器分别对制粒及熔融过程产生的生产粉尘进行处理，设置1套喷淋装置对烘干粉尘进行处理，可有效减少外排环境的颗粒物</w:t>
                  </w:r>
                  <w:r>
                    <w:rPr>
                      <w:color w:val="auto"/>
                    </w:rPr>
                    <w:t>。</w:t>
                  </w:r>
                </w:p>
              </w:tc>
              <w:tc>
                <w:tcPr>
                  <w:tcW w:w="747" w:type="dxa"/>
                  <w:tcBorders>
                    <w:tl2br w:val="nil"/>
                    <w:tr2bl w:val="nil"/>
                  </w:tcBorders>
                  <w:vAlign w:val="center"/>
                </w:tcPr>
                <w:p>
                  <w:pPr>
                    <w:pStyle w:val="84"/>
                    <w:rPr>
                      <w:color w:val="auto"/>
                    </w:rPr>
                  </w:pPr>
                  <w:r>
                    <w:rPr>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2585" w:hRule="atLeast"/>
                <w:jc w:val="center"/>
              </w:trPr>
              <w:tc>
                <w:tcPr>
                  <w:tcW w:w="960" w:type="dxa"/>
                  <w:vMerge w:val="restart"/>
                  <w:tcBorders>
                    <w:tl2br w:val="nil"/>
                    <w:tr2bl w:val="nil"/>
                  </w:tcBorders>
                  <w:vAlign w:val="center"/>
                </w:tcPr>
                <w:p>
                  <w:pPr>
                    <w:pStyle w:val="84"/>
                    <w:rPr>
                      <w:color w:val="auto"/>
                    </w:rPr>
                  </w:pPr>
                  <w:r>
                    <w:rPr>
                      <w:rFonts w:hint="eastAsia"/>
                      <w:color w:val="auto"/>
                    </w:rPr>
                    <w:t>安康市大气污染治理专项行动工作方案（2023-2027年）</w:t>
                  </w:r>
                </w:p>
              </w:tc>
              <w:tc>
                <w:tcPr>
                  <w:tcW w:w="3343" w:type="dxa"/>
                  <w:tcBorders>
                    <w:tl2br w:val="nil"/>
                    <w:tr2bl w:val="nil"/>
                  </w:tcBorders>
                  <w:vAlign w:val="center"/>
                </w:tcPr>
                <w:p>
                  <w:pPr>
                    <w:pStyle w:val="84"/>
                    <w:rPr>
                      <w:color w:val="auto"/>
                    </w:rPr>
                  </w:pPr>
                  <w:r>
                    <w:rPr>
                      <w:rFonts w:hint="eastAsia"/>
                      <w:color w:val="auto"/>
                    </w:rPr>
                    <w:t>集聚提升工程。推进大企业高端化、高质量发展，支持传统优势产业向产业链中高端迈进。进一步分析产业发展定位，开展传统行业中小企业和产业集群排查及分类整治，积极总结推广现代产业园区建管模式，以高质量发展为导向，以产业园区为载体，搬迁入园一批、就地改造一批、做优做强一批中小企业，推动中小企业集聚化、高质量发展。</w:t>
                  </w:r>
                </w:p>
              </w:tc>
              <w:tc>
                <w:tcPr>
                  <w:tcW w:w="2121" w:type="dxa"/>
                  <w:tcBorders>
                    <w:tl2br w:val="nil"/>
                    <w:tr2bl w:val="nil"/>
                  </w:tcBorders>
                  <w:vAlign w:val="center"/>
                </w:tcPr>
                <w:p>
                  <w:pPr>
                    <w:pStyle w:val="84"/>
                    <w:rPr>
                      <w:color w:val="auto"/>
                    </w:rPr>
                  </w:pPr>
                  <w:r>
                    <w:rPr>
                      <w:rFonts w:hint="eastAsia"/>
                      <w:color w:val="auto"/>
                    </w:rPr>
                    <w:t>项目将废硅泥、硅粉有效进行回收利用，项目采用较为先进的生产工艺及设备，建成后采取各类污染防范措施后对环境的影响较小。</w:t>
                  </w:r>
                </w:p>
              </w:tc>
              <w:tc>
                <w:tcPr>
                  <w:tcW w:w="747" w:type="dxa"/>
                  <w:tcBorders>
                    <w:tl2br w:val="nil"/>
                    <w:tr2bl w:val="nil"/>
                  </w:tcBorders>
                  <w:vAlign w:val="center"/>
                </w:tcPr>
                <w:p>
                  <w:pPr>
                    <w:pStyle w:val="84"/>
                    <w:rPr>
                      <w:color w:val="auto"/>
                    </w:rPr>
                  </w:pPr>
                  <w:r>
                    <w:rPr>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2585" w:hRule="atLeast"/>
                <w:jc w:val="center"/>
              </w:trPr>
              <w:tc>
                <w:tcPr>
                  <w:tcW w:w="960" w:type="dxa"/>
                  <w:vMerge w:val="continue"/>
                  <w:tcBorders>
                    <w:tl2br w:val="nil"/>
                    <w:tr2bl w:val="nil"/>
                  </w:tcBorders>
                  <w:vAlign w:val="center"/>
                </w:tcPr>
                <w:p>
                  <w:pPr>
                    <w:pStyle w:val="84"/>
                    <w:rPr>
                      <w:color w:val="auto"/>
                    </w:rPr>
                  </w:pPr>
                </w:p>
              </w:tc>
              <w:tc>
                <w:tcPr>
                  <w:tcW w:w="3343" w:type="dxa"/>
                  <w:tcBorders>
                    <w:tl2br w:val="nil"/>
                    <w:tr2bl w:val="nil"/>
                  </w:tcBorders>
                  <w:vAlign w:val="center"/>
                </w:tcPr>
                <w:p>
                  <w:pPr>
                    <w:pStyle w:val="84"/>
                    <w:rPr>
                      <w:color w:val="auto"/>
                    </w:rPr>
                  </w:pPr>
                  <w:r>
                    <w:rPr>
                      <w:color w:val="auto"/>
                    </w:rPr>
                    <w:t>工业企业深度治理行动。2025年底前，水泥熟料产能和独立粉磨站完成超低排放改造，逾期未完成改造的不允许生产。严把燃煤锅炉准入关口，各县（市、区）开展燃煤锅炉、燃气锅炉排查整治，城市建成区内禁止建设、使用燃煤锅炉，建立燃气锅炉和建成区外燃煤锅炉动态管理台账，强化日常监管，不能稳定达标的，限期整改到位，并对违法企业立案查处。推动燃气锅炉实施低氮燃烧深度改造，鼓励企业将氮氧化物浓度控制在30毫克/立方米以下。</w:t>
                  </w:r>
                </w:p>
              </w:tc>
              <w:tc>
                <w:tcPr>
                  <w:tcW w:w="2121" w:type="dxa"/>
                  <w:tcBorders>
                    <w:tl2br w:val="nil"/>
                    <w:tr2bl w:val="nil"/>
                  </w:tcBorders>
                  <w:vAlign w:val="center"/>
                </w:tcPr>
                <w:p>
                  <w:pPr>
                    <w:pStyle w:val="84"/>
                    <w:rPr>
                      <w:color w:val="auto"/>
                    </w:rPr>
                  </w:pPr>
                  <w:r>
                    <w:rPr>
                      <w:rFonts w:hint="eastAsia"/>
                      <w:color w:val="auto"/>
                    </w:rPr>
                    <w:t>本项目不设置锅炉，项目针对制粒及熔融过程产生的粉尘采用</w:t>
                  </w:r>
                </w:p>
                <w:p>
                  <w:pPr>
                    <w:pStyle w:val="84"/>
                    <w:rPr>
                      <w:color w:val="auto"/>
                    </w:rPr>
                  </w:pPr>
                  <w:r>
                    <w:rPr>
                      <w:rFonts w:hint="eastAsia"/>
                      <w:color w:val="auto"/>
                    </w:rPr>
                    <w:t>布袋除尘器+15m排气筒进行有效处理；针对烘干过程产生的粉尘及天然气燃烧废气采用喷淋装置处理后通过20m排气筒进行排放</w:t>
                  </w:r>
                </w:p>
              </w:tc>
              <w:tc>
                <w:tcPr>
                  <w:tcW w:w="747" w:type="dxa"/>
                  <w:tcBorders>
                    <w:tl2br w:val="nil"/>
                    <w:tr2bl w:val="nil"/>
                  </w:tcBorders>
                  <w:vAlign w:val="center"/>
                </w:tcPr>
                <w:p>
                  <w:pPr>
                    <w:pStyle w:val="84"/>
                    <w:rPr>
                      <w:color w:val="auto"/>
                    </w:rPr>
                  </w:pPr>
                  <w:r>
                    <w:rPr>
                      <w:rFonts w:hint="eastAsia"/>
                      <w:color w:val="auto"/>
                    </w:rPr>
                    <w:t>符合</w:t>
                  </w:r>
                </w:p>
              </w:tc>
            </w:tr>
          </w:tbl>
          <w:p>
            <w:pPr>
              <w:adjustRightInd w:val="0"/>
              <w:ind w:firstLine="480"/>
            </w:pPr>
            <w:r>
              <w:rPr>
                <w:rFonts w:hint="eastAsia"/>
              </w:rPr>
              <w:t>3</w:t>
            </w:r>
            <w:r>
              <w:t>、</w:t>
            </w:r>
            <w:r>
              <w:rPr>
                <w:rFonts w:hint="eastAsia"/>
              </w:rPr>
              <w:t>与“三线一单”的符合性分析</w:t>
            </w:r>
          </w:p>
          <w:p>
            <w:pPr>
              <w:wordWrap w:val="0"/>
              <w:adjustRightInd w:val="0"/>
              <w:ind w:firstLine="360" w:firstLineChars="150"/>
            </w:pPr>
            <w:r>
              <w:rPr>
                <w:rFonts w:hint="eastAsia"/>
              </w:rPr>
              <w:t>根据《关于以改善环境质量为核心加强环境影响评价管理的通知》（环评〔</w:t>
            </w:r>
            <w:r>
              <w:t>2016</w:t>
            </w:r>
            <w:r>
              <w:rPr>
                <w:rFonts w:hint="eastAsia"/>
              </w:rPr>
              <w:t>〕</w:t>
            </w:r>
            <w:r>
              <w:t>150</w:t>
            </w:r>
            <w:r>
              <w:rPr>
                <w:rFonts w:hint="eastAsia"/>
              </w:rPr>
              <w:t>号）、《陕西省人民政府关于加快实施“三线一单”生态环境分区管控的意见》（陕政发〔</w:t>
            </w:r>
            <w:r>
              <w:t>2020</w:t>
            </w:r>
            <w:r>
              <w:rPr>
                <w:rFonts w:hint="eastAsia"/>
              </w:rPr>
              <w:t>〕</w:t>
            </w:r>
            <w:r>
              <w:t>11</w:t>
            </w:r>
            <w:r>
              <w:rPr>
                <w:rFonts w:hint="eastAsia"/>
              </w:rPr>
              <w:t>号）和《 安康市人民政府关于印发安康市“三线一单”生态环境分区管控方案的通知》</w:t>
            </w:r>
            <w:r>
              <w:t>（</w:t>
            </w:r>
            <w:r>
              <w:rPr>
                <w:rFonts w:hint="eastAsia"/>
              </w:rPr>
              <w:t>安</w:t>
            </w:r>
            <w:r>
              <w:t>政发〔2021〕</w:t>
            </w:r>
            <w:r>
              <w:rPr>
                <w:rFonts w:hint="eastAsia"/>
              </w:rPr>
              <w:t>18</w:t>
            </w:r>
            <w:r>
              <w:t>号）</w:t>
            </w:r>
            <w:r>
              <w:rPr>
                <w:rFonts w:hint="eastAsia"/>
              </w:rPr>
              <w:t>，本项目“三线一单”符合情况见表</w:t>
            </w:r>
            <w:r>
              <w:t>1-</w:t>
            </w:r>
            <w:r>
              <w:rPr>
                <w:rFonts w:hint="eastAsia"/>
              </w:rPr>
              <w:t>3。</w:t>
            </w:r>
          </w:p>
          <w:p>
            <w:pPr>
              <w:pStyle w:val="85"/>
              <w:rPr>
                <w:color w:val="auto"/>
              </w:rPr>
            </w:pPr>
            <w:r>
              <w:rPr>
                <w:color w:val="auto"/>
              </w:rPr>
              <w:t>表1-</w:t>
            </w:r>
            <w:r>
              <w:rPr>
                <w:rFonts w:hint="eastAsia"/>
                <w:color w:val="auto"/>
              </w:rPr>
              <w:t>3</w:t>
            </w:r>
            <w:r>
              <w:rPr>
                <w:color w:val="auto"/>
              </w:rPr>
              <w:t>“三线一单”符合性分析表</w:t>
            </w:r>
          </w:p>
          <w:tbl>
            <w:tblPr>
              <w:tblStyle w:val="36"/>
              <w:tblW w:w="7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3"/>
              <w:gridCol w:w="910"/>
              <w:gridCol w:w="4201"/>
              <w:gridCol w:w="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2203" w:type="dxa"/>
                  <w:gridSpan w:val="2"/>
                  <w:tcBorders>
                    <w:tl2br w:val="nil"/>
                    <w:tr2bl w:val="nil"/>
                  </w:tcBorders>
                  <w:shd w:val="clear" w:color="auto" w:fill="auto"/>
                  <w:vAlign w:val="center"/>
                </w:tcPr>
                <w:p>
                  <w:pPr>
                    <w:pStyle w:val="84"/>
                    <w:rPr>
                      <w:color w:val="auto"/>
                    </w:rPr>
                  </w:pPr>
                  <w:r>
                    <w:rPr>
                      <w:rFonts w:hint="eastAsia"/>
                      <w:color w:val="auto"/>
                    </w:rPr>
                    <w:t>分析判定内容</w:t>
                  </w:r>
                </w:p>
              </w:tc>
              <w:tc>
                <w:tcPr>
                  <w:tcW w:w="4201" w:type="dxa"/>
                  <w:tcBorders>
                    <w:tl2br w:val="nil"/>
                    <w:tr2bl w:val="nil"/>
                  </w:tcBorders>
                  <w:shd w:val="clear" w:color="auto" w:fill="auto"/>
                  <w:vAlign w:val="center"/>
                </w:tcPr>
                <w:p>
                  <w:pPr>
                    <w:pStyle w:val="84"/>
                    <w:rPr>
                      <w:color w:val="auto"/>
                    </w:rPr>
                  </w:pPr>
                  <w:r>
                    <w:rPr>
                      <w:rFonts w:hint="eastAsia"/>
                      <w:color w:val="auto"/>
                    </w:rPr>
                    <w:t>本项目情况</w:t>
                  </w:r>
                </w:p>
              </w:tc>
              <w:tc>
                <w:tcPr>
                  <w:tcW w:w="770" w:type="dxa"/>
                  <w:tcBorders>
                    <w:tl2br w:val="nil"/>
                    <w:tr2bl w:val="nil"/>
                  </w:tcBorders>
                  <w:vAlign w:val="center"/>
                </w:tcPr>
                <w:p>
                  <w:pPr>
                    <w:pStyle w:val="84"/>
                    <w:rPr>
                      <w:color w:val="auto"/>
                    </w:rPr>
                  </w:pPr>
                  <w:r>
                    <w:rPr>
                      <w:rFonts w:hint="eastAsia"/>
                      <w:color w:val="auto"/>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93" w:type="dxa"/>
                  <w:vMerge w:val="restart"/>
                  <w:tcBorders>
                    <w:tl2br w:val="nil"/>
                    <w:tr2bl w:val="nil"/>
                  </w:tcBorders>
                  <w:vAlign w:val="center"/>
                </w:tcPr>
                <w:p>
                  <w:pPr>
                    <w:pStyle w:val="84"/>
                    <w:rPr>
                      <w:color w:val="auto"/>
                    </w:rPr>
                  </w:pPr>
                </w:p>
                <w:p>
                  <w:pPr>
                    <w:pStyle w:val="84"/>
                    <w:rPr>
                      <w:color w:val="auto"/>
                    </w:rPr>
                  </w:pPr>
                </w:p>
                <w:p>
                  <w:pPr>
                    <w:pStyle w:val="84"/>
                    <w:rPr>
                      <w:color w:val="auto"/>
                    </w:rPr>
                  </w:pPr>
                </w:p>
                <w:p>
                  <w:pPr>
                    <w:pStyle w:val="84"/>
                    <w:rPr>
                      <w:color w:val="auto"/>
                    </w:rPr>
                  </w:pPr>
                </w:p>
                <w:p>
                  <w:pPr>
                    <w:pStyle w:val="84"/>
                    <w:rPr>
                      <w:color w:val="auto"/>
                    </w:rPr>
                  </w:pPr>
                </w:p>
                <w:p>
                  <w:pPr>
                    <w:pStyle w:val="84"/>
                    <w:rPr>
                      <w:color w:val="auto"/>
                    </w:rPr>
                  </w:pPr>
                </w:p>
                <w:p>
                  <w:pPr>
                    <w:pStyle w:val="84"/>
                    <w:rPr>
                      <w:color w:val="auto"/>
                    </w:rPr>
                  </w:pPr>
                </w:p>
                <w:p>
                  <w:pPr>
                    <w:pStyle w:val="84"/>
                    <w:rPr>
                      <w:color w:val="auto"/>
                    </w:rPr>
                  </w:pPr>
                  <w:r>
                    <w:rPr>
                      <w:rFonts w:hint="eastAsia"/>
                      <w:color w:val="auto"/>
                    </w:rPr>
                    <w:t>三线一单符合性分析</w:t>
                  </w:r>
                </w:p>
              </w:tc>
              <w:tc>
                <w:tcPr>
                  <w:tcW w:w="910" w:type="dxa"/>
                  <w:tcBorders>
                    <w:tl2br w:val="nil"/>
                    <w:tr2bl w:val="nil"/>
                  </w:tcBorders>
                  <w:vAlign w:val="center"/>
                </w:tcPr>
                <w:p>
                  <w:pPr>
                    <w:pStyle w:val="84"/>
                    <w:rPr>
                      <w:color w:val="auto"/>
                    </w:rPr>
                  </w:pPr>
                  <w:r>
                    <w:rPr>
                      <w:rFonts w:hint="eastAsia"/>
                      <w:color w:val="auto"/>
                    </w:rPr>
                    <w:t>生态保护红线</w:t>
                  </w:r>
                </w:p>
              </w:tc>
              <w:tc>
                <w:tcPr>
                  <w:tcW w:w="4201" w:type="dxa"/>
                  <w:tcBorders>
                    <w:tl2br w:val="nil"/>
                    <w:tr2bl w:val="nil"/>
                  </w:tcBorders>
                  <w:vAlign w:val="center"/>
                </w:tcPr>
                <w:p>
                  <w:pPr>
                    <w:pStyle w:val="84"/>
                    <w:jc w:val="left"/>
                    <w:rPr>
                      <w:color w:val="auto"/>
                    </w:rPr>
                  </w:pPr>
                  <w:r>
                    <w:rPr>
                      <w:rFonts w:hint="eastAsia"/>
                      <w:color w:val="auto"/>
                    </w:rPr>
                    <w:t>根据《关于以改善环境质量为核心加强环境影响评价管理的通知》（环评〔</w:t>
                  </w:r>
                  <w:r>
                    <w:rPr>
                      <w:color w:val="auto"/>
                    </w:rPr>
                    <w:t>2016</w:t>
                  </w:r>
                  <w:r>
                    <w:rPr>
                      <w:rFonts w:hint="eastAsia"/>
                      <w:color w:val="auto"/>
                    </w:rPr>
                    <w:t>〕</w:t>
                  </w:r>
                  <w:r>
                    <w:rPr>
                      <w:color w:val="auto"/>
                    </w:rPr>
                    <w:t>150</w:t>
                  </w:r>
                  <w:r>
                    <w:rPr>
                      <w:rFonts w:hint="eastAsia"/>
                      <w:color w:val="auto"/>
                    </w:rPr>
                    <w:t>号），生态保护红线是生态空间范围内具有特殊重要生态功能必须实行强制性严格保护的区域，除受自然条件限制、确实无法避让的铁路、公路、航道、防洪、管道、干渠、通讯、输变电等重要基础设施项目外，在生态保护红线范围内，严控各类开发建设活动，依法不予审批新建工业项目和矿产开发项目的环评文件。</w:t>
                  </w:r>
                </w:p>
                <w:p>
                  <w:pPr>
                    <w:pStyle w:val="84"/>
                    <w:jc w:val="left"/>
                    <w:rPr>
                      <w:color w:val="auto"/>
                    </w:rPr>
                  </w:pPr>
                  <w:r>
                    <w:rPr>
                      <w:rFonts w:hint="eastAsia"/>
                      <w:color w:val="auto"/>
                    </w:rPr>
                    <w:t>本项目位于石泉县省级经济技术开发区城关镇古堰工业园区，不在生态保护红线范围内。项目评价区域内</w:t>
                  </w:r>
                  <w:r>
                    <w:rPr>
                      <w:color w:val="auto"/>
                    </w:rPr>
                    <w:t>2.5km</w:t>
                  </w:r>
                  <w:r>
                    <w:rPr>
                      <w:rFonts w:hint="eastAsia"/>
                      <w:color w:val="auto"/>
                    </w:rPr>
                    <w:t>范围内不涉及自然保护区、饮用水水源保护区、风景名胜区、森林公园、地质公园、湿地公园、重要湿地、水产种质资源保护区、生态公益林、洪水调蓄区、重要水库、国家良好湖泊、重点生态功能区、生态敏感脆弱区等。</w:t>
                  </w:r>
                </w:p>
              </w:tc>
              <w:tc>
                <w:tcPr>
                  <w:tcW w:w="770" w:type="dxa"/>
                  <w:tcBorders>
                    <w:tl2br w:val="nil"/>
                    <w:tr2bl w:val="nil"/>
                  </w:tcBorders>
                  <w:vAlign w:val="center"/>
                </w:tcPr>
                <w:p>
                  <w:pPr>
                    <w:pStyle w:val="84"/>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93" w:type="dxa"/>
                  <w:vMerge w:val="continue"/>
                  <w:tcBorders>
                    <w:tl2br w:val="nil"/>
                    <w:tr2bl w:val="nil"/>
                  </w:tcBorders>
                  <w:vAlign w:val="center"/>
                </w:tcPr>
                <w:p>
                  <w:pPr>
                    <w:pStyle w:val="84"/>
                    <w:rPr>
                      <w:color w:val="auto"/>
                    </w:rPr>
                  </w:pPr>
                </w:p>
              </w:tc>
              <w:tc>
                <w:tcPr>
                  <w:tcW w:w="910" w:type="dxa"/>
                  <w:tcBorders>
                    <w:tl2br w:val="nil"/>
                    <w:tr2bl w:val="nil"/>
                  </w:tcBorders>
                  <w:vAlign w:val="center"/>
                </w:tcPr>
                <w:p>
                  <w:pPr>
                    <w:pStyle w:val="84"/>
                    <w:rPr>
                      <w:color w:val="auto"/>
                    </w:rPr>
                  </w:pPr>
                  <w:r>
                    <w:rPr>
                      <w:rFonts w:hint="eastAsia"/>
                      <w:color w:val="auto"/>
                    </w:rPr>
                    <w:t>环境质量底线</w:t>
                  </w:r>
                </w:p>
              </w:tc>
              <w:tc>
                <w:tcPr>
                  <w:tcW w:w="4201" w:type="dxa"/>
                  <w:tcBorders>
                    <w:tl2br w:val="nil"/>
                    <w:tr2bl w:val="nil"/>
                  </w:tcBorders>
                  <w:vAlign w:val="center"/>
                </w:tcPr>
                <w:p>
                  <w:pPr>
                    <w:pStyle w:val="84"/>
                    <w:jc w:val="left"/>
                    <w:rPr>
                      <w:color w:val="auto"/>
                    </w:rPr>
                  </w:pPr>
                  <w:r>
                    <w:rPr>
                      <w:rFonts w:hint="eastAsia"/>
                      <w:color w:val="auto"/>
                    </w:rPr>
                    <w:t>环境质量底线是国家和地方设置的大气、水和土壤环境质量目标，也是改善环境质量的基准线。</w:t>
                  </w:r>
                </w:p>
                <w:p>
                  <w:pPr>
                    <w:pStyle w:val="84"/>
                    <w:jc w:val="left"/>
                    <w:rPr>
                      <w:color w:val="auto"/>
                    </w:rPr>
                  </w:pPr>
                  <w:r>
                    <w:rPr>
                      <w:rFonts w:hint="eastAsia"/>
                      <w:color w:val="auto"/>
                    </w:rPr>
                    <w:t>项目环评对照区域环境质量目标，分析预测项目建设对环境质量的影响，强化污染防治措施和污染物排放控制要求。项目建成后不改变原有环境质量现状。</w:t>
                  </w:r>
                </w:p>
              </w:tc>
              <w:tc>
                <w:tcPr>
                  <w:tcW w:w="770" w:type="dxa"/>
                  <w:tcBorders>
                    <w:tl2br w:val="nil"/>
                    <w:tr2bl w:val="nil"/>
                  </w:tcBorders>
                  <w:vAlign w:val="center"/>
                </w:tcPr>
                <w:p>
                  <w:pPr>
                    <w:pStyle w:val="84"/>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93" w:type="dxa"/>
                  <w:vMerge w:val="continue"/>
                  <w:tcBorders>
                    <w:tl2br w:val="nil"/>
                    <w:tr2bl w:val="nil"/>
                  </w:tcBorders>
                  <w:vAlign w:val="center"/>
                </w:tcPr>
                <w:p>
                  <w:pPr>
                    <w:pStyle w:val="84"/>
                    <w:rPr>
                      <w:color w:val="auto"/>
                    </w:rPr>
                  </w:pPr>
                </w:p>
              </w:tc>
              <w:tc>
                <w:tcPr>
                  <w:tcW w:w="910" w:type="dxa"/>
                  <w:tcBorders>
                    <w:tl2br w:val="nil"/>
                    <w:tr2bl w:val="nil"/>
                  </w:tcBorders>
                  <w:vAlign w:val="center"/>
                </w:tcPr>
                <w:p>
                  <w:pPr>
                    <w:pStyle w:val="84"/>
                    <w:rPr>
                      <w:color w:val="auto"/>
                    </w:rPr>
                  </w:pPr>
                  <w:r>
                    <w:rPr>
                      <w:rFonts w:hint="eastAsia"/>
                      <w:color w:val="auto"/>
                    </w:rPr>
                    <w:t>资源利用上线</w:t>
                  </w:r>
                </w:p>
              </w:tc>
              <w:tc>
                <w:tcPr>
                  <w:tcW w:w="4201" w:type="dxa"/>
                  <w:tcBorders>
                    <w:tl2br w:val="nil"/>
                    <w:tr2bl w:val="nil"/>
                  </w:tcBorders>
                  <w:vAlign w:val="center"/>
                </w:tcPr>
                <w:p>
                  <w:pPr>
                    <w:pStyle w:val="84"/>
                    <w:jc w:val="left"/>
                    <w:rPr>
                      <w:color w:val="auto"/>
                    </w:rPr>
                  </w:pPr>
                  <w:r>
                    <w:rPr>
                      <w:rFonts w:hint="eastAsia"/>
                      <w:color w:val="auto"/>
                    </w:rPr>
                    <w:t>资源是环境的载体，资源利用上线是各地区能源、水、土地等资源消耗不得突破的“天花板”。</w:t>
                  </w:r>
                </w:p>
                <w:p>
                  <w:pPr>
                    <w:pStyle w:val="84"/>
                    <w:jc w:val="both"/>
                    <w:rPr>
                      <w:color w:val="auto"/>
                    </w:rPr>
                  </w:pPr>
                  <w:r>
                    <w:rPr>
                      <w:rFonts w:hint="eastAsia"/>
                      <w:color w:val="auto"/>
                    </w:rPr>
                    <w:t>本次项目为改扩建项目，所占用地为公司自有厂区内进行建设，不新增占地。项目施工期、运营期主要使用的资源包括电、水、天然气，不触及能源利用上线，符合《关于以改善环境质量为核心加强环境影响评价管理的通知》（环环评〔</w:t>
                  </w:r>
                  <w:r>
                    <w:rPr>
                      <w:color w:val="auto"/>
                    </w:rPr>
                    <w:t>2016</w:t>
                  </w:r>
                  <w:r>
                    <w:rPr>
                      <w:rFonts w:hint="eastAsia"/>
                      <w:color w:val="auto"/>
                    </w:rPr>
                    <w:t>〕</w:t>
                  </w:r>
                  <w:r>
                    <w:rPr>
                      <w:color w:val="auto"/>
                    </w:rPr>
                    <w:t>150</w:t>
                  </w:r>
                  <w:r>
                    <w:rPr>
                      <w:rFonts w:hint="eastAsia"/>
                      <w:color w:val="auto"/>
                    </w:rPr>
                    <w:t>号）中的资源利用上限要求。</w:t>
                  </w:r>
                </w:p>
              </w:tc>
              <w:tc>
                <w:tcPr>
                  <w:tcW w:w="770" w:type="dxa"/>
                  <w:tcBorders>
                    <w:tl2br w:val="nil"/>
                    <w:tr2bl w:val="nil"/>
                  </w:tcBorders>
                  <w:vAlign w:val="center"/>
                </w:tcPr>
                <w:p>
                  <w:pPr>
                    <w:pStyle w:val="84"/>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93" w:type="dxa"/>
                  <w:vMerge w:val="continue"/>
                  <w:tcBorders>
                    <w:tl2br w:val="nil"/>
                    <w:tr2bl w:val="nil"/>
                  </w:tcBorders>
                  <w:vAlign w:val="center"/>
                </w:tcPr>
                <w:p>
                  <w:pPr>
                    <w:pStyle w:val="84"/>
                    <w:rPr>
                      <w:color w:val="auto"/>
                    </w:rPr>
                  </w:pPr>
                </w:p>
              </w:tc>
              <w:tc>
                <w:tcPr>
                  <w:tcW w:w="910" w:type="dxa"/>
                  <w:tcBorders>
                    <w:tl2br w:val="nil"/>
                    <w:tr2bl w:val="nil"/>
                  </w:tcBorders>
                  <w:vAlign w:val="center"/>
                </w:tcPr>
                <w:p>
                  <w:pPr>
                    <w:pStyle w:val="84"/>
                    <w:rPr>
                      <w:color w:val="auto"/>
                    </w:rPr>
                  </w:pPr>
                  <w:r>
                    <w:rPr>
                      <w:rFonts w:hint="eastAsia"/>
                      <w:color w:val="auto"/>
                    </w:rPr>
                    <w:t>负面清单</w:t>
                  </w:r>
                </w:p>
              </w:tc>
              <w:tc>
                <w:tcPr>
                  <w:tcW w:w="4201" w:type="dxa"/>
                  <w:tcBorders>
                    <w:tl2br w:val="nil"/>
                    <w:tr2bl w:val="nil"/>
                  </w:tcBorders>
                  <w:vAlign w:val="center"/>
                </w:tcPr>
                <w:p>
                  <w:pPr>
                    <w:pStyle w:val="84"/>
                    <w:rPr>
                      <w:color w:val="auto"/>
                    </w:rPr>
                  </w:pPr>
                  <w:r>
                    <w:rPr>
                      <w:rFonts w:hint="eastAsia"/>
                      <w:color w:val="auto"/>
                    </w:rPr>
                    <w:t>经查阅《陕西省国家重点生态功能区产业准入负面清单（试行）》（陕发改规划[2018]213号），石泉县在清单内容管理范围内，本项目属于废硅泥再加工类生产项目，项目类别不属于石泉县“禁止类”、“限制类”建设项目。</w:t>
                  </w:r>
                </w:p>
              </w:tc>
              <w:tc>
                <w:tcPr>
                  <w:tcW w:w="770" w:type="dxa"/>
                  <w:tcBorders>
                    <w:tl2br w:val="nil"/>
                    <w:tr2bl w:val="nil"/>
                  </w:tcBorders>
                  <w:vAlign w:val="center"/>
                </w:tcPr>
                <w:p>
                  <w:pPr>
                    <w:pStyle w:val="84"/>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93" w:type="dxa"/>
                  <w:tcBorders>
                    <w:tl2br w:val="nil"/>
                    <w:tr2bl w:val="nil"/>
                  </w:tcBorders>
                  <w:vAlign w:val="center"/>
                </w:tcPr>
                <w:p>
                  <w:pPr>
                    <w:pStyle w:val="84"/>
                    <w:rPr>
                      <w:color w:val="auto"/>
                    </w:rPr>
                  </w:pPr>
                  <w:r>
                    <w:rPr>
                      <w:rFonts w:hint="eastAsia"/>
                      <w:color w:val="auto"/>
                    </w:rPr>
                    <w:t>《陕西省人民政府关于加快实施“三线一单”生态环境分区管控的意见》（陕政发〔2020〕11号）</w:t>
                  </w:r>
                </w:p>
              </w:tc>
              <w:tc>
                <w:tcPr>
                  <w:tcW w:w="5111" w:type="dxa"/>
                  <w:gridSpan w:val="2"/>
                  <w:tcBorders>
                    <w:tl2br w:val="nil"/>
                    <w:tr2bl w:val="nil"/>
                  </w:tcBorders>
                  <w:vAlign w:val="center"/>
                </w:tcPr>
                <w:p>
                  <w:pPr>
                    <w:pStyle w:val="84"/>
                    <w:rPr>
                      <w:color w:val="auto"/>
                    </w:rPr>
                  </w:pPr>
                  <w:r>
                    <w:rPr>
                      <w:rFonts w:hint="eastAsia"/>
                      <w:color w:val="auto"/>
                    </w:rPr>
                    <w:t>根据《陕西省人民政府关于加快实施“三线一单”生态环境分区管控的意见》（陕政发〔2020〕11号），结合《陕西省生态环境管理单元分布图》，本项目位于重点管控单元，重点管控单元应优化空间布局，加强污染物排放控制和环境风险防控，提升资源利用效率，解决突出生态环境问题。</w:t>
                  </w:r>
                </w:p>
                <w:p>
                  <w:pPr>
                    <w:pStyle w:val="84"/>
                    <w:rPr>
                      <w:color w:val="auto"/>
                    </w:rPr>
                  </w:pPr>
                </w:p>
              </w:tc>
              <w:tc>
                <w:tcPr>
                  <w:tcW w:w="770" w:type="dxa"/>
                  <w:tcBorders>
                    <w:tl2br w:val="nil"/>
                    <w:tr2bl w:val="nil"/>
                  </w:tcBorders>
                  <w:vAlign w:val="center"/>
                </w:tcPr>
                <w:p>
                  <w:pPr>
                    <w:pStyle w:val="84"/>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2" w:hRule="atLeast"/>
                <w:jc w:val="center"/>
              </w:trPr>
              <w:tc>
                <w:tcPr>
                  <w:tcW w:w="1293" w:type="dxa"/>
                  <w:tcBorders>
                    <w:tl2br w:val="nil"/>
                    <w:tr2bl w:val="nil"/>
                  </w:tcBorders>
                  <w:vAlign w:val="center"/>
                </w:tcPr>
                <w:p>
                  <w:pPr>
                    <w:pStyle w:val="84"/>
                    <w:rPr>
                      <w:color w:val="auto"/>
                    </w:rPr>
                  </w:pPr>
                  <w:r>
                    <w:rPr>
                      <w:rFonts w:hint="eastAsia"/>
                      <w:color w:val="auto"/>
                    </w:rPr>
                    <w:t>《关于印</w:t>
                  </w:r>
                </w:p>
                <w:p>
                  <w:pPr>
                    <w:pStyle w:val="84"/>
                    <w:rPr>
                      <w:color w:val="auto"/>
                    </w:rPr>
                  </w:pPr>
                  <w:r>
                    <w:rPr>
                      <w:rFonts w:hint="eastAsia"/>
                      <w:color w:val="auto"/>
                    </w:rPr>
                    <w:t>发安康市</w:t>
                  </w:r>
                </w:p>
                <w:p>
                  <w:pPr>
                    <w:pStyle w:val="84"/>
                    <w:rPr>
                      <w:color w:val="auto"/>
                    </w:rPr>
                  </w:pPr>
                  <w:r>
                    <w:rPr>
                      <w:rFonts w:hint="eastAsia"/>
                      <w:color w:val="auto"/>
                    </w:rPr>
                    <w:t>“三线一</w:t>
                  </w:r>
                </w:p>
                <w:p>
                  <w:pPr>
                    <w:pStyle w:val="84"/>
                    <w:rPr>
                      <w:color w:val="auto"/>
                    </w:rPr>
                  </w:pPr>
                  <w:r>
                    <w:rPr>
                      <w:rFonts w:hint="eastAsia"/>
                      <w:color w:val="auto"/>
                    </w:rPr>
                    <w:t>单”生态</w:t>
                  </w:r>
                </w:p>
                <w:p>
                  <w:pPr>
                    <w:pStyle w:val="84"/>
                    <w:rPr>
                      <w:color w:val="auto"/>
                    </w:rPr>
                  </w:pPr>
                  <w:r>
                    <w:rPr>
                      <w:rFonts w:hint="eastAsia"/>
                      <w:color w:val="auto"/>
                    </w:rPr>
                    <w:t>环境分区</w:t>
                  </w:r>
                </w:p>
                <w:p>
                  <w:pPr>
                    <w:pStyle w:val="84"/>
                    <w:rPr>
                      <w:color w:val="auto"/>
                    </w:rPr>
                  </w:pPr>
                  <w:r>
                    <w:rPr>
                      <w:rFonts w:hint="eastAsia"/>
                      <w:color w:val="auto"/>
                    </w:rPr>
                    <w:t>管控方案</w:t>
                  </w:r>
                </w:p>
                <w:p>
                  <w:pPr>
                    <w:pStyle w:val="84"/>
                    <w:rPr>
                      <w:color w:val="auto"/>
                    </w:rPr>
                  </w:pPr>
                  <w:r>
                    <w:rPr>
                      <w:rFonts w:hint="eastAsia"/>
                      <w:color w:val="auto"/>
                    </w:rPr>
                    <w:t>的通知》</w:t>
                  </w:r>
                </w:p>
              </w:tc>
              <w:tc>
                <w:tcPr>
                  <w:tcW w:w="5111" w:type="dxa"/>
                  <w:gridSpan w:val="2"/>
                  <w:tcBorders>
                    <w:tl2br w:val="nil"/>
                    <w:tr2bl w:val="nil"/>
                  </w:tcBorders>
                  <w:vAlign w:val="center"/>
                </w:tcPr>
                <w:p>
                  <w:pPr>
                    <w:pStyle w:val="84"/>
                    <w:rPr>
                      <w:color w:val="auto"/>
                    </w:rPr>
                  </w:pPr>
                  <w:r>
                    <w:rPr>
                      <w:color w:val="auto"/>
                    </w:rPr>
                    <w:t>根据《关于印发</w:t>
                  </w:r>
                  <w:r>
                    <w:rPr>
                      <w:rFonts w:hint="eastAsia"/>
                      <w:color w:val="auto"/>
                    </w:rPr>
                    <w:t>安康</w:t>
                  </w:r>
                  <w:r>
                    <w:rPr>
                      <w:color w:val="auto"/>
                    </w:rPr>
                    <w:t>市“三线一单”生态环境分区管控方案的通知》（</w:t>
                  </w:r>
                  <w:r>
                    <w:rPr>
                      <w:rFonts w:hint="eastAsia"/>
                      <w:color w:val="auto"/>
                    </w:rPr>
                    <w:t>安</w:t>
                  </w:r>
                  <w:r>
                    <w:rPr>
                      <w:color w:val="auto"/>
                    </w:rPr>
                    <w:t>政发[2021]</w:t>
                  </w:r>
                  <w:r>
                    <w:rPr>
                      <w:rFonts w:hint="eastAsia"/>
                      <w:color w:val="auto"/>
                    </w:rPr>
                    <w:t>18</w:t>
                  </w:r>
                  <w:r>
                    <w:rPr>
                      <w:color w:val="auto"/>
                    </w:rPr>
                    <w:t>号），结合《</w:t>
                  </w:r>
                  <w:r>
                    <w:rPr>
                      <w:rFonts w:hint="eastAsia"/>
                      <w:color w:val="auto"/>
                    </w:rPr>
                    <w:t>安康</w:t>
                  </w:r>
                  <w:r>
                    <w:rPr>
                      <w:color w:val="auto"/>
                    </w:rPr>
                    <w:t>市生态环境管控单元图》和《</w:t>
                  </w:r>
                  <w:r>
                    <w:rPr>
                      <w:rFonts w:hint="eastAsia"/>
                      <w:color w:val="auto"/>
                    </w:rPr>
                    <w:t>石泉县</w:t>
                  </w:r>
                  <w:r>
                    <w:rPr>
                      <w:color w:val="auto"/>
                    </w:rPr>
                    <w:t>环境管控单元图》，本项目位于重点管控单元。重点管控单元应优化空间</w:t>
                  </w:r>
                </w:p>
                <w:p>
                  <w:pPr>
                    <w:pStyle w:val="84"/>
                    <w:rPr>
                      <w:color w:val="auto"/>
                    </w:rPr>
                  </w:pPr>
                  <w:r>
                    <w:rPr>
                      <w:color w:val="auto"/>
                    </w:rPr>
                    <w:t>布局，加强污染物排放控制和环境风险防控，提升资源利用效率，解决突出生态环境问题。</w:t>
                  </w:r>
                </w:p>
                <w:p>
                  <w:pPr>
                    <w:pStyle w:val="84"/>
                    <w:rPr>
                      <w:color w:val="auto"/>
                    </w:rPr>
                  </w:pPr>
                </w:p>
              </w:tc>
              <w:tc>
                <w:tcPr>
                  <w:tcW w:w="770" w:type="dxa"/>
                  <w:tcBorders>
                    <w:tl2br w:val="nil"/>
                    <w:tr2bl w:val="nil"/>
                  </w:tcBorders>
                  <w:vAlign w:val="center"/>
                </w:tcPr>
                <w:p>
                  <w:pPr>
                    <w:pStyle w:val="84"/>
                    <w:rPr>
                      <w:color w:val="auto"/>
                    </w:rPr>
                  </w:pPr>
                  <w:r>
                    <w:rPr>
                      <w:rFonts w:hint="eastAsia"/>
                      <w:color w:val="auto"/>
                    </w:rPr>
                    <w:t>符合</w:t>
                  </w:r>
                </w:p>
              </w:tc>
            </w:tr>
          </w:tbl>
          <w:p>
            <w:pPr>
              <w:pStyle w:val="92"/>
            </w:pPr>
            <w:r>
              <w:rPr>
                <w:rFonts w:hint="eastAsia"/>
              </w:rPr>
              <w:t>表1-4与《安康市人民政府关于印发“三线一单”生态环境分区管控方案的通知》（</w:t>
            </w:r>
            <w:r>
              <w:rPr>
                <w:rFonts w:hint="eastAsia"/>
                <w:sz w:val="24"/>
                <w:szCs w:val="24"/>
              </w:rPr>
              <w:t>安</w:t>
            </w:r>
            <w:r>
              <w:rPr>
                <w:sz w:val="24"/>
                <w:szCs w:val="24"/>
              </w:rPr>
              <w:t>政发〔2021〕</w:t>
            </w:r>
            <w:r>
              <w:rPr>
                <w:rFonts w:hint="eastAsia"/>
                <w:sz w:val="24"/>
                <w:szCs w:val="24"/>
              </w:rPr>
              <w:t>18</w:t>
            </w:r>
            <w:r>
              <w:rPr>
                <w:sz w:val="24"/>
                <w:szCs w:val="24"/>
              </w:rPr>
              <w:t>号</w:t>
            </w:r>
            <w:r>
              <w:rPr>
                <w:rFonts w:hint="eastAsia"/>
              </w:rPr>
              <w:t>）的符合性分析</w:t>
            </w:r>
          </w:p>
          <w:tbl>
            <w:tblPr>
              <w:tblStyle w:val="37"/>
              <w:tblW w:w="71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
              <w:gridCol w:w="573"/>
              <w:gridCol w:w="893"/>
              <w:gridCol w:w="777"/>
              <w:gridCol w:w="668"/>
              <w:gridCol w:w="645"/>
              <w:gridCol w:w="570"/>
              <w:gridCol w:w="1101"/>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369" w:type="dxa"/>
                  <w:tcBorders>
                    <w:tl2br w:val="nil"/>
                    <w:tr2bl w:val="nil"/>
                  </w:tcBorders>
                  <w:vAlign w:val="center"/>
                </w:tcPr>
                <w:p>
                  <w:pPr>
                    <w:pStyle w:val="84"/>
                    <w:rPr>
                      <w:color w:val="auto"/>
                    </w:rPr>
                  </w:pPr>
                  <w:r>
                    <w:rPr>
                      <w:rFonts w:hint="eastAsia"/>
                      <w:color w:val="auto"/>
                    </w:rPr>
                    <w:t>一图</w:t>
                  </w:r>
                </w:p>
              </w:tc>
              <w:tc>
                <w:tcPr>
                  <w:tcW w:w="6809" w:type="dxa"/>
                  <w:gridSpan w:val="8"/>
                  <w:tcBorders>
                    <w:tl2br w:val="nil"/>
                    <w:tr2bl w:val="nil"/>
                  </w:tcBorders>
                  <w:vAlign w:val="center"/>
                </w:tcPr>
                <w:p>
                  <w:pPr>
                    <w:pStyle w:val="28"/>
                    <w:spacing w:beforeLines="50" w:beforeAutospacing="0"/>
                    <w:ind w:firstLine="480"/>
                  </w:pPr>
                  <w:r>
                    <w:drawing>
                      <wp:inline distT="0" distB="0" distL="114300" distR="114300">
                        <wp:extent cx="3663950" cy="2593975"/>
                        <wp:effectExtent l="0" t="0" r="3175" b="6350"/>
                        <wp:docPr id="1"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descr="IMG_256"/>
                                <pic:cNvPicPr>
                                  <a:picLocks noChangeAspect="1"/>
                                </pic:cNvPicPr>
                              </pic:nvPicPr>
                              <pic:blipFill>
                                <a:blip r:embed="rId11" cstate="print"/>
                                <a:stretch>
                                  <a:fillRect/>
                                </a:stretch>
                              </pic:blipFill>
                              <pic:spPr>
                                <a:xfrm>
                                  <a:off x="0" y="0"/>
                                  <a:ext cx="3663950" cy="2593975"/>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369" w:type="dxa"/>
                  <w:vMerge w:val="restart"/>
                  <w:tcBorders>
                    <w:tl2br w:val="nil"/>
                    <w:tr2bl w:val="nil"/>
                  </w:tcBorders>
                  <w:vAlign w:val="center"/>
                </w:tcPr>
                <w:p>
                  <w:pPr>
                    <w:pStyle w:val="84"/>
                    <w:rPr>
                      <w:color w:val="auto"/>
                    </w:rPr>
                  </w:pPr>
                  <w:r>
                    <w:rPr>
                      <w:rFonts w:hint="eastAsia"/>
                      <w:color w:val="auto"/>
                    </w:rPr>
                    <w:t>一表</w:t>
                  </w:r>
                </w:p>
              </w:tc>
              <w:tc>
                <w:tcPr>
                  <w:tcW w:w="573" w:type="dxa"/>
                  <w:tcBorders>
                    <w:tl2br w:val="nil"/>
                    <w:tr2bl w:val="nil"/>
                  </w:tcBorders>
                  <w:vAlign w:val="center"/>
                </w:tcPr>
                <w:p>
                  <w:pPr>
                    <w:pStyle w:val="84"/>
                    <w:rPr>
                      <w:color w:val="auto"/>
                    </w:rPr>
                  </w:pPr>
                  <w:r>
                    <w:rPr>
                      <w:color w:val="auto"/>
                    </w:rPr>
                    <w:t>市（区）</w:t>
                  </w:r>
                </w:p>
              </w:tc>
              <w:tc>
                <w:tcPr>
                  <w:tcW w:w="893" w:type="dxa"/>
                  <w:tcBorders>
                    <w:tl2br w:val="nil"/>
                    <w:tr2bl w:val="nil"/>
                  </w:tcBorders>
                  <w:vAlign w:val="center"/>
                </w:tcPr>
                <w:p>
                  <w:pPr>
                    <w:pStyle w:val="84"/>
                    <w:rPr>
                      <w:color w:val="auto"/>
                    </w:rPr>
                  </w:pPr>
                  <w:r>
                    <w:rPr>
                      <w:color w:val="auto"/>
                    </w:rPr>
                    <w:t>环境管控单元</w:t>
                  </w:r>
                </w:p>
              </w:tc>
              <w:tc>
                <w:tcPr>
                  <w:tcW w:w="777" w:type="dxa"/>
                  <w:tcBorders>
                    <w:tl2br w:val="nil"/>
                    <w:tr2bl w:val="nil"/>
                  </w:tcBorders>
                  <w:vAlign w:val="center"/>
                </w:tcPr>
                <w:p>
                  <w:pPr>
                    <w:pStyle w:val="84"/>
                    <w:rPr>
                      <w:color w:val="auto"/>
                    </w:rPr>
                  </w:pPr>
                  <w:r>
                    <w:rPr>
                      <w:rFonts w:hint="eastAsia"/>
                      <w:color w:val="auto"/>
                    </w:rPr>
                    <w:t>单元要素属性</w:t>
                  </w:r>
                </w:p>
              </w:tc>
              <w:tc>
                <w:tcPr>
                  <w:tcW w:w="668" w:type="dxa"/>
                  <w:tcBorders>
                    <w:tl2br w:val="nil"/>
                    <w:tr2bl w:val="nil"/>
                  </w:tcBorders>
                  <w:vAlign w:val="center"/>
                </w:tcPr>
                <w:p>
                  <w:pPr>
                    <w:pStyle w:val="84"/>
                    <w:rPr>
                      <w:color w:val="auto"/>
                    </w:rPr>
                  </w:pPr>
                  <w:r>
                    <w:rPr>
                      <w:color w:val="auto"/>
                    </w:rPr>
                    <w:t>管控单元分类</w:t>
                  </w:r>
                </w:p>
              </w:tc>
              <w:tc>
                <w:tcPr>
                  <w:tcW w:w="645" w:type="dxa"/>
                  <w:tcBorders>
                    <w:tl2br w:val="nil"/>
                    <w:tr2bl w:val="nil"/>
                  </w:tcBorders>
                  <w:vAlign w:val="center"/>
                </w:tcPr>
                <w:p>
                  <w:pPr>
                    <w:pStyle w:val="84"/>
                    <w:rPr>
                      <w:color w:val="auto"/>
                    </w:rPr>
                  </w:pPr>
                  <w:r>
                    <w:rPr>
                      <w:rFonts w:hint="eastAsia"/>
                      <w:color w:val="auto"/>
                    </w:rPr>
                    <w:t>面积（km</w:t>
                  </w:r>
                  <w:r>
                    <w:rPr>
                      <w:rFonts w:hint="eastAsia"/>
                      <w:color w:val="auto"/>
                      <w:vertAlign w:val="superscript"/>
                    </w:rPr>
                    <w:t>2</w:t>
                  </w:r>
                  <w:r>
                    <w:rPr>
                      <w:rFonts w:hint="eastAsia"/>
                      <w:color w:val="auto"/>
                    </w:rPr>
                    <w:t>）</w:t>
                  </w:r>
                </w:p>
              </w:tc>
              <w:tc>
                <w:tcPr>
                  <w:tcW w:w="1671" w:type="dxa"/>
                  <w:gridSpan w:val="2"/>
                  <w:tcBorders>
                    <w:tl2br w:val="nil"/>
                    <w:tr2bl w:val="nil"/>
                  </w:tcBorders>
                  <w:vAlign w:val="center"/>
                </w:tcPr>
                <w:p>
                  <w:pPr>
                    <w:pStyle w:val="84"/>
                    <w:rPr>
                      <w:color w:val="auto"/>
                    </w:rPr>
                  </w:pPr>
                  <w:r>
                    <w:rPr>
                      <w:color w:val="auto"/>
                    </w:rPr>
                    <w:t>管控要求</w:t>
                  </w:r>
                </w:p>
              </w:tc>
              <w:tc>
                <w:tcPr>
                  <w:tcW w:w="1582" w:type="dxa"/>
                  <w:tcBorders>
                    <w:tl2br w:val="nil"/>
                    <w:tr2bl w:val="nil"/>
                  </w:tcBorders>
                  <w:vAlign w:val="center"/>
                </w:tcPr>
                <w:p>
                  <w:pPr>
                    <w:pStyle w:val="84"/>
                    <w:rPr>
                      <w:color w:val="auto"/>
                    </w:rPr>
                  </w:pPr>
                  <w:r>
                    <w:rPr>
                      <w:color w:val="auto"/>
                    </w:rPr>
                    <w:t>本项目符合性分析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9" w:type="dxa"/>
                  <w:vMerge w:val="continue"/>
                  <w:tcBorders>
                    <w:tl2br w:val="nil"/>
                    <w:tr2bl w:val="nil"/>
                  </w:tcBorders>
                  <w:vAlign w:val="center"/>
                </w:tcPr>
                <w:p>
                  <w:pPr>
                    <w:pStyle w:val="84"/>
                    <w:rPr>
                      <w:color w:val="auto"/>
                    </w:rPr>
                  </w:pPr>
                </w:p>
              </w:tc>
              <w:tc>
                <w:tcPr>
                  <w:tcW w:w="573" w:type="dxa"/>
                  <w:vMerge w:val="restart"/>
                  <w:tcBorders>
                    <w:tl2br w:val="nil"/>
                    <w:tr2bl w:val="nil"/>
                  </w:tcBorders>
                  <w:vAlign w:val="center"/>
                </w:tcPr>
                <w:p>
                  <w:pPr>
                    <w:pStyle w:val="84"/>
                    <w:rPr>
                      <w:color w:val="auto"/>
                    </w:rPr>
                  </w:pPr>
                  <w:r>
                    <w:rPr>
                      <w:rFonts w:hint="eastAsia"/>
                      <w:color w:val="auto"/>
                    </w:rPr>
                    <w:t>安康市-石泉县</w:t>
                  </w:r>
                </w:p>
                <w:p>
                  <w:pPr>
                    <w:pStyle w:val="84"/>
                    <w:rPr>
                      <w:color w:val="auto"/>
                    </w:rPr>
                  </w:pPr>
                </w:p>
              </w:tc>
              <w:tc>
                <w:tcPr>
                  <w:tcW w:w="893" w:type="dxa"/>
                  <w:vMerge w:val="restart"/>
                  <w:tcBorders>
                    <w:tl2br w:val="nil"/>
                    <w:tr2bl w:val="nil"/>
                  </w:tcBorders>
                  <w:vAlign w:val="center"/>
                </w:tcPr>
                <w:p>
                  <w:pPr>
                    <w:pStyle w:val="84"/>
                    <w:rPr>
                      <w:color w:val="auto"/>
                    </w:rPr>
                  </w:pPr>
                  <w:r>
                    <w:rPr>
                      <w:color w:val="auto"/>
                    </w:rPr>
                    <w:t>石泉县重点管控单元1</w:t>
                  </w:r>
                </w:p>
                <w:p>
                  <w:pPr>
                    <w:pStyle w:val="84"/>
                    <w:rPr>
                      <w:color w:val="auto"/>
                    </w:rPr>
                  </w:pPr>
                </w:p>
              </w:tc>
              <w:tc>
                <w:tcPr>
                  <w:tcW w:w="777" w:type="dxa"/>
                  <w:vMerge w:val="restart"/>
                  <w:tcBorders>
                    <w:tl2br w:val="nil"/>
                    <w:tr2bl w:val="nil"/>
                  </w:tcBorders>
                  <w:vAlign w:val="center"/>
                </w:tcPr>
                <w:p>
                  <w:pPr>
                    <w:pStyle w:val="84"/>
                    <w:rPr>
                      <w:color w:val="auto"/>
                    </w:rPr>
                  </w:pPr>
                  <w:r>
                    <w:rPr>
                      <w:rFonts w:hint="eastAsia"/>
                      <w:color w:val="auto"/>
                    </w:rPr>
                    <w:t>大气环境受体敏感重点管控区</w:t>
                  </w:r>
                </w:p>
                <w:p>
                  <w:pPr>
                    <w:pStyle w:val="84"/>
                    <w:rPr>
                      <w:color w:val="auto"/>
                    </w:rPr>
                  </w:pPr>
                </w:p>
              </w:tc>
              <w:tc>
                <w:tcPr>
                  <w:tcW w:w="668" w:type="dxa"/>
                  <w:vMerge w:val="restart"/>
                  <w:tcBorders>
                    <w:tl2br w:val="nil"/>
                    <w:tr2bl w:val="nil"/>
                  </w:tcBorders>
                  <w:vAlign w:val="center"/>
                </w:tcPr>
                <w:p>
                  <w:pPr>
                    <w:pStyle w:val="84"/>
                    <w:rPr>
                      <w:color w:val="auto"/>
                    </w:rPr>
                  </w:pPr>
                  <w:r>
                    <w:rPr>
                      <w:color w:val="auto"/>
                    </w:rPr>
                    <w:t>重点管控单元</w:t>
                  </w:r>
                </w:p>
              </w:tc>
              <w:tc>
                <w:tcPr>
                  <w:tcW w:w="645" w:type="dxa"/>
                  <w:vMerge w:val="restart"/>
                  <w:tcBorders>
                    <w:tl2br w:val="nil"/>
                    <w:tr2bl w:val="nil"/>
                  </w:tcBorders>
                  <w:vAlign w:val="center"/>
                </w:tcPr>
                <w:p>
                  <w:pPr>
                    <w:pStyle w:val="84"/>
                    <w:rPr>
                      <w:color w:val="auto"/>
                    </w:rPr>
                  </w:pPr>
                  <w:r>
                    <w:rPr>
                      <w:rFonts w:hint="eastAsia"/>
                      <w:color w:val="auto"/>
                    </w:rPr>
                    <w:t>0.00088</w:t>
                  </w:r>
                </w:p>
              </w:tc>
              <w:tc>
                <w:tcPr>
                  <w:tcW w:w="570" w:type="dxa"/>
                  <w:tcBorders>
                    <w:tl2br w:val="nil"/>
                    <w:tr2bl w:val="nil"/>
                  </w:tcBorders>
                  <w:vAlign w:val="center"/>
                </w:tcPr>
                <w:p>
                  <w:pPr>
                    <w:pStyle w:val="84"/>
                    <w:rPr>
                      <w:color w:val="auto"/>
                    </w:rPr>
                  </w:pPr>
                  <w:r>
                    <w:rPr>
                      <w:rFonts w:hint="eastAsia"/>
                      <w:color w:val="auto"/>
                    </w:rPr>
                    <w:t>空间布局约束</w:t>
                  </w:r>
                </w:p>
              </w:tc>
              <w:tc>
                <w:tcPr>
                  <w:tcW w:w="1101" w:type="dxa"/>
                  <w:tcBorders>
                    <w:tl2br w:val="nil"/>
                    <w:tr2bl w:val="nil"/>
                  </w:tcBorders>
                  <w:vAlign w:val="center"/>
                </w:tcPr>
                <w:p>
                  <w:pPr>
                    <w:pStyle w:val="84"/>
                    <w:rPr>
                      <w:color w:val="auto"/>
                    </w:rPr>
                  </w:pPr>
                  <w:r>
                    <w:rPr>
                      <w:color w:val="auto"/>
                    </w:rPr>
                    <w:t>大气环境受体敏感重点管控区：</w:t>
                  </w:r>
                </w:p>
                <w:p>
                  <w:pPr>
                    <w:pStyle w:val="84"/>
                    <w:numPr>
                      <w:ilvl w:val="0"/>
                      <w:numId w:val="1"/>
                    </w:numPr>
                    <w:rPr>
                      <w:color w:val="auto"/>
                    </w:rPr>
                  </w:pPr>
                  <w:r>
                    <w:rPr>
                      <w:color w:val="auto"/>
                    </w:rPr>
                    <w:t>严格控制涉气“两高”项目（民生等项目除外）。</w:t>
                  </w:r>
                </w:p>
                <w:p>
                  <w:pPr>
                    <w:pStyle w:val="84"/>
                    <w:numPr>
                      <w:ilvl w:val="0"/>
                      <w:numId w:val="1"/>
                    </w:numPr>
                    <w:rPr>
                      <w:color w:val="auto"/>
                    </w:rPr>
                  </w:pPr>
                  <w:r>
                    <w:rPr>
                      <w:color w:val="auto"/>
                    </w:rPr>
                    <w:t>加快重污染企业搬迁改造或关闭退出</w:t>
                  </w:r>
                </w:p>
              </w:tc>
              <w:tc>
                <w:tcPr>
                  <w:tcW w:w="1582" w:type="dxa"/>
                  <w:tcBorders>
                    <w:tl2br w:val="nil"/>
                    <w:tr2bl w:val="nil"/>
                  </w:tcBorders>
                  <w:vAlign w:val="center"/>
                </w:tcPr>
                <w:p>
                  <w:pPr>
                    <w:pStyle w:val="84"/>
                    <w:rPr>
                      <w:color w:val="auto"/>
                    </w:rPr>
                  </w:pPr>
                  <w:r>
                    <w:rPr>
                      <w:rFonts w:hint="eastAsia"/>
                      <w:color w:val="auto"/>
                    </w:rPr>
                    <w:t>本项目属于废硅泥、硅粉再加工项目，不属于“两高”项目；本项目产生的污染物主要为工艺粉尘、噪声及固体废物，不属于重污染企业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7" w:hRule="atLeast"/>
              </w:trPr>
              <w:tc>
                <w:tcPr>
                  <w:tcW w:w="369" w:type="dxa"/>
                  <w:vMerge w:val="continue"/>
                  <w:tcBorders>
                    <w:tl2br w:val="nil"/>
                    <w:tr2bl w:val="nil"/>
                  </w:tcBorders>
                  <w:vAlign w:val="center"/>
                </w:tcPr>
                <w:p>
                  <w:pPr>
                    <w:pStyle w:val="84"/>
                    <w:rPr>
                      <w:color w:val="auto"/>
                    </w:rPr>
                  </w:pPr>
                </w:p>
              </w:tc>
              <w:tc>
                <w:tcPr>
                  <w:tcW w:w="573" w:type="dxa"/>
                  <w:vMerge w:val="continue"/>
                  <w:tcBorders>
                    <w:tl2br w:val="nil"/>
                    <w:tr2bl w:val="nil"/>
                  </w:tcBorders>
                  <w:vAlign w:val="center"/>
                </w:tcPr>
                <w:p>
                  <w:pPr>
                    <w:pStyle w:val="84"/>
                    <w:rPr>
                      <w:color w:val="auto"/>
                    </w:rPr>
                  </w:pPr>
                </w:p>
              </w:tc>
              <w:tc>
                <w:tcPr>
                  <w:tcW w:w="893" w:type="dxa"/>
                  <w:vMerge w:val="continue"/>
                  <w:tcBorders>
                    <w:tl2br w:val="nil"/>
                    <w:tr2bl w:val="nil"/>
                  </w:tcBorders>
                  <w:vAlign w:val="center"/>
                </w:tcPr>
                <w:p>
                  <w:pPr>
                    <w:pStyle w:val="84"/>
                    <w:rPr>
                      <w:color w:val="auto"/>
                    </w:rPr>
                  </w:pPr>
                </w:p>
              </w:tc>
              <w:tc>
                <w:tcPr>
                  <w:tcW w:w="777" w:type="dxa"/>
                  <w:vMerge w:val="continue"/>
                  <w:tcBorders>
                    <w:tl2br w:val="nil"/>
                    <w:tr2bl w:val="nil"/>
                  </w:tcBorders>
                  <w:vAlign w:val="center"/>
                </w:tcPr>
                <w:p>
                  <w:pPr>
                    <w:pStyle w:val="84"/>
                    <w:rPr>
                      <w:color w:val="auto"/>
                    </w:rPr>
                  </w:pPr>
                </w:p>
              </w:tc>
              <w:tc>
                <w:tcPr>
                  <w:tcW w:w="668" w:type="dxa"/>
                  <w:vMerge w:val="continue"/>
                  <w:tcBorders>
                    <w:tl2br w:val="nil"/>
                    <w:tr2bl w:val="nil"/>
                  </w:tcBorders>
                  <w:vAlign w:val="center"/>
                </w:tcPr>
                <w:p>
                  <w:pPr>
                    <w:pStyle w:val="84"/>
                    <w:rPr>
                      <w:color w:val="auto"/>
                    </w:rPr>
                  </w:pPr>
                </w:p>
              </w:tc>
              <w:tc>
                <w:tcPr>
                  <w:tcW w:w="645" w:type="dxa"/>
                  <w:vMerge w:val="continue"/>
                  <w:tcBorders>
                    <w:tl2br w:val="nil"/>
                    <w:tr2bl w:val="nil"/>
                  </w:tcBorders>
                  <w:vAlign w:val="center"/>
                </w:tcPr>
                <w:p>
                  <w:pPr>
                    <w:pStyle w:val="84"/>
                    <w:rPr>
                      <w:color w:val="auto"/>
                    </w:rPr>
                  </w:pPr>
                </w:p>
              </w:tc>
              <w:tc>
                <w:tcPr>
                  <w:tcW w:w="570" w:type="dxa"/>
                  <w:tcBorders>
                    <w:tl2br w:val="nil"/>
                    <w:tr2bl w:val="nil"/>
                  </w:tcBorders>
                  <w:vAlign w:val="center"/>
                </w:tcPr>
                <w:p>
                  <w:pPr>
                    <w:pStyle w:val="84"/>
                    <w:rPr>
                      <w:color w:val="auto"/>
                    </w:rPr>
                  </w:pPr>
                  <w:r>
                    <w:rPr>
                      <w:rFonts w:hint="eastAsia"/>
                      <w:color w:val="auto"/>
                    </w:rPr>
                    <w:t>空间布局约束</w:t>
                  </w:r>
                </w:p>
              </w:tc>
              <w:tc>
                <w:tcPr>
                  <w:tcW w:w="1101" w:type="dxa"/>
                  <w:tcBorders>
                    <w:tl2br w:val="nil"/>
                    <w:tr2bl w:val="nil"/>
                  </w:tcBorders>
                  <w:vAlign w:val="center"/>
                </w:tcPr>
                <w:p>
                  <w:pPr>
                    <w:pStyle w:val="84"/>
                    <w:jc w:val="both"/>
                    <w:rPr>
                      <w:color w:val="auto"/>
                    </w:rPr>
                  </w:pPr>
                  <w:r>
                    <w:rPr>
                      <w:color w:val="auto"/>
                    </w:rPr>
                    <w:t>大气环境受体敏感重点管控区：</w:t>
                  </w:r>
                </w:p>
                <w:p>
                  <w:pPr>
                    <w:pStyle w:val="84"/>
                    <w:numPr>
                      <w:ilvl w:val="0"/>
                      <w:numId w:val="2"/>
                    </w:numPr>
                    <w:jc w:val="both"/>
                    <w:rPr>
                      <w:color w:val="auto"/>
                    </w:rPr>
                  </w:pPr>
                  <w:r>
                    <w:rPr>
                      <w:color w:val="auto"/>
                    </w:rPr>
                    <w:t>区域内保留企业采用先进生产工艺、严格落实污染治理设施。</w:t>
                  </w:r>
                </w:p>
                <w:p>
                  <w:pPr>
                    <w:pStyle w:val="84"/>
                    <w:jc w:val="both"/>
                    <w:rPr>
                      <w:color w:val="auto"/>
                    </w:rPr>
                  </w:pPr>
                  <w:r>
                    <w:rPr>
                      <w:color w:val="auto"/>
                    </w:rPr>
                    <w:t>淘汰老旧车辆，优先选择新能源汽车、替代能源汽车等清洁能源汽车。</w:t>
                  </w:r>
                </w:p>
              </w:tc>
              <w:tc>
                <w:tcPr>
                  <w:tcW w:w="1582" w:type="dxa"/>
                  <w:tcBorders>
                    <w:tl2br w:val="nil"/>
                    <w:tr2bl w:val="nil"/>
                  </w:tcBorders>
                  <w:vAlign w:val="center"/>
                </w:tcPr>
                <w:p>
                  <w:pPr>
                    <w:pStyle w:val="84"/>
                    <w:rPr>
                      <w:color w:val="auto"/>
                    </w:rPr>
                  </w:pPr>
                  <w:r>
                    <w:rPr>
                      <w:rFonts w:hint="eastAsia"/>
                      <w:color w:val="auto"/>
                    </w:rPr>
                    <w:t>本项目为废硅泥、硅粉再加工项目，采用的设备及工艺较为先进；本项目烘干设备采用的能源为天然气，所用能源为天然气，属于清洁能源。项目运营过程中，仅原料及产品运输涉及汽车使用，建议企业优先选择新能源汽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9" w:type="dxa"/>
                  <w:vMerge w:val="continue"/>
                  <w:tcBorders>
                    <w:tl2br w:val="nil"/>
                    <w:tr2bl w:val="nil"/>
                  </w:tcBorders>
                  <w:vAlign w:val="center"/>
                </w:tcPr>
                <w:p>
                  <w:pPr>
                    <w:pStyle w:val="84"/>
                    <w:rPr>
                      <w:color w:val="auto"/>
                    </w:rPr>
                  </w:pPr>
                </w:p>
              </w:tc>
              <w:tc>
                <w:tcPr>
                  <w:tcW w:w="573" w:type="dxa"/>
                  <w:vMerge w:val="continue"/>
                  <w:tcBorders>
                    <w:tl2br w:val="nil"/>
                    <w:tr2bl w:val="nil"/>
                  </w:tcBorders>
                  <w:vAlign w:val="center"/>
                </w:tcPr>
                <w:p>
                  <w:pPr>
                    <w:pStyle w:val="84"/>
                    <w:rPr>
                      <w:color w:val="auto"/>
                    </w:rPr>
                  </w:pPr>
                </w:p>
              </w:tc>
              <w:tc>
                <w:tcPr>
                  <w:tcW w:w="893" w:type="dxa"/>
                  <w:vMerge w:val="continue"/>
                  <w:tcBorders>
                    <w:tl2br w:val="nil"/>
                    <w:tr2bl w:val="nil"/>
                  </w:tcBorders>
                  <w:vAlign w:val="center"/>
                </w:tcPr>
                <w:p>
                  <w:pPr>
                    <w:pStyle w:val="84"/>
                    <w:rPr>
                      <w:color w:val="auto"/>
                    </w:rPr>
                  </w:pPr>
                </w:p>
              </w:tc>
              <w:tc>
                <w:tcPr>
                  <w:tcW w:w="777" w:type="dxa"/>
                  <w:tcBorders>
                    <w:tl2br w:val="nil"/>
                    <w:tr2bl w:val="nil"/>
                  </w:tcBorders>
                  <w:vAlign w:val="center"/>
                </w:tcPr>
                <w:p>
                  <w:pPr>
                    <w:pStyle w:val="84"/>
                    <w:rPr>
                      <w:color w:val="auto"/>
                    </w:rPr>
                  </w:pPr>
                  <w:r>
                    <w:rPr>
                      <w:color w:val="auto"/>
                    </w:rPr>
                    <w:t>土地资源重点</w:t>
                  </w:r>
                </w:p>
                <w:p>
                  <w:pPr>
                    <w:pStyle w:val="84"/>
                    <w:rPr>
                      <w:color w:val="auto"/>
                    </w:rPr>
                  </w:pPr>
                  <w:r>
                    <w:rPr>
                      <w:color w:val="auto"/>
                    </w:rPr>
                    <w:t>管控区</w:t>
                  </w:r>
                </w:p>
              </w:tc>
              <w:tc>
                <w:tcPr>
                  <w:tcW w:w="668" w:type="dxa"/>
                  <w:vMerge w:val="continue"/>
                  <w:tcBorders>
                    <w:tl2br w:val="nil"/>
                    <w:tr2bl w:val="nil"/>
                  </w:tcBorders>
                  <w:vAlign w:val="center"/>
                </w:tcPr>
                <w:p>
                  <w:pPr>
                    <w:pStyle w:val="84"/>
                    <w:rPr>
                      <w:color w:val="auto"/>
                    </w:rPr>
                  </w:pPr>
                </w:p>
              </w:tc>
              <w:tc>
                <w:tcPr>
                  <w:tcW w:w="645" w:type="dxa"/>
                  <w:vMerge w:val="continue"/>
                  <w:tcBorders>
                    <w:tl2br w:val="nil"/>
                    <w:tr2bl w:val="nil"/>
                  </w:tcBorders>
                  <w:vAlign w:val="center"/>
                </w:tcPr>
                <w:p>
                  <w:pPr>
                    <w:pStyle w:val="84"/>
                    <w:rPr>
                      <w:color w:val="auto"/>
                    </w:rPr>
                  </w:pPr>
                </w:p>
              </w:tc>
              <w:tc>
                <w:tcPr>
                  <w:tcW w:w="570" w:type="dxa"/>
                  <w:tcBorders>
                    <w:tl2br w:val="nil"/>
                    <w:tr2bl w:val="nil"/>
                  </w:tcBorders>
                  <w:vAlign w:val="center"/>
                </w:tcPr>
                <w:p>
                  <w:pPr>
                    <w:pStyle w:val="84"/>
                    <w:rPr>
                      <w:color w:val="auto"/>
                    </w:rPr>
                  </w:pPr>
                  <w:r>
                    <w:rPr>
                      <w:rFonts w:hint="eastAsia"/>
                      <w:color w:val="auto"/>
                    </w:rPr>
                    <w:t>资源开发</w:t>
                  </w:r>
                </w:p>
                <w:p>
                  <w:pPr>
                    <w:pStyle w:val="84"/>
                    <w:rPr>
                      <w:color w:val="auto"/>
                    </w:rPr>
                  </w:pPr>
                  <w:r>
                    <w:rPr>
                      <w:rFonts w:hint="eastAsia"/>
                      <w:color w:val="auto"/>
                    </w:rPr>
                    <w:t>效率要求</w:t>
                  </w:r>
                </w:p>
              </w:tc>
              <w:tc>
                <w:tcPr>
                  <w:tcW w:w="1101" w:type="dxa"/>
                  <w:tcBorders>
                    <w:tl2br w:val="nil"/>
                    <w:tr2bl w:val="nil"/>
                  </w:tcBorders>
                  <w:vAlign w:val="center"/>
                </w:tcPr>
                <w:p>
                  <w:pPr>
                    <w:pStyle w:val="84"/>
                    <w:rPr>
                      <w:color w:val="auto"/>
                    </w:rPr>
                  </w:pPr>
                  <w:r>
                    <w:rPr>
                      <w:color w:val="auto"/>
                    </w:rPr>
                    <w:t>土地资源重点管控区：</w:t>
                  </w:r>
                </w:p>
                <w:p>
                  <w:pPr>
                    <w:pStyle w:val="84"/>
                    <w:rPr>
                      <w:color w:val="auto"/>
                    </w:rPr>
                  </w:pPr>
                  <w:r>
                    <w:rPr>
                      <w:color w:val="auto"/>
                    </w:rPr>
                    <w:t>应进一步优化投资环境，规范工业园区（开发区）入园用地项目管理，推进园区土地集约、节约利用，提高入园项目质量，确保园区经济快速健康发展，以提高土地利用质量和效益为目的，对项目在用地期限内的利用状况实施全过程动态评估和监管，通过健全工业园区用地准入、综合效益评估、土地使用权推出等机制，实现土地利用管理系统化、精细化、动态化；项目入园要严格按照有关部门审核同意的项目建设内容使用土地，不得擅自改变土地用途、超越地界线占用土地。</w:t>
                  </w:r>
                </w:p>
              </w:tc>
              <w:tc>
                <w:tcPr>
                  <w:tcW w:w="1582" w:type="dxa"/>
                  <w:tcBorders>
                    <w:tl2br w:val="nil"/>
                    <w:tr2bl w:val="nil"/>
                  </w:tcBorders>
                  <w:vAlign w:val="center"/>
                </w:tcPr>
                <w:p>
                  <w:pPr>
                    <w:pStyle w:val="84"/>
                    <w:rPr>
                      <w:color w:val="auto"/>
                    </w:rPr>
                  </w:pPr>
                  <w:r>
                    <w:rPr>
                      <w:rFonts w:hint="eastAsia"/>
                      <w:color w:val="auto"/>
                    </w:rPr>
                    <w:t>本项目位于石泉县经济技术开发区古堰园区，利用公司已有车间进行建设，不新增占地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9" w:type="dxa"/>
                  <w:tcBorders>
                    <w:bottom w:val="single" w:color="000000" w:sz="4" w:space="0"/>
                    <w:tl2br w:val="nil"/>
                    <w:tr2bl w:val="nil"/>
                  </w:tcBorders>
                  <w:vAlign w:val="center"/>
                </w:tcPr>
                <w:p>
                  <w:pPr>
                    <w:pStyle w:val="84"/>
                    <w:rPr>
                      <w:color w:val="auto"/>
                    </w:rPr>
                  </w:pPr>
                  <w:r>
                    <w:rPr>
                      <w:rFonts w:hint="eastAsia"/>
                      <w:color w:val="auto"/>
                    </w:rPr>
                    <w:t>一说明</w:t>
                  </w:r>
                </w:p>
              </w:tc>
              <w:tc>
                <w:tcPr>
                  <w:tcW w:w="6809" w:type="dxa"/>
                  <w:gridSpan w:val="8"/>
                  <w:tcBorders>
                    <w:bottom w:val="single" w:color="000000" w:sz="4" w:space="0"/>
                    <w:tl2br w:val="nil"/>
                    <w:tr2bl w:val="nil"/>
                  </w:tcBorders>
                  <w:vAlign w:val="center"/>
                </w:tcPr>
                <w:p>
                  <w:pPr>
                    <w:pStyle w:val="84"/>
                    <w:rPr>
                      <w:color w:val="auto"/>
                    </w:rPr>
                  </w:pPr>
                  <w:r>
                    <w:rPr>
                      <w:rFonts w:hint="eastAsia"/>
                      <w:color w:val="auto"/>
                    </w:rPr>
                    <w:t>通过比对本项目与“安康市生态环境管控单元分布图”中的位置关系，本项目位于环境管控单元中的“重点管控单元”，经分析与《安康市生态环境总体准入清单》中列举的管控要求，本项目符合《安康市人民政府关于印发“三线一单”生态环境分区管控方案的通知》（安政发〔2021〕18号）文件中的相关要求。</w:t>
                  </w:r>
                </w:p>
              </w:tc>
            </w:tr>
          </w:tbl>
          <w:p>
            <w:pPr>
              <w:numPr>
                <w:ilvl w:val="0"/>
                <w:numId w:val="3"/>
              </w:numPr>
              <w:ind w:firstLine="480"/>
            </w:pPr>
            <w:r>
              <w:t>项目选址合理性分析</w:t>
            </w:r>
          </w:p>
          <w:p>
            <w:pPr>
              <w:ind w:firstLine="480"/>
            </w:pPr>
            <w:r>
              <w:rPr>
                <w:rFonts w:hint="eastAsia"/>
              </w:rPr>
              <w:t>本</w:t>
            </w:r>
            <w:r>
              <w:t>项目位于陕西省安康市石泉县省级经济技术开发区城关镇古堰工业园区</w:t>
            </w:r>
            <w:r>
              <w:rPr>
                <w:rFonts w:hint="eastAsia"/>
              </w:rPr>
              <w:t>，项目利用自有车间中的1#车间进行建设，占地面积约为8800</w:t>
            </w:r>
            <w:r>
              <w:t>m</w:t>
            </w:r>
            <w:r>
              <w:rPr>
                <w:vertAlign w:val="superscript"/>
              </w:rPr>
              <w:t>2</w:t>
            </w:r>
            <w:r>
              <w:rPr>
                <w:rFonts w:hint="eastAsia"/>
              </w:rPr>
              <w:t>。本项目北侧为陕西秦巴水利水电有限公司、南侧为重型锻造项目的生产车间（即2#~6#生产车间），西侧为饶峰河，隔河为工业企业，东侧为园区道路，隔路为陕西富全纺织有限公司，无环境制约因素。</w:t>
            </w:r>
          </w:p>
          <w:p>
            <w:pPr>
              <w:ind w:firstLine="480"/>
            </w:pPr>
            <w:r>
              <w:t>项目评价范围内无自然保护区、风景名胜区、世界文化和自然遗产地、饮用水水源保护区、基本农田保护区等依法设立的各级各类保护区域和对建设项目产生的环境影响特别敏感的区域，不在国家、地方规划的重点生态功能区的敏感区域内。</w:t>
            </w:r>
          </w:p>
          <w:p>
            <w:pPr>
              <w:ind w:firstLine="480"/>
            </w:pPr>
            <w:r>
              <w:rPr>
                <w:rFonts w:hint="eastAsia"/>
              </w:rPr>
              <w:t>本次评价提出了严格的大气、地表水、噪声污染防治措施、风险防范措施及环境管理措施，因此，本项目在落实一系列环保措施后，可实现达标排放，对项目周围的环境影响较小。</w:t>
            </w:r>
          </w:p>
          <w:p>
            <w:pPr>
              <w:ind w:firstLine="480"/>
            </w:pPr>
            <w:r>
              <w:rPr>
                <w:rFonts w:hint="eastAsia"/>
              </w:rPr>
              <w:t>因此，从环保角度，本项目选址合理。</w:t>
            </w:r>
          </w:p>
        </w:tc>
      </w:tr>
    </w:tbl>
    <w:p>
      <w:pPr>
        <w:ind w:firstLine="600"/>
        <w:rPr>
          <w:rFonts w:eastAsia="黑体"/>
          <w:sz w:val="30"/>
        </w:rPr>
        <w:sectPr>
          <w:headerReference r:id="rId6" w:type="default"/>
          <w:footerReference r:id="rId7" w:type="default"/>
          <w:pgSz w:w="11906" w:h="16838"/>
          <w:pgMar w:top="1440" w:right="1531" w:bottom="1440" w:left="1531" w:header="851" w:footer="1020" w:gutter="0"/>
          <w:pgNumType w:fmt="numberInDash" w:start="1"/>
          <w:cols w:space="720" w:num="1"/>
          <w:docGrid w:linePitch="312" w:charSpace="0"/>
        </w:sectPr>
      </w:pPr>
    </w:p>
    <w:p>
      <w:pPr>
        <w:pStyle w:val="28"/>
        <w:ind w:firstLine="600"/>
        <w:jc w:val="center"/>
        <w:outlineLvl w:val="0"/>
        <w:rPr>
          <w:rFonts w:ascii="黑体" w:hAnsi="黑体" w:eastAsia="黑体"/>
          <w:snapToGrid w:val="0"/>
          <w:sz w:val="30"/>
          <w:szCs w:val="30"/>
        </w:rPr>
      </w:pPr>
      <w:bookmarkStart w:id="4" w:name="_Toc10400"/>
      <w:r>
        <w:rPr>
          <w:rFonts w:hint="eastAsia" w:ascii="黑体" w:hAnsi="黑体" w:eastAsia="黑体"/>
          <w:snapToGrid w:val="0"/>
          <w:sz w:val="30"/>
          <w:szCs w:val="30"/>
        </w:rPr>
        <w:t>二、建设项目工程分析</w:t>
      </w:r>
      <w:bookmarkEnd w:id="4"/>
    </w:p>
    <w:tbl>
      <w:tblPr>
        <w:tblStyle w:val="36"/>
        <w:tblW w:w="905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94"/>
        <w:gridCol w:w="84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94" w:type="dxa"/>
            <w:tcBorders>
              <w:bottom w:val="single" w:color="000000" w:sz="2" w:space="0"/>
            </w:tcBorders>
            <w:vAlign w:val="center"/>
          </w:tcPr>
          <w:p>
            <w:pPr>
              <w:adjustRightInd w:val="0"/>
              <w:snapToGrid w:val="0"/>
              <w:ind w:firstLine="0" w:firstLineChars="0"/>
              <w:jc w:val="center"/>
              <w:rPr>
                <w:szCs w:val="32"/>
              </w:rPr>
            </w:pPr>
            <w:r>
              <w:rPr>
                <w:rFonts w:hint="eastAsia"/>
                <w:szCs w:val="32"/>
              </w:rPr>
              <w:t>建设</w:t>
            </w:r>
          </w:p>
          <w:p>
            <w:pPr>
              <w:adjustRightInd w:val="0"/>
              <w:snapToGrid w:val="0"/>
              <w:ind w:firstLine="0" w:firstLineChars="0"/>
              <w:jc w:val="center"/>
              <w:rPr>
                <w:rFonts w:cs="宋体"/>
                <w:szCs w:val="21"/>
              </w:rPr>
            </w:pPr>
            <w:r>
              <w:rPr>
                <w:rFonts w:hint="eastAsia"/>
                <w:szCs w:val="32"/>
              </w:rPr>
              <w:t>内容</w:t>
            </w:r>
          </w:p>
        </w:tc>
        <w:tc>
          <w:tcPr>
            <w:tcW w:w="8465" w:type="dxa"/>
            <w:tcBorders>
              <w:bottom w:val="single" w:color="000000" w:sz="2" w:space="0"/>
            </w:tcBorders>
          </w:tcPr>
          <w:p>
            <w:pPr>
              <w:adjustRightInd w:val="0"/>
              <w:snapToGrid w:val="0"/>
              <w:ind w:firstLine="480"/>
            </w:pPr>
            <w:r>
              <w:rPr>
                <w:rFonts w:hint="eastAsia"/>
              </w:rPr>
              <w:t>1、</w:t>
            </w:r>
            <w:r>
              <w:t>建设内容</w:t>
            </w:r>
          </w:p>
          <w:p>
            <w:pPr>
              <w:numPr>
                <w:ilvl w:val="0"/>
                <w:numId w:val="4"/>
              </w:numPr>
              <w:ind w:firstLine="480"/>
              <w:rPr>
                <w:rFonts w:hAnsi="宋体"/>
              </w:rPr>
            </w:pPr>
            <w:r>
              <w:rPr>
                <w:rFonts w:hAnsi="宋体"/>
              </w:rPr>
              <w:t>项目名称、地点、建设性质</w:t>
            </w:r>
          </w:p>
          <w:p>
            <w:pPr>
              <w:pStyle w:val="18"/>
              <w:adjustRightInd w:val="0"/>
              <w:snapToGrid w:val="0"/>
              <w:spacing w:line="360" w:lineRule="auto"/>
              <w:ind w:left="0" w:right="0"/>
              <w:jc w:val="both"/>
              <w:rPr>
                <w:b w:val="0"/>
                <w:bCs/>
                <w:sz w:val="24"/>
                <w:szCs w:val="24"/>
              </w:rPr>
            </w:pPr>
            <w:r>
              <w:rPr>
                <w:rFonts w:hint="eastAsia"/>
                <w:b w:val="0"/>
                <w:bCs/>
                <w:sz w:val="24"/>
                <w:szCs w:val="24"/>
              </w:rPr>
              <w:t>项目名称：年产2万吨再生高纯硅生产项目</w:t>
            </w:r>
          </w:p>
          <w:p>
            <w:pPr>
              <w:ind w:firstLine="480"/>
              <w:rPr>
                <w:bCs/>
              </w:rPr>
            </w:pPr>
            <w:r>
              <w:rPr>
                <w:rFonts w:hint="eastAsia"/>
                <w:bCs/>
              </w:rPr>
              <w:t>建设地点：</w:t>
            </w:r>
            <w:r>
              <w:t>石泉县省级经济技术开发区城关镇古堰工业园区</w:t>
            </w:r>
          </w:p>
          <w:p>
            <w:pPr>
              <w:ind w:firstLine="480"/>
              <w:rPr>
                <w:bCs/>
              </w:rPr>
            </w:pPr>
            <w:r>
              <w:rPr>
                <w:rFonts w:hint="eastAsia"/>
                <w:bCs/>
              </w:rPr>
              <w:t>建设单位：陕西双环锻造有限公司</w:t>
            </w:r>
          </w:p>
          <w:p>
            <w:pPr>
              <w:ind w:firstLine="480"/>
              <w:rPr>
                <w:bCs/>
              </w:rPr>
            </w:pPr>
            <w:r>
              <w:rPr>
                <w:rFonts w:hint="eastAsia"/>
                <w:bCs/>
              </w:rPr>
              <w:t>建设性质：改、扩建</w:t>
            </w:r>
          </w:p>
          <w:p>
            <w:pPr>
              <w:pStyle w:val="42"/>
              <w:spacing w:line="360" w:lineRule="auto"/>
              <w:ind w:firstLine="480" w:firstLineChars="200"/>
              <w:rPr>
                <w:rFonts w:ascii="Times New Roman" w:eastAsia="宋体" w:cs="Times New Roman"/>
                <w:color w:val="auto"/>
                <w:kern w:val="2"/>
              </w:rPr>
            </w:pPr>
            <w:r>
              <w:rPr>
                <w:rFonts w:hint="eastAsia" w:ascii="Times New Roman" w:eastAsia="宋体" w:cs="Times New Roman"/>
                <w:color w:val="auto"/>
                <w:kern w:val="2"/>
              </w:rPr>
              <w:t>（2）</w:t>
            </w:r>
            <w:r>
              <w:rPr>
                <w:rFonts w:ascii="Times New Roman" w:eastAsia="宋体" w:cs="Times New Roman"/>
                <w:color w:val="auto"/>
                <w:kern w:val="2"/>
              </w:rPr>
              <w:t>建设内容及规模</w:t>
            </w:r>
          </w:p>
          <w:p>
            <w:pPr>
              <w:pStyle w:val="18"/>
              <w:adjustRightInd w:val="0"/>
              <w:snapToGrid w:val="0"/>
              <w:spacing w:line="360" w:lineRule="auto"/>
              <w:ind w:left="0" w:right="0"/>
              <w:jc w:val="both"/>
              <w:rPr>
                <w:b w:val="0"/>
                <w:bCs/>
                <w:sz w:val="24"/>
                <w:szCs w:val="24"/>
              </w:rPr>
            </w:pPr>
            <w:r>
              <w:rPr>
                <w:rFonts w:hint="eastAsia"/>
                <w:b w:val="0"/>
                <w:bCs/>
                <w:sz w:val="24"/>
                <w:szCs w:val="24"/>
              </w:rPr>
              <w:t>根据现场调查，陕西双环锻造有限公司共建设有6座生产车间（编号为1#~6#），本项目利用1#车间进行建设，其它车间进行已有项目的生产。</w:t>
            </w:r>
          </w:p>
          <w:p>
            <w:pPr>
              <w:pStyle w:val="18"/>
              <w:adjustRightInd w:val="0"/>
              <w:snapToGrid w:val="0"/>
              <w:spacing w:line="360" w:lineRule="auto"/>
              <w:ind w:left="0" w:right="0"/>
              <w:jc w:val="both"/>
              <w:rPr>
                <w:sz w:val="24"/>
                <w:szCs w:val="24"/>
              </w:rPr>
            </w:pPr>
            <w:r>
              <w:rPr>
                <w:rFonts w:hint="eastAsia"/>
                <w:b w:val="0"/>
                <w:bCs/>
                <w:sz w:val="24"/>
                <w:szCs w:val="24"/>
              </w:rPr>
              <w:t>本项目所在车间占地8800m</w:t>
            </w:r>
            <w:r>
              <w:rPr>
                <w:rFonts w:hint="eastAsia"/>
                <w:b w:val="0"/>
                <w:bCs/>
                <w:sz w:val="24"/>
                <w:szCs w:val="24"/>
                <w:vertAlign w:val="superscript"/>
              </w:rPr>
              <w:t>2</w:t>
            </w:r>
            <w:r>
              <w:rPr>
                <w:rFonts w:hint="eastAsia"/>
                <w:b w:val="0"/>
                <w:bCs/>
                <w:sz w:val="24"/>
                <w:szCs w:val="24"/>
              </w:rPr>
              <w:t>，主要设置原料暂存区，产品暂存区、半成品暂存区、生产区域等功能区，共建设2条生产线。具体建设内容及相关情况说明见表2-1。</w:t>
            </w:r>
          </w:p>
          <w:p>
            <w:pPr>
              <w:pStyle w:val="18"/>
              <w:adjustRightInd w:val="0"/>
              <w:snapToGrid w:val="0"/>
              <w:spacing w:line="240" w:lineRule="auto"/>
              <w:ind w:left="0" w:right="0" w:firstLine="0" w:firstLineChars="0"/>
              <w:rPr>
                <w:sz w:val="21"/>
                <w:szCs w:val="21"/>
              </w:rPr>
            </w:pPr>
            <w:r>
              <w:rPr>
                <w:sz w:val="21"/>
                <w:szCs w:val="21"/>
              </w:rPr>
              <w:t>表</w:t>
            </w:r>
            <w:r>
              <w:rPr>
                <w:rFonts w:hint="eastAsia"/>
                <w:sz w:val="21"/>
                <w:szCs w:val="21"/>
              </w:rPr>
              <w:t>2-1</w:t>
            </w:r>
            <w:r>
              <w:rPr>
                <w:sz w:val="21"/>
                <w:szCs w:val="21"/>
              </w:rPr>
              <w:t>项目组成及建设内容一览表</w:t>
            </w:r>
          </w:p>
          <w:tbl>
            <w:tblPr>
              <w:tblStyle w:val="36"/>
              <w:tblW w:w="82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1019"/>
              <w:gridCol w:w="5656"/>
              <w:gridCol w:w="1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550" w:type="dxa"/>
                  <w:tcBorders>
                    <w:tl2br w:val="nil"/>
                    <w:tr2bl w:val="nil"/>
                  </w:tcBorders>
                  <w:tcMar>
                    <w:top w:w="0" w:type="dxa"/>
                    <w:left w:w="57" w:type="dxa"/>
                    <w:bottom w:w="0" w:type="dxa"/>
                    <w:right w:w="57" w:type="dxa"/>
                  </w:tcMar>
                  <w:vAlign w:val="center"/>
                </w:tcPr>
                <w:p>
                  <w:pPr>
                    <w:pStyle w:val="84"/>
                    <w:rPr>
                      <w:color w:val="auto"/>
                    </w:rPr>
                  </w:pPr>
                  <w:r>
                    <w:rPr>
                      <w:rFonts w:hint="eastAsia"/>
                      <w:color w:val="auto"/>
                    </w:rPr>
                    <w:t>类型</w:t>
                  </w:r>
                </w:p>
              </w:tc>
              <w:tc>
                <w:tcPr>
                  <w:tcW w:w="1019" w:type="dxa"/>
                  <w:tcBorders>
                    <w:tl2br w:val="nil"/>
                    <w:tr2bl w:val="nil"/>
                  </w:tcBorders>
                  <w:tcMar>
                    <w:top w:w="0" w:type="dxa"/>
                    <w:left w:w="57" w:type="dxa"/>
                    <w:bottom w:w="0" w:type="dxa"/>
                    <w:right w:w="57" w:type="dxa"/>
                  </w:tcMar>
                  <w:vAlign w:val="center"/>
                </w:tcPr>
                <w:p>
                  <w:pPr>
                    <w:pStyle w:val="84"/>
                    <w:rPr>
                      <w:color w:val="auto"/>
                    </w:rPr>
                  </w:pPr>
                  <w:r>
                    <w:rPr>
                      <w:color w:val="auto"/>
                    </w:rPr>
                    <w:t>名称</w:t>
                  </w:r>
                </w:p>
              </w:tc>
              <w:tc>
                <w:tcPr>
                  <w:tcW w:w="5656" w:type="dxa"/>
                  <w:tcBorders>
                    <w:tl2br w:val="nil"/>
                    <w:tr2bl w:val="nil"/>
                  </w:tcBorders>
                  <w:tcMar>
                    <w:top w:w="0" w:type="dxa"/>
                    <w:left w:w="57" w:type="dxa"/>
                    <w:bottom w:w="0" w:type="dxa"/>
                    <w:right w:w="57" w:type="dxa"/>
                  </w:tcMar>
                  <w:vAlign w:val="center"/>
                </w:tcPr>
                <w:p>
                  <w:pPr>
                    <w:pStyle w:val="84"/>
                    <w:rPr>
                      <w:color w:val="auto"/>
                    </w:rPr>
                  </w:pPr>
                  <w:r>
                    <w:rPr>
                      <w:color w:val="auto"/>
                    </w:rPr>
                    <w:t>建设内容</w:t>
                  </w:r>
                </w:p>
              </w:tc>
              <w:tc>
                <w:tcPr>
                  <w:tcW w:w="1011" w:type="dxa"/>
                  <w:tcBorders>
                    <w:tl2br w:val="nil"/>
                    <w:tr2bl w:val="nil"/>
                  </w:tcBorders>
                  <w:tcMar>
                    <w:top w:w="0" w:type="dxa"/>
                    <w:left w:w="57" w:type="dxa"/>
                    <w:bottom w:w="0" w:type="dxa"/>
                    <w:right w:w="57" w:type="dxa"/>
                  </w:tcMar>
                  <w:vAlign w:val="center"/>
                </w:tcPr>
                <w:p>
                  <w:pPr>
                    <w:pStyle w:val="84"/>
                    <w:rPr>
                      <w:color w:val="auto"/>
                    </w:rPr>
                  </w:pPr>
                  <w:r>
                    <w:rPr>
                      <w:rFonts w:hint="eastAsia"/>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550" w:type="dxa"/>
                  <w:vMerge w:val="restart"/>
                  <w:tcBorders>
                    <w:tl2br w:val="nil"/>
                    <w:tr2bl w:val="nil"/>
                  </w:tcBorders>
                  <w:tcMar>
                    <w:top w:w="0" w:type="dxa"/>
                    <w:left w:w="57" w:type="dxa"/>
                    <w:bottom w:w="0" w:type="dxa"/>
                    <w:right w:w="57" w:type="dxa"/>
                  </w:tcMar>
                  <w:vAlign w:val="center"/>
                </w:tcPr>
                <w:p>
                  <w:pPr>
                    <w:pStyle w:val="84"/>
                    <w:rPr>
                      <w:color w:val="auto"/>
                    </w:rPr>
                  </w:pPr>
                  <w:r>
                    <w:rPr>
                      <w:rFonts w:hint="eastAsia"/>
                      <w:color w:val="auto"/>
                    </w:rPr>
                    <w:t>主体工程</w:t>
                  </w:r>
                </w:p>
              </w:tc>
              <w:tc>
                <w:tcPr>
                  <w:tcW w:w="6675" w:type="dxa"/>
                  <w:gridSpan w:val="2"/>
                  <w:tcBorders>
                    <w:tl2br w:val="nil"/>
                    <w:tr2bl w:val="nil"/>
                  </w:tcBorders>
                  <w:tcMar>
                    <w:top w:w="0" w:type="dxa"/>
                    <w:left w:w="57" w:type="dxa"/>
                    <w:bottom w:w="0" w:type="dxa"/>
                    <w:right w:w="57" w:type="dxa"/>
                  </w:tcMar>
                  <w:vAlign w:val="center"/>
                </w:tcPr>
                <w:p>
                  <w:pPr>
                    <w:pStyle w:val="84"/>
                    <w:rPr>
                      <w:color w:val="auto"/>
                    </w:rPr>
                  </w:pPr>
                  <w:r>
                    <w:rPr>
                      <w:rFonts w:hint="eastAsia"/>
                      <w:color w:val="auto"/>
                    </w:rPr>
                    <w:t>本项目利用现有厂区1#车间进行建设</w:t>
                  </w:r>
                  <w:r>
                    <w:rPr>
                      <w:rFonts w:hint="eastAsia"/>
                      <w:color w:val="auto"/>
                    </w:rPr>
                    <w:br w:type="textWrapping"/>
                  </w:r>
                  <w:r>
                    <w:rPr>
                      <w:rFonts w:hint="eastAsia"/>
                      <w:color w:val="auto"/>
                    </w:rPr>
                    <w:t>生产车间：1F，层高7m，钢架+封闭结构，建筑面积8800m</w:t>
                  </w:r>
                  <w:r>
                    <w:rPr>
                      <w:rFonts w:hint="eastAsia"/>
                      <w:color w:val="auto"/>
                      <w:vertAlign w:val="superscript"/>
                    </w:rPr>
                    <w:t>2</w:t>
                  </w:r>
                </w:p>
              </w:tc>
              <w:tc>
                <w:tcPr>
                  <w:tcW w:w="1011" w:type="dxa"/>
                  <w:tcBorders>
                    <w:tl2br w:val="nil"/>
                    <w:tr2bl w:val="nil"/>
                  </w:tcBorders>
                  <w:tcMar>
                    <w:top w:w="0" w:type="dxa"/>
                    <w:left w:w="57" w:type="dxa"/>
                    <w:bottom w:w="0" w:type="dxa"/>
                    <w:right w:w="57" w:type="dxa"/>
                  </w:tcMar>
                  <w:vAlign w:val="center"/>
                </w:tcPr>
                <w:p>
                  <w:pPr>
                    <w:pStyle w:val="84"/>
                    <w:rPr>
                      <w:color w:val="auto"/>
                    </w:rPr>
                  </w:pPr>
                  <w:r>
                    <w:rPr>
                      <w:rFonts w:hint="eastAsia"/>
                      <w:color w:val="auto"/>
                    </w:rPr>
                    <w:t>依托原有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550" w:type="dxa"/>
                  <w:vMerge w:val="continue"/>
                  <w:tcBorders>
                    <w:tl2br w:val="nil"/>
                    <w:tr2bl w:val="nil"/>
                  </w:tcBorders>
                  <w:tcMar>
                    <w:top w:w="0" w:type="dxa"/>
                    <w:left w:w="57" w:type="dxa"/>
                    <w:bottom w:w="0" w:type="dxa"/>
                    <w:right w:w="57" w:type="dxa"/>
                  </w:tcMar>
                  <w:vAlign w:val="center"/>
                </w:tcPr>
                <w:p>
                  <w:pPr>
                    <w:pStyle w:val="84"/>
                    <w:rPr>
                      <w:color w:val="auto"/>
                    </w:rPr>
                  </w:pPr>
                </w:p>
              </w:tc>
              <w:tc>
                <w:tcPr>
                  <w:tcW w:w="1019" w:type="dxa"/>
                  <w:tcBorders>
                    <w:tl2br w:val="nil"/>
                    <w:tr2bl w:val="nil"/>
                  </w:tcBorders>
                  <w:tcMar>
                    <w:top w:w="0" w:type="dxa"/>
                    <w:left w:w="57" w:type="dxa"/>
                    <w:bottom w:w="0" w:type="dxa"/>
                    <w:right w:w="57" w:type="dxa"/>
                  </w:tcMar>
                  <w:vAlign w:val="center"/>
                </w:tcPr>
                <w:p>
                  <w:pPr>
                    <w:pStyle w:val="84"/>
                    <w:rPr>
                      <w:color w:val="auto"/>
                    </w:rPr>
                  </w:pPr>
                  <w:r>
                    <w:rPr>
                      <w:rFonts w:hint="eastAsia"/>
                      <w:color w:val="auto"/>
                    </w:rPr>
                    <w:t>制粒区</w:t>
                  </w:r>
                </w:p>
              </w:tc>
              <w:tc>
                <w:tcPr>
                  <w:tcW w:w="5656" w:type="dxa"/>
                  <w:tcBorders>
                    <w:tl2br w:val="nil"/>
                    <w:tr2bl w:val="nil"/>
                  </w:tcBorders>
                  <w:tcMar>
                    <w:top w:w="0" w:type="dxa"/>
                    <w:left w:w="57" w:type="dxa"/>
                    <w:bottom w:w="0" w:type="dxa"/>
                    <w:right w:w="57" w:type="dxa"/>
                  </w:tcMar>
                  <w:vAlign w:val="center"/>
                </w:tcPr>
                <w:p>
                  <w:pPr>
                    <w:pStyle w:val="84"/>
                    <w:rPr>
                      <w:color w:val="auto"/>
                    </w:rPr>
                  </w:pPr>
                  <w:r>
                    <w:rPr>
                      <w:rFonts w:hint="eastAsia"/>
                      <w:color w:val="auto"/>
                    </w:rPr>
                    <w:t>位于车间的西北角，占地面积约300m</w:t>
                  </w:r>
                  <w:r>
                    <w:rPr>
                      <w:rFonts w:hint="eastAsia"/>
                      <w:color w:val="auto"/>
                      <w:vertAlign w:val="superscript"/>
                    </w:rPr>
                    <w:t>2</w:t>
                  </w:r>
                  <w:r>
                    <w:rPr>
                      <w:rFonts w:hint="eastAsia"/>
                      <w:color w:val="auto"/>
                    </w:rPr>
                    <w:t>，内设1条制粒生产线；</w:t>
                  </w:r>
                </w:p>
              </w:tc>
              <w:tc>
                <w:tcPr>
                  <w:tcW w:w="1011" w:type="dxa"/>
                  <w:tcBorders>
                    <w:tl2br w:val="nil"/>
                    <w:tr2bl w:val="nil"/>
                  </w:tcBorders>
                  <w:tcMar>
                    <w:top w:w="0" w:type="dxa"/>
                    <w:left w:w="57" w:type="dxa"/>
                    <w:bottom w:w="0" w:type="dxa"/>
                    <w:right w:w="57" w:type="dxa"/>
                  </w:tcMar>
                  <w:vAlign w:val="center"/>
                </w:tcPr>
                <w:p>
                  <w:pPr>
                    <w:pStyle w:val="84"/>
                    <w:rPr>
                      <w:color w:val="auto"/>
                    </w:rPr>
                  </w:pPr>
                  <w:r>
                    <w:rPr>
                      <w:rFonts w:hint="eastAsia"/>
                      <w:color w:val="auto"/>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550" w:type="dxa"/>
                  <w:vMerge w:val="continue"/>
                  <w:tcBorders>
                    <w:tl2br w:val="nil"/>
                    <w:tr2bl w:val="nil"/>
                  </w:tcBorders>
                  <w:tcMar>
                    <w:top w:w="0" w:type="dxa"/>
                    <w:left w:w="57" w:type="dxa"/>
                    <w:bottom w:w="0" w:type="dxa"/>
                    <w:right w:w="57" w:type="dxa"/>
                  </w:tcMar>
                  <w:vAlign w:val="center"/>
                </w:tcPr>
                <w:p>
                  <w:pPr>
                    <w:pStyle w:val="84"/>
                    <w:rPr>
                      <w:color w:val="auto"/>
                    </w:rPr>
                  </w:pPr>
                </w:p>
              </w:tc>
              <w:tc>
                <w:tcPr>
                  <w:tcW w:w="1019" w:type="dxa"/>
                  <w:tcBorders>
                    <w:tl2br w:val="nil"/>
                    <w:tr2bl w:val="nil"/>
                  </w:tcBorders>
                  <w:tcMar>
                    <w:top w:w="0" w:type="dxa"/>
                    <w:left w:w="57" w:type="dxa"/>
                    <w:bottom w:w="0" w:type="dxa"/>
                    <w:right w:w="57" w:type="dxa"/>
                  </w:tcMar>
                  <w:vAlign w:val="center"/>
                </w:tcPr>
                <w:p>
                  <w:pPr>
                    <w:pStyle w:val="84"/>
                    <w:rPr>
                      <w:color w:val="auto"/>
                    </w:rPr>
                  </w:pPr>
                  <w:r>
                    <w:rPr>
                      <w:rFonts w:hint="eastAsia"/>
                      <w:color w:val="auto"/>
                    </w:rPr>
                    <w:t>烘干生产线</w:t>
                  </w:r>
                </w:p>
              </w:tc>
              <w:tc>
                <w:tcPr>
                  <w:tcW w:w="5656" w:type="dxa"/>
                  <w:tcBorders>
                    <w:tl2br w:val="nil"/>
                    <w:tr2bl w:val="nil"/>
                  </w:tcBorders>
                  <w:tcMar>
                    <w:top w:w="0" w:type="dxa"/>
                    <w:left w:w="57" w:type="dxa"/>
                    <w:bottom w:w="0" w:type="dxa"/>
                    <w:right w:w="57" w:type="dxa"/>
                  </w:tcMar>
                  <w:vAlign w:val="center"/>
                </w:tcPr>
                <w:p>
                  <w:pPr>
                    <w:pStyle w:val="91"/>
                  </w:pPr>
                  <w:r>
                    <w:rPr>
                      <w:rFonts w:hint="eastAsia"/>
                    </w:rPr>
                    <w:t>位于车间的西南角，占地面积约390m</w:t>
                  </w:r>
                  <w:r>
                    <w:rPr>
                      <w:rFonts w:hint="eastAsia"/>
                      <w:vertAlign w:val="superscript"/>
                    </w:rPr>
                    <w:t>2</w:t>
                  </w:r>
                  <w:r>
                    <w:rPr>
                      <w:rFonts w:hint="eastAsia"/>
                    </w:rPr>
                    <w:t>，内设2条烘干生产线；</w:t>
                  </w:r>
                </w:p>
              </w:tc>
              <w:tc>
                <w:tcPr>
                  <w:tcW w:w="1011" w:type="dxa"/>
                  <w:tcBorders>
                    <w:tl2br w:val="nil"/>
                    <w:tr2bl w:val="nil"/>
                  </w:tcBorders>
                  <w:tcMar>
                    <w:top w:w="0" w:type="dxa"/>
                    <w:left w:w="57" w:type="dxa"/>
                    <w:bottom w:w="0" w:type="dxa"/>
                    <w:right w:w="57" w:type="dxa"/>
                  </w:tcMar>
                  <w:vAlign w:val="center"/>
                </w:tcPr>
                <w:p>
                  <w:pPr>
                    <w:pStyle w:val="91"/>
                  </w:pPr>
                  <w:r>
                    <w:rPr>
                      <w:rFonts w:hint="eastAsia"/>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550" w:type="dxa"/>
                  <w:vMerge w:val="continue"/>
                  <w:tcBorders>
                    <w:tl2br w:val="nil"/>
                    <w:tr2bl w:val="nil"/>
                  </w:tcBorders>
                  <w:tcMar>
                    <w:top w:w="0" w:type="dxa"/>
                    <w:left w:w="57" w:type="dxa"/>
                    <w:bottom w:w="0" w:type="dxa"/>
                    <w:right w:w="57" w:type="dxa"/>
                  </w:tcMar>
                  <w:vAlign w:val="center"/>
                </w:tcPr>
                <w:p>
                  <w:pPr>
                    <w:pStyle w:val="84"/>
                    <w:rPr>
                      <w:color w:val="auto"/>
                    </w:rPr>
                  </w:pPr>
                </w:p>
              </w:tc>
              <w:tc>
                <w:tcPr>
                  <w:tcW w:w="1019" w:type="dxa"/>
                  <w:tcBorders>
                    <w:tl2br w:val="nil"/>
                    <w:tr2bl w:val="nil"/>
                  </w:tcBorders>
                  <w:tcMar>
                    <w:top w:w="0" w:type="dxa"/>
                    <w:left w:w="57" w:type="dxa"/>
                    <w:bottom w:w="0" w:type="dxa"/>
                    <w:right w:w="57" w:type="dxa"/>
                  </w:tcMar>
                  <w:vAlign w:val="center"/>
                </w:tcPr>
                <w:p>
                  <w:pPr>
                    <w:pStyle w:val="84"/>
                    <w:rPr>
                      <w:color w:val="auto"/>
                    </w:rPr>
                  </w:pPr>
                  <w:r>
                    <w:rPr>
                      <w:rFonts w:hint="eastAsia"/>
                      <w:color w:val="auto"/>
                    </w:rPr>
                    <w:t>中频炉设置区</w:t>
                  </w:r>
                </w:p>
              </w:tc>
              <w:tc>
                <w:tcPr>
                  <w:tcW w:w="5656" w:type="dxa"/>
                  <w:tcBorders>
                    <w:tl2br w:val="nil"/>
                    <w:tr2bl w:val="nil"/>
                  </w:tcBorders>
                  <w:tcMar>
                    <w:top w:w="0" w:type="dxa"/>
                    <w:left w:w="57" w:type="dxa"/>
                    <w:bottom w:w="0" w:type="dxa"/>
                    <w:right w:w="57" w:type="dxa"/>
                  </w:tcMar>
                  <w:vAlign w:val="center"/>
                </w:tcPr>
                <w:p>
                  <w:pPr>
                    <w:pStyle w:val="91"/>
                  </w:pPr>
                  <w:r>
                    <w:rPr>
                      <w:rFonts w:hint="eastAsia"/>
                    </w:rPr>
                    <w:t>位于车间的东南角，占地面积约1300m</w:t>
                  </w:r>
                  <w:r>
                    <w:rPr>
                      <w:rFonts w:hint="eastAsia"/>
                      <w:vertAlign w:val="superscript"/>
                    </w:rPr>
                    <w:t>2</w:t>
                  </w:r>
                  <w:r>
                    <w:rPr>
                      <w:rFonts w:hint="eastAsia"/>
                    </w:rPr>
                    <w:t>，内设2台中频炉；</w:t>
                  </w:r>
                </w:p>
              </w:tc>
              <w:tc>
                <w:tcPr>
                  <w:tcW w:w="1011" w:type="dxa"/>
                  <w:tcBorders>
                    <w:tl2br w:val="nil"/>
                    <w:tr2bl w:val="nil"/>
                  </w:tcBorders>
                  <w:tcMar>
                    <w:top w:w="0" w:type="dxa"/>
                    <w:left w:w="57" w:type="dxa"/>
                    <w:bottom w:w="0" w:type="dxa"/>
                    <w:right w:w="57" w:type="dxa"/>
                  </w:tcMar>
                  <w:vAlign w:val="center"/>
                </w:tcPr>
                <w:p>
                  <w:pPr>
                    <w:pStyle w:val="91"/>
                  </w:pPr>
                  <w:r>
                    <w:rPr>
                      <w:rFonts w:hint="eastAsia"/>
                    </w:rPr>
                    <w:t>改建；利用原有2台中频炉进行建设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jc w:val="center"/>
              </w:trPr>
              <w:tc>
                <w:tcPr>
                  <w:tcW w:w="550" w:type="dxa"/>
                  <w:vMerge w:val="restart"/>
                  <w:tcBorders>
                    <w:tl2br w:val="nil"/>
                    <w:tr2bl w:val="nil"/>
                  </w:tcBorders>
                  <w:tcMar>
                    <w:top w:w="0" w:type="dxa"/>
                    <w:left w:w="57" w:type="dxa"/>
                    <w:bottom w:w="0" w:type="dxa"/>
                    <w:right w:w="57" w:type="dxa"/>
                  </w:tcMar>
                  <w:vAlign w:val="center"/>
                </w:tcPr>
                <w:p>
                  <w:pPr>
                    <w:pStyle w:val="84"/>
                    <w:rPr>
                      <w:color w:val="auto"/>
                    </w:rPr>
                  </w:pPr>
                  <w:r>
                    <w:rPr>
                      <w:color w:val="auto"/>
                    </w:rPr>
                    <w:t>储运工程</w:t>
                  </w:r>
                </w:p>
              </w:tc>
              <w:tc>
                <w:tcPr>
                  <w:tcW w:w="1019" w:type="dxa"/>
                  <w:tcBorders>
                    <w:tl2br w:val="nil"/>
                    <w:tr2bl w:val="nil"/>
                  </w:tcBorders>
                  <w:tcMar>
                    <w:top w:w="0" w:type="dxa"/>
                    <w:left w:w="57" w:type="dxa"/>
                    <w:bottom w:w="0" w:type="dxa"/>
                    <w:right w:w="57" w:type="dxa"/>
                  </w:tcMar>
                  <w:vAlign w:val="center"/>
                </w:tcPr>
                <w:p>
                  <w:pPr>
                    <w:pStyle w:val="84"/>
                    <w:rPr>
                      <w:color w:val="auto"/>
                    </w:rPr>
                  </w:pPr>
                  <w:r>
                    <w:rPr>
                      <w:color w:val="auto"/>
                    </w:rPr>
                    <w:t>原料暂存区</w:t>
                  </w:r>
                </w:p>
              </w:tc>
              <w:tc>
                <w:tcPr>
                  <w:tcW w:w="5656" w:type="dxa"/>
                  <w:tcBorders>
                    <w:tl2br w:val="nil"/>
                    <w:tr2bl w:val="nil"/>
                  </w:tcBorders>
                  <w:tcMar>
                    <w:top w:w="0" w:type="dxa"/>
                    <w:left w:w="57" w:type="dxa"/>
                    <w:bottom w:w="0" w:type="dxa"/>
                    <w:right w:w="57" w:type="dxa"/>
                  </w:tcMar>
                  <w:vAlign w:val="center"/>
                </w:tcPr>
                <w:p>
                  <w:pPr>
                    <w:pStyle w:val="84"/>
                    <w:rPr>
                      <w:color w:val="auto"/>
                    </w:rPr>
                  </w:pPr>
                  <w:r>
                    <w:rPr>
                      <w:rFonts w:hint="eastAsia"/>
                      <w:color w:val="auto"/>
                    </w:rPr>
                    <w:t>位于车间的东北角，占地面积约为2700m</w:t>
                  </w:r>
                  <w:r>
                    <w:rPr>
                      <w:rFonts w:hint="eastAsia"/>
                      <w:color w:val="auto"/>
                      <w:vertAlign w:val="superscript"/>
                    </w:rPr>
                    <w:t>2</w:t>
                  </w:r>
                  <w:r>
                    <w:rPr>
                      <w:rFonts w:hint="eastAsia"/>
                      <w:color w:val="auto"/>
                    </w:rPr>
                    <w:t>，用于存储废硅泥、硅粉；</w:t>
                  </w:r>
                </w:p>
              </w:tc>
              <w:tc>
                <w:tcPr>
                  <w:tcW w:w="1011" w:type="dxa"/>
                  <w:tcBorders>
                    <w:tl2br w:val="nil"/>
                    <w:tr2bl w:val="nil"/>
                  </w:tcBorders>
                  <w:tcMar>
                    <w:top w:w="0" w:type="dxa"/>
                    <w:left w:w="57" w:type="dxa"/>
                    <w:bottom w:w="0" w:type="dxa"/>
                    <w:right w:w="57" w:type="dxa"/>
                  </w:tcMar>
                  <w:vAlign w:val="center"/>
                </w:tcPr>
                <w:p>
                  <w:pPr>
                    <w:pStyle w:val="84"/>
                    <w:rPr>
                      <w:color w:val="auto"/>
                    </w:rPr>
                  </w:pPr>
                  <w:r>
                    <w:rPr>
                      <w:rFonts w:hint="eastAsia"/>
                      <w:color w:val="auto"/>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jc w:val="center"/>
              </w:trPr>
              <w:tc>
                <w:tcPr>
                  <w:tcW w:w="550" w:type="dxa"/>
                  <w:vMerge w:val="continue"/>
                  <w:tcBorders>
                    <w:tl2br w:val="nil"/>
                    <w:tr2bl w:val="nil"/>
                  </w:tcBorders>
                  <w:tcMar>
                    <w:top w:w="0" w:type="dxa"/>
                    <w:left w:w="57" w:type="dxa"/>
                    <w:bottom w:w="0" w:type="dxa"/>
                    <w:right w:w="57" w:type="dxa"/>
                  </w:tcMar>
                  <w:vAlign w:val="center"/>
                </w:tcPr>
                <w:p>
                  <w:pPr>
                    <w:pStyle w:val="84"/>
                    <w:rPr>
                      <w:color w:val="auto"/>
                    </w:rPr>
                  </w:pPr>
                </w:p>
              </w:tc>
              <w:tc>
                <w:tcPr>
                  <w:tcW w:w="1019" w:type="dxa"/>
                  <w:tcBorders>
                    <w:tl2br w:val="nil"/>
                    <w:tr2bl w:val="nil"/>
                  </w:tcBorders>
                  <w:tcMar>
                    <w:top w:w="0" w:type="dxa"/>
                    <w:left w:w="57" w:type="dxa"/>
                    <w:bottom w:w="0" w:type="dxa"/>
                    <w:right w:w="57" w:type="dxa"/>
                  </w:tcMar>
                  <w:vAlign w:val="center"/>
                </w:tcPr>
                <w:p>
                  <w:pPr>
                    <w:pStyle w:val="84"/>
                    <w:rPr>
                      <w:color w:val="auto"/>
                    </w:rPr>
                  </w:pPr>
                  <w:r>
                    <w:rPr>
                      <w:color w:val="auto"/>
                    </w:rPr>
                    <w:t>产品暂存区</w:t>
                  </w:r>
                </w:p>
              </w:tc>
              <w:tc>
                <w:tcPr>
                  <w:tcW w:w="5656" w:type="dxa"/>
                  <w:tcBorders>
                    <w:tl2br w:val="nil"/>
                    <w:tr2bl w:val="nil"/>
                  </w:tcBorders>
                  <w:tcMar>
                    <w:top w:w="0" w:type="dxa"/>
                    <w:left w:w="57" w:type="dxa"/>
                    <w:bottom w:w="0" w:type="dxa"/>
                    <w:right w:w="57" w:type="dxa"/>
                  </w:tcMar>
                  <w:vAlign w:val="center"/>
                </w:tcPr>
                <w:p>
                  <w:pPr>
                    <w:pStyle w:val="84"/>
                    <w:rPr>
                      <w:color w:val="auto"/>
                    </w:rPr>
                  </w:pPr>
                  <w:r>
                    <w:rPr>
                      <w:rFonts w:hint="eastAsia"/>
                      <w:color w:val="auto"/>
                    </w:rPr>
                    <w:t>位于车间的南侧中心位置，占地面积约为200m</w:t>
                  </w:r>
                  <w:r>
                    <w:rPr>
                      <w:rFonts w:hint="eastAsia"/>
                      <w:color w:val="auto"/>
                      <w:vertAlign w:val="superscript"/>
                    </w:rPr>
                    <w:t>2</w:t>
                  </w:r>
                  <w:r>
                    <w:rPr>
                      <w:rFonts w:hint="eastAsia"/>
                      <w:color w:val="auto"/>
                    </w:rPr>
                    <w:t>，用于存储产品-高纯硅块</w:t>
                  </w:r>
                </w:p>
              </w:tc>
              <w:tc>
                <w:tcPr>
                  <w:tcW w:w="1011" w:type="dxa"/>
                  <w:tcBorders>
                    <w:tl2br w:val="nil"/>
                    <w:tr2bl w:val="nil"/>
                  </w:tcBorders>
                  <w:tcMar>
                    <w:top w:w="0" w:type="dxa"/>
                    <w:left w:w="57" w:type="dxa"/>
                    <w:bottom w:w="0" w:type="dxa"/>
                    <w:right w:w="57" w:type="dxa"/>
                  </w:tcMar>
                  <w:vAlign w:val="center"/>
                </w:tcPr>
                <w:p>
                  <w:pPr>
                    <w:pStyle w:val="84"/>
                    <w:rPr>
                      <w:color w:val="auto"/>
                    </w:rPr>
                  </w:pPr>
                  <w:r>
                    <w:rPr>
                      <w:rFonts w:hint="eastAsia"/>
                      <w:color w:val="auto"/>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50" w:type="dxa"/>
                  <w:vMerge w:val="continue"/>
                  <w:tcBorders>
                    <w:tl2br w:val="nil"/>
                    <w:tr2bl w:val="nil"/>
                  </w:tcBorders>
                  <w:tcMar>
                    <w:top w:w="0" w:type="dxa"/>
                    <w:left w:w="57" w:type="dxa"/>
                    <w:bottom w:w="0" w:type="dxa"/>
                    <w:right w:w="57" w:type="dxa"/>
                  </w:tcMar>
                  <w:vAlign w:val="center"/>
                </w:tcPr>
                <w:p>
                  <w:pPr>
                    <w:pStyle w:val="84"/>
                    <w:rPr>
                      <w:color w:val="auto"/>
                    </w:rPr>
                  </w:pPr>
                </w:p>
              </w:tc>
              <w:tc>
                <w:tcPr>
                  <w:tcW w:w="1019" w:type="dxa"/>
                  <w:tcBorders>
                    <w:tl2br w:val="nil"/>
                    <w:tr2bl w:val="nil"/>
                  </w:tcBorders>
                  <w:tcMar>
                    <w:top w:w="0" w:type="dxa"/>
                    <w:left w:w="57" w:type="dxa"/>
                    <w:bottom w:w="0" w:type="dxa"/>
                    <w:right w:w="57" w:type="dxa"/>
                  </w:tcMar>
                  <w:vAlign w:val="center"/>
                </w:tcPr>
                <w:p>
                  <w:pPr>
                    <w:pStyle w:val="84"/>
                    <w:rPr>
                      <w:color w:val="auto"/>
                    </w:rPr>
                  </w:pPr>
                  <w:r>
                    <w:rPr>
                      <w:rFonts w:hint="eastAsia"/>
                      <w:color w:val="auto"/>
                    </w:rPr>
                    <w:t>炉渣存放区</w:t>
                  </w:r>
                </w:p>
              </w:tc>
              <w:tc>
                <w:tcPr>
                  <w:tcW w:w="5656" w:type="dxa"/>
                  <w:tcBorders>
                    <w:tl2br w:val="nil"/>
                    <w:tr2bl w:val="nil"/>
                  </w:tcBorders>
                  <w:tcMar>
                    <w:top w:w="0" w:type="dxa"/>
                    <w:left w:w="57" w:type="dxa"/>
                    <w:bottom w:w="0" w:type="dxa"/>
                    <w:right w:w="57" w:type="dxa"/>
                  </w:tcMar>
                  <w:vAlign w:val="center"/>
                </w:tcPr>
                <w:p>
                  <w:pPr>
                    <w:pStyle w:val="84"/>
                    <w:rPr>
                      <w:color w:val="auto"/>
                    </w:rPr>
                  </w:pPr>
                  <w:r>
                    <w:rPr>
                      <w:rFonts w:hint="eastAsia"/>
                      <w:color w:val="auto"/>
                    </w:rPr>
                    <w:t>位于车间的东侧中心位置，占地面积约为200m</w:t>
                  </w:r>
                  <w:r>
                    <w:rPr>
                      <w:rFonts w:hint="eastAsia"/>
                      <w:color w:val="auto"/>
                      <w:vertAlign w:val="superscript"/>
                    </w:rPr>
                    <w:t>2</w:t>
                  </w:r>
                  <w:r>
                    <w:rPr>
                      <w:rFonts w:hint="eastAsia"/>
                      <w:color w:val="auto"/>
                    </w:rPr>
                    <w:t>，用于存储中频炉炉渣</w:t>
                  </w:r>
                </w:p>
              </w:tc>
              <w:tc>
                <w:tcPr>
                  <w:tcW w:w="1011" w:type="dxa"/>
                  <w:tcBorders>
                    <w:tl2br w:val="nil"/>
                    <w:tr2bl w:val="nil"/>
                  </w:tcBorders>
                  <w:tcMar>
                    <w:top w:w="0" w:type="dxa"/>
                    <w:left w:w="57" w:type="dxa"/>
                    <w:bottom w:w="0" w:type="dxa"/>
                    <w:right w:w="57" w:type="dxa"/>
                  </w:tcMar>
                  <w:vAlign w:val="center"/>
                </w:tcPr>
                <w:p>
                  <w:pPr>
                    <w:pStyle w:val="84"/>
                    <w:rPr>
                      <w:color w:val="auto"/>
                    </w:rPr>
                  </w:pPr>
                  <w:r>
                    <w:rPr>
                      <w:rFonts w:hint="eastAsia"/>
                      <w:color w:val="auto"/>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50" w:type="dxa"/>
                  <w:vMerge w:val="restart"/>
                  <w:tcBorders>
                    <w:tl2br w:val="nil"/>
                    <w:tr2bl w:val="nil"/>
                  </w:tcBorders>
                  <w:tcMar>
                    <w:top w:w="0" w:type="dxa"/>
                    <w:left w:w="57" w:type="dxa"/>
                    <w:bottom w:w="0" w:type="dxa"/>
                    <w:right w:w="57" w:type="dxa"/>
                  </w:tcMar>
                  <w:vAlign w:val="center"/>
                </w:tcPr>
                <w:p>
                  <w:pPr>
                    <w:pStyle w:val="84"/>
                    <w:rPr>
                      <w:color w:val="auto"/>
                    </w:rPr>
                  </w:pPr>
                  <w:r>
                    <w:rPr>
                      <w:rFonts w:hint="eastAsia"/>
                      <w:color w:val="auto"/>
                    </w:rPr>
                    <w:t>公用工程</w:t>
                  </w:r>
                </w:p>
              </w:tc>
              <w:tc>
                <w:tcPr>
                  <w:tcW w:w="1019" w:type="dxa"/>
                  <w:tcBorders>
                    <w:tl2br w:val="nil"/>
                    <w:tr2bl w:val="nil"/>
                  </w:tcBorders>
                  <w:tcMar>
                    <w:top w:w="0" w:type="dxa"/>
                    <w:left w:w="57" w:type="dxa"/>
                    <w:bottom w:w="0" w:type="dxa"/>
                    <w:right w:w="57" w:type="dxa"/>
                  </w:tcMar>
                  <w:vAlign w:val="center"/>
                </w:tcPr>
                <w:p>
                  <w:pPr>
                    <w:pStyle w:val="84"/>
                    <w:rPr>
                      <w:color w:val="auto"/>
                    </w:rPr>
                  </w:pPr>
                  <w:r>
                    <w:rPr>
                      <w:rFonts w:hint="eastAsia"/>
                      <w:color w:val="auto"/>
                    </w:rPr>
                    <w:t>给水</w:t>
                  </w:r>
                </w:p>
              </w:tc>
              <w:tc>
                <w:tcPr>
                  <w:tcW w:w="5656" w:type="dxa"/>
                  <w:tcBorders>
                    <w:tl2br w:val="nil"/>
                    <w:tr2bl w:val="nil"/>
                  </w:tcBorders>
                  <w:tcMar>
                    <w:top w:w="0" w:type="dxa"/>
                    <w:left w:w="57" w:type="dxa"/>
                    <w:bottom w:w="0" w:type="dxa"/>
                    <w:right w:w="57" w:type="dxa"/>
                  </w:tcMar>
                  <w:vAlign w:val="center"/>
                </w:tcPr>
                <w:p>
                  <w:pPr>
                    <w:pStyle w:val="84"/>
                    <w:rPr>
                      <w:color w:val="auto"/>
                    </w:rPr>
                  </w:pPr>
                  <w:r>
                    <w:rPr>
                      <w:rFonts w:hint="eastAsia"/>
                      <w:color w:val="auto"/>
                    </w:rPr>
                    <w:t>由市政供水</w:t>
                  </w:r>
                </w:p>
              </w:tc>
              <w:tc>
                <w:tcPr>
                  <w:tcW w:w="1011" w:type="dxa"/>
                  <w:tcBorders>
                    <w:tl2br w:val="nil"/>
                    <w:tr2bl w:val="nil"/>
                  </w:tcBorders>
                  <w:tcMar>
                    <w:top w:w="0" w:type="dxa"/>
                    <w:left w:w="57" w:type="dxa"/>
                    <w:bottom w:w="0" w:type="dxa"/>
                    <w:right w:w="57" w:type="dxa"/>
                  </w:tcMar>
                  <w:vAlign w:val="center"/>
                </w:tcPr>
                <w:p>
                  <w:pPr>
                    <w:pStyle w:val="84"/>
                    <w:rPr>
                      <w:color w:val="auto"/>
                    </w:rPr>
                  </w:pPr>
                  <w:r>
                    <w:rPr>
                      <w:rFonts w:hint="eastAsia"/>
                      <w:color w:val="auto"/>
                    </w:rPr>
                    <w:t>依托原有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 w:hRule="atLeast"/>
                <w:jc w:val="center"/>
              </w:trPr>
              <w:tc>
                <w:tcPr>
                  <w:tcW w:w="550" w:type="dxa"/>
                  <w:vMerge w:val="continue"/>
                  <w:tcBorders>
                    <w:tl2br w:val="nil"/>
                    <w:tr2bl w:val="nil"/>
                  </w:tcBorders>
                  <w:tcMar>
                    <w:top w:w="0" w:type="dxa"/>
                    <w:left w:w="57" w:type="dxa"/>
                    <w:bottom w:w="0" w:type="dxa"/>
                    <w:right w:w="57" w:type="dxa"/>
                  </w:tcMar>
                  <w:vAlign w:val="center"/>
                </w:tcPr>
                <w:p>
                  <w:pPr>
                    <w:pStyle w:val="84"/>
                    <w:rPr>
                      <w:color w:val="auto"/>
                    </w:rPr>
                  </w:pPr>
                </w:p>
              </w:tc>
              <w:tc>
                <w:tcPr>
                  <w:tcW w:w="1019" w:type="dxa"/>
                  <w:tcBorders>
                    <w:tl2br w:val="nil"/>
                    <w:tr2bl w:val="nil"/>
                  </w:tcBorders>
                  <w:tcMar>
                    <w:top w:w="0" w:type="dxa"/>
                    <w:left w:w="57" w:type="dxa"/>
                    <w:bottom w:w="0" w:type="dxa"/>
                    <w:right w:w="57" w:type="dxa"/>
                  </w:tcMar>
                  <w:vAlign w:val="center"/>
                </w:tcPr>
                <w:p>
                  <w:pPr>
                    <w:pStyle w:val="84"/>
                    <w:rPr>
                      <w:color w:val="auto"/>
                    </w:rPr>
                  </w:pPr>
                  <w:r>
                    <w:rPr>
                      <w:rFonts w:hint="eastAsia"/>
                      <w:color w:val="auto"/>
                    </w:rPr>
                    <w:t>供暖</w:t>
                  </w:r>
                  <w:r>
                    <w:rPr>
                      <w:color w:val="auto"/>
                    </w:rPr>
                    <w:t>及</w:t>
                  </w:r>
                  <w:r>
                    <w:rPr>
                      <w:rFonts w:hint="eastAsia"/>
                      <w:color w:val="auto"/>
                    </w:rPr>
                    <w:t>制冷</w:t>
                  </w:r>
                </w:p>
              </w:tc>
              <w:tc>
                <w:tcPr>
                  <w:tcW w:w="5656" w:type="dxa"/>
                  <w:tcBorders>
                    <w:tl2br w:val="nil"/>
                    <w:tr2bl w:val="nil"/>
                  </w:tcBorders>
                  <w:tcMar>
                    <w:top w:w="0" w:type="dxa"/>
                    <w:left w:w="57" w:type="dxa"/>
                    <w:bottom w:w="0" w:type="dxa"/>
                    <w:right w:w="57" w:type="dxa"/>
                  </w:tcMar>
                  <w:vAlign w:val="center"/>
                </w:tcPr>
                <w:p>
                  <w:pPr>
                    <w:pStyle w:val="84"/>
                    <w:rPr>
                      <w:color w:val="auto"/>
                    </w:rPr>
                  </w:pPr>
                  <w:r>
                    <w:rPr>
                      <w:rFonts w:hint="eastAsia"/>
                      <w:color w:val="auto"/>
                    </w:rPr>
                    <w:t>冬季</w:t>
                  </w:r>
                  <w:r>
                    <w:rPr>
                      <w:color w:val="auto"/>
                    </w:rPr>
                    <w:t>供暖及夏季制冷均采用分体式空调</w:t>
                  </w:r>
                </w:p>
              </w:tc>
              <w:tc>
                <w:tcPr>
                  <w:tcW w:w="1011" w:type="dxa"/>
                  <w:tcBorders>
                    <w:tl2br w:val="nil"/>
                    <w:tr2bl w:val="nil"/>
                  </w:tcBorders>
                  <w:tcMar>
                    <w:top w:w="0" w:type="dxa"/>
                    <w:left w:w="57" w:type="dxa"/>
                    <w:bottom w:w="0" w:type="dxa"/>
                    <w:right w:w="57" w:type="dxa"/>
                  </w:tcMar>
                  <w:vAlign w:val="center"/>
                </w:tcPr>
                <w:p>
                  <w:pPr>
                    <w:pStyle w:val="84"/>
                    <w:rPr>
                      <w:color w:val="auto"/>
                    </w:rPr>
                  </w:pPr>
                  <w:r>
                    <w:rPr>
                      <w:rFonts w:hint="eastAsia"/>
                      <w:color w:val="auto"/>
                    </w:rPr>
                    <w:t>依托原有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 w:hRule="atLeast"/>
                <w:jc w:val="center"/>
              </w:trPr>
              <w:tc>
                <w:tcPr>
                  <w:tcW w:w="550" w:type="dxa"/>
                  <w:vMerge w:val="continue"/>
                  <w:tcBorders>
                    <w:tl2br w:val="nil"/>
                    <w:tr2bl w:val="nil"/>
                  </w:tcBorders>
                  <w:tcMar>
                    <w:top w:w="0" w:type="dxa"/>
                    <w:left w:w="57" w:type="dxa"/>
                    <w:bottom w:w="0" w:type="dxa"/>
                    <w:right w:w="57" w:type="dxa"/>
                  </w:tcMar>
                  <w:vAlign w:val="center"/>
                </w:tcPr>
                <w:p>
                  <w:pPr>
                    <w:pStyle w:val="84"/>
                    <w:rPr>
                      <w:color w:val="auto"/>
                    </w:rPr>
                  </w:pPr>
                </w:p>
              </w:tc>
              <w:tc>
                <w:tcPr>
                  <w:tcW w:w="1019" w:type="dxa"/>
                  <w:tcBorders>
                    <w:tl2br w:val="nil"/>
                    <w:tr2bl w:val="nil"/>
                  </w:tcBorders>
                  <w:tcMar>
                    <w:top w:w="0" w:type="dxa"/>
                    <w:left w:w="57" w:type="dxa"/>
                    <w:bottom w:w="0" w:type="dxa"/>
                    <w:right w:w="57" w:type="dxa"/>
                  </w:tcMar>
                  <w:vAlign w:val="center"/>
                </w:tcPr>
                <w:p>
                  <w:pPr>
                    <w:pStyle w:val="84"/>
                    <w:rPr>
                      <w:color w:val="auto"/>
                    </w:rPr>
                  </w:pPr>
                  <w:r>
                    <w:rPr>
                      <w:rFonts w:hint="eastAsia"/>
                      <w:color w:val="auto"/>
                    </w:rPr>
                    <w:t>供电</w:t>
                  </w:r>
                </w:p>
              </w:tc>
              <w:tc>
                <w:tcPr>
                  <w:tcW w:w="5656" w:type="dxa"/>
                  <w:tcBorders>
                    <w:tl2br w:val="nil"/>
                    <w:tr2bl w:val="nil"/>
                  </w:tcBorders>
                  <w:tcMar>
                    <w:top w:w="0" w:type="dxa"/>
                    <w:left w:w="57" w:type="dxa"/>
                    <w:bottom w:w="0" w:type="dxa"/>
                    <w:right w:w="57" w:type="dxa"/>
                  </w:tcMar>
                  <w:vAlign w:val="center"/>
                </w:tcPr>
                <w:p>
                  <w:pPr>
                    <w:pStyle w:val="84"/>
                    <w:rPr>
                      <w:color w:val="auto"/>
                    </w:rPr>
                  </w:pPr>
                  <w:r>
                    <w:rPr>
                      <w:rFonts w:hint="eastAsia"/>
                      <w:color w:val="auto"/>
                    </w:rPr>
                    <w:t>由市政</w:t>
                  </w:r>
                  <w:r>
                    <w:rPr>
                      <w:color w:val="auto"/>
                    </w:rPr>
                    <w:t>电网接入</w:t>
                  </w:r>
                </w:p>
              </w:tc>
              <w:tc>
                <w:tcPr>
                  <w:tcW w:w="1011" w:type="dxa"/>
                  <w:tcBorders>
                    <w:tl2br w:val="nil"/>
                    <w:tr2bl w:val="nil"/>
                  </w:tcBorders>
                  <w:tcMar>
                    <w:top w:w="0" w:type="dxa"/>
                    <w:left w:w="57" w:type="dxa"/>
                    <w:bottom w:w="0" w:type="dxa"/>
                    <w:right w:w="57" w:type="dxa"/>
                  </w:tcMar>
                  <w:vAlign w:val="center"/>
                </w:tcPr>
                <w:p>
                  <w:pPr>
                    <w:pStyle w:val="84"/>
                    <w:rPr>
                      <w:color w:val="auto"/>
                    </w:rPr>
                  </w:pPr>
                  <w:r>
                    <w:rPr>
                      <w:rFonts w:hint="eastAsia"/>
                      <w:color w:val="auto"/>
                    </w:rPr>
                    <w:t>依托原有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 w:hRule="atLeast"/>
                <w:jc w:val="center"/>
              </w:trPr>
              <w:tc>
                <w:tcPr>
                  <w:tcW w:w="550" w:type="dxa"/>
                  <w:vMerge w:val="continue"/>
                  <w:tcBorders>
                    <w:tl2br w:val="nil"/>
                    <w:tr2bl w:val="nil"/>
                  </w:tcBorders>
                  <w:tcMar>
                    <w:top w:w="0" w:type="dxa"/>
                    <w:left w:w="57" w:type="dxa"/>
                    <w:bottom w:w="0" w:type="dxa"/>
                    <w:right w:w="57" w:type="dxa"/>
                  </w:tcMar>
                  <w:vAlign w:val="center"/>
                </w:tcPr>
                <w:p>
                  <w:pPr>
                    <w:pStyle w:val="84"/>
                    <w:rPr>
                      <w:color w:val="auto"/>
                    </w:rPr>
                  </w:pPr>
                </w:p>
              </w:tc>
              <w:tc>
                <w:tcPr>
                  <w:tcW w:w="1019" w:type="dxa"/>
                  <w:tcBorders>
                    <w:tl2br w:val="nil"/>
                    <w:tr2bl w:val="nil"/>
                  </w:tcBorders>
                  <w:tcMar>
                    <w:top w:w="0" w:type="dxa"/>
                    <w:left w:w="57" w:type="dxa"/>
                    <w:bottom w:w="0" w:type="dxa"/>
                    <w:right w:w="57" w:type="dxa"/>
                  </w:tcMar>
                  <w:vAlign w:val="center"/>
                </w:tcPr>
                <w:p>
                  <w:pPr>
                    <w:pStyle w:val="84"/>
                    <w:rPr>
                      <w:color w:val="auto"/>
                    </w:rPr>
                  </w:pPr>
                  <w:r>
                    <w:rPr>
                      <w:rFonts w:hint="eastAsia"/>
                      <w:color w:val="auto"/>
                    </w:rPr>
                    <w:t>排水</w:t>
                  </w:r>
                </w:p>
              </w:tc>
              <w:tc>
                <w:tcPr>
                  <w:tcW w:w="5656" w:type="dxa"/>
                  <w:tcBorders>
                    <w:tl2br w:val="nil"/>
                    <w:tr2bl w:val="nil"/>
                  </w:tcBorders>
                  <w:tcMar>
                    <w:top w:w="0" w:type="dxa"/>
                    <w:left w:w="57" w:type="dxa"/>
                    <w:bottom w:w="0" w:type="dxa"/>
                    <w:right w:w="57" w:type="dxa"/>
                  </w:tcMar>
                  <w:vAlign w:val="center"/>
                </w:tcPr>
                <w:p>
                  <w:pPr>
                    <w:pStyle w:val="84"/>
                    <w:rPr>
                      <w:color w:val="auto"/>
                    </w:rPr>
                  </w:pPr>
                  <w:r>
                    <w:rPr>
                      <w:rFonts w:hint="eastAsia"/>
                      <w:color w:val="auto"/>
                    </w:rPr>
                    <w:t>项目排水采用雨、污分流。本项目不新增员工，不新增生活污水，生产用水主要为冷却水、制粒用水、喷淋用水，冷却用水和喷淋用水循环使用不外排，制粒用水进入制粒颗粒中。</w:t>
                  </w:r>
                </w:p>
              </w:tc>
              <w:tc>
                <w:tcPr>
                  <w:tcW w:w="1011" w:type="dxa"/>
                  <w:tcBorders>
                    <w:tl2br w:val="nil"/>
                    <w:tr2bl w:val="nil"/>
                  </w:tcBorders>
                  <w:tcMar>
                    <w:top w:w="0" w:type="dxa"/>
                    <w:left w:w="57" w:type="dxa"/>
                    <w:bottom w:w="0" w:type="dxa"/>
                    <w:right w:w="57" w:type="dxa"/>
                  </w:tcMar>
                  <w:vAlign w:val="center"/>
                </w:tcPr>
                <w:p>
                  <w:pPr>
                    <w:pStyle w:val="84"/>
                    <w:rPr>
                      <w:color w:val="auto"/>
                    </w:rPr>
                  </w:pPr>
                  <w:r>
                    <w:rPr>
                      <w:rFonts w:hint="eastAsia"/>
                      <w:color w:val="auto"/>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550" w:type="dxa"/>
                  <w:vMerge w:val="restart"/>
                  <w:tcBorders>
                    <w:tl2br w:val="nil"/>
                    <w:tr2bl w:val="nil"/>
                  </w:tcBorders>
                  <w:tcMar>
                    <w:top w:w="0" w:type="dxa"/>
                    <w:left w:w="57" w:type="dxa"/>
                    <w:bottom w:w="0" w:type="dxa"/>
                    <w:right w:w="57" w:type="dxa"/>
                  </w:tcMar>
                  <w:vAlign w:val="center"/>
                </w:tcPr>
                <w:p>
                  <w:pPr>
                    <w:pStyle w:val="84"/>
                    <w:rPr>
                      <w:color w:val="auto"/>
                    </w:rPr>
                  </w:pPr>
                  <w:r>
                    <w:rPr>
                      <w:rFonts w:hint="eastAsia"/>
                      <w:color w:val="auto"/>
                    </w:rPr>
                    <w:t>环保工程</w:t>
                  </w:r>
                </w:p>
              </w:tc>
              <w:tc>
                <w:tcPr>
                  <w:tcW w:w="1019" w:type="dxa"/>
                  <w:tcBorders>
                    <w:tl2br w:val="nil"/>
                    <w:tr2bl w:val="nil"/>
                  </w:tcBorders>
                  <w:tcMar>
                    <w:top w:w="0" w:type="dxa"/>
                    <w:left w:w="57" w:type="dxa"/>
                    <w:bottom w:w="0" w:type="dxa"/>
                    <w:right w:w="57" w:type="dxa"/>
                  </w:tcMar>
                  <w:vAlign w:val="center"/>
                </w:tcPr>
                <w:p>
                  <w:pPr>
                    <w:pStyle w:val="84"/>
                    <w:rPr>
                      <w:color w:val="auto"/>
                    </w:rPr>
                  </w:pPr>
                  <w:r>
                    <w:rPr>
                      <w:rFonts w:hint="eastAsia"/>
                      <w:color w:val="auto"/>
                    </w:rPr>
                    <w:t>废气</w:t>
                  </w:r>
                </w:p>
              </w:tc>
              <w:tc>
                <w:tcPr>
                  <w:tcW w:w="5656" w:type="dxa"/>
                  <w:tcBorders>
                    <w:tl2br w:val="nil"/>
                    <w:tr2bl w:val="nil"/>
                  </w:tcBorders>
                  <w:tcMar>
                    <w:top w:w="0" w:type="dxa"/>
                    <w:left w:w="57" w:type="dxa"/>
                    <w:bottom w:w="0" w:type="dxa"/>
                    <w:right w:w="57" w:type="dxa"/>
                  </w:tcMar>
                  <w:vAlign w:val="center"/>
                </w:tcPr>
                <w:p>
                  <w:pPr>
                    <w:pStyle w:val="84"/>
                    <w:rPr>
                      <w:color w:val="auto"/>
                    </w:rPr>
                  </w:pPr>
                  <w:r>
                    <w:rPr>
                      <w:rFonts w:hint="eastAsia"/>
                      <w:color w:val="auto"/>
                    </w:rPr>
                    <w:t>制粒粉尘经集气罩收集后采用1套布袋除尘器处理后由15m排气筒进行排放；烘干粉尘采用集气罩收集后经喷淋装置处理后经除雾器除雾后由20m高排气筒进行排放；熔融粉尘经集气罩+防火软帘收集后采用1套布袋除尘器处理后由15m排气筒进行排放；烘干异味经活性炭吸附装置进行处理；</w:t>
                  </w:r>
                </w:p>
              </w:tc>
              <w:tc>
                <w:tcPr>
                  <w:tcW w:w="1011" w:type="dxa"/>
                  <w:tcBorders>
                    <w:tl2br w:val="nil"/>
                    <w:tr2bl w:val="nil"/>
                  </w:tcBorders>
                  <w:tcMar>
                    <w:top w:w="0" w:type="dxa"/>
                    <w:left w:w="57" w:type="dxa"/>
                    <w:bottom w:w="0" w:type="dxa"/>
                    <w:right w:w="57" w:type="dxa"/>
                  </w:tcMar>
                  <w:vAlign w:val="center"/>
                </w:tcPr>
                <w:p>
                  <w:pPr>
                    <w:pStyle w:val="84"/>
                    <w:rPr>
                      <w:color w:val="auto"/>
                    </w:rPr>
                  </w:pPr>
                  <w:r>
                    <w:rPr>
                      <w:rFonts w:hint="eastAsia"/>
                      <w:color w:val="auto"/>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550" w:type="dxa"/>
                  <w:vMerge w:val="continue"/>
                  <w:tcBorders>
                    <w:tl2br w:val="nil"/>
                    <w:tr2bl w:val="nil"/>
                  </w:tcBorders>
                  <w:tcMar>
                    <w:top w:w="0" w:type="dxa"/>
                    <w:left w:w="57" w:type="dxa"/>
                    <w:bottom w:w="0" w:type="dxa"/>
                    <w:right w:w="57" w:type="dxa"/>
                  </w:tcMar>
                  <w:vAlign w:val="center"/>
                </w:tcPr>
                <w:p>
                  <w:pPr>
                    <w:pStyle w:val="84"/>
                    <w:rPr>
                      <w:color w:val="auto"/>
                    </w:rPr>
                  </w:pPr>
                </w:p>
              </w:tc>
              <w:tc>
                <w:tcPr>
                  <w:tcW w:w="1019" w:type="dxa"/>
                  <w:tcBorders>
                    <w:tl2br w:val="nil"/>
                    <w:tr2bl w:val="nil"/>
                  </w:tcBorders>
                  <w:tcMar>
                    <w:top w:w="0" w:type="dxa"/>
                    <w:left w:w="57" w:type="dxa"/>
                    <w:bottom w:w="0" w:type="dxa"/>
                    <w:right w:w="57" w:type="dxa"/>
                  </w:tcMar>
                  <w:vAlign w:val="center"/>
                </w:tcPr>
                <w:p>
                  <w:pPr>
                    <w:pStyle w:val="84"/>
                    <w:rPr>
                      <w:color w:val="auto"/>
                    </w:rPr>
                  </w:pPr>
                  <w:r>
                    <w:rPr>
                      <w:rFonts w:hint="eastAsia"/>
                      <w:color w:val="auto"/>
                    </w:rPr>
                    <w:t>废水</w:t>
                  </w:r>
                </w:p>
              </w:tc>
              <w:tc>
                <w:tcPr>
                  <w:tcW w:w="5656" w:type="dxa"/>
                  <w:tcBorders>
                    <w:tl2br w:val="nil"/>
                    <w:tr2bl w:val="nil"/>
                  </w:tcBorders>
                  <w:tcMar>
                    <w:top w:w="0" w:type="dxa"/>
                    <w:left w:w="57" w:type="dxa"/>
                    <w:bottom w:w="0" w:type="dxa"/>
                    <w:right w:w="57" w:type="dxa"/>
                  </w:tcMar>
                  <w:vAlign w:val="center"/>
                </w:tcPr>
                <w:p>
                  <w:pPr>
                    <w:pStyle w:val="84"/>
                    <w:rPr>
                      <w:color w:val="auto"/>
                    </w:rPr>
                  </w:pPr>
                  <w:r>
                    <w:rPr>
                      <w:rFonts w:hint="eastAsia"/>
                      <w:color w:val="auto"/>
                    </w:rPr>
                    <w:t>本项目不新增生活污水；其中冷却用水和喷淋用水循环使用不外排，制粒用水进行制粒颗粒中。</w:t>
                  </w:r>
                </w:p>
              </w:tc>
              <w:tc>
                <w:tcPr>
                  <w:tcW w:w="1011" w:type="dxa"/>
                  <w:tcBorders>
                    <w:tl2br w:val="nil"/>
                    <w:tr2bl w:val="nil"/>
                  </w:tcBorders>
                  <w:tcMar>
                    <w:top w:w="0" w:type="dxa"/>
                    <w:left w:w="57" w:type="dxa"/>
                    <w:bottom w:w="0" w:type="dxa"/>
                    <w:right w:w="57" w:type="dxa"/>
                  </w:tcMar>
                  <w:vAlign w:val="center"/>
                </w:tcPr>
                <w:p>
                  <w:pPr>
                    <w:pStyle w:val="84"/>
                    <w:rPr>
                      <w:color w:val="auto"/>
                    </w:rPr>
                  </w:pPr>
                  <w:r>
                    <w:rPr>
                      <w:rFonts w:hint="eastAsia"/>
                      <w:color w:val="auto"/>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550" w:type="dxa"/>
                  <w:vMerge w:val="continue"/>
                  <w:tcBorders>
                    <w:tl2br w:val="nil"/>
                    <w:tr2bl w:val="nil"/>
                  </w:tcBorders>
                  <w:tcMar>
                    <w:top w:w="0" w:type="dxa"/>
                    <w:left w:w="57" w:type="dxa"/>
                    <w:bottom w:w="0" w:type="dxa"/>
                    <w:right w:w="57" w:type="dxa"/>
                  </w:tcMar>
                  <w:vAlign w:val="center"/>
                </w:tcPr>
                <w:p>
                  <w:pPr>
                    <w:pStyle w:val="84"/>
                    <w:rPr>
                      <w:color w:val="auto"/>
                    </w:rPr>
                  </w:pPr>
                </w:p>
              </w:tc>
              <w:tc>
                <w:tcPr>
                  <w:tcW w:w="1019" w:type="dxa"/>
                  <w:tcBorders>
                    <w:tl2br w:val="nil"/>
                    <w:tr2bl w:val="nil"/>
                  </w:tcBorders>
                  <w:tcMar>
                    <w:top w:w="0" w:type="dxa"/>
                    <w:left w:w="57" w:type="dxa"/>
                    <w:bottom w:w="0" w:type="dxa"/>
                    <w:right w:w="57" w:type="dxa"/>
                  </w:tcMar>
                  <w:vAlign w:val="center"/>
                </w:tcPr>
                <w:p>
                  <w:pPr>
                    <w:pStyle w:val="84"/>
                    <w:rPr>
                      <w:color w:val="auto"/>
                    </w:rPr>
                  </w:pPr>
                  <w:r>
                    <w:rPr>
                      <w:rFonts w:hint="eastAsia"/>
                      <w:color w:val="auto"/>
                    </w:rPr>
                    <w:t>噪声</w:t>
                  </w:r>
                </w:p>
              </w:tc>
              <w:tc>
                <w:tcPr>
                  <w:tcW w:w="5656" w:type="dxa"/>
                  <w:tcBorders>
                    <w:tl2br w:val="nil"/>
                    <w:tr2bl w:val="nil"/>
                  </w:tcBorders>
                  <w:tcMar>
                    <w:top w:w="0" w:type="dxa"/>
                    <w:left w:w="57" w:type="dxa"/>
                    <w:bottom w:w="0" w:type="dxa"/>
                    <w:right w:w="57" w:type="dxa"/>
                  </w:tcMar>
                  <w:vAlign w:val="center"/>
                </w:tcPr>
                <w:p>
                  <w:pPr>
                    <w:pStyle w:val="84"/>
                    <w:rPr>
                      <w:color w:val="auto"/>
                    </w:rPr>
                  </w:pPr>
                  <w:r>
                    <w:rPr>
                      <w:rFonts w:hint="eastAsia"/>
                      <w:color w:val="auto"/>
                    </w:rPr>
                    <w:t>设备</w:t>
                  </w:r>
                  <w:r>
                    <w:rPr>
                      <w:color w:val="auto"/>
                    </w:rPr>
                    <w:t>噪声采用基础减振，隔音等措施</w:t>
                  </w:r>
                </w:p>
              </w:tc>
              <w:tc>
                <w:tcPr>
                  <w:tcW w:w="1011" w:type="dxa"/>
                  <w:tcBorders>
                    <w:tl2br w:val="nil"/>
                    <w:tr2bl w:val="nil"/>
                  </w:tcBorders>
                  <w:tcMar>
                    <w:top w:w="0" w:type="dxa"/>
                    <w:left w:w="57" w:type="dxa"/>
                    <w:bottom w:w="0" w:type="dxa"/>
                    <w:right w:w="57" w:type="dxa"/>
                  </w:tcMar>
                  <w:vAlign w:val="center"/>
                </w:tcPr>
                <w:p>
                  <w:pPr>
                    <w:pStyle w:val="84"/>
                    <w:rPr>
                      <w:color w:val="auto"/>
                    </w:rPr>
                  </w:pPr>
                  <w:r>
                    <w:rPr>
                      <w:rFonts w:hint="eastAsia"/>
                      <w:color w:val="auto"/>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550" w:type="dxa"/>
                  <w:vMerge w:val="continue"/>
                  <w:tcBorders>
                    <w:tl2br w:val="nil"/>
                    <w:tr2bl w:val="nil"/>
                  </w:tcBorders>
                  <w:tcMar>
                    <w:top w:w="0" w:type="dxa"/>
                    <w:left w:w="57" w:type="dxa"/>
                    <w:bottom w:w="0" w:type="dxa"/>
                    <w:right w:w="57" w:type="dxa"/>
                  </w:tcMar>
                  <w:vAlign w:val="center"/>
                </w:tcPr>
                <w:p>
                  <w:pPr>
                    <w:pStyle w:val="84"/>
                    <w:rPr>
                      <w:color w:val="auto"/>
                    </w:rPr>
                  </w:pPr>
                </w:p>
              </w:tc>
              <w:tc>
                <w:tcPr>
                  <w:tcW w:w="1019" w:type="dxa"/>
                  <w:vMerge w:val="restart"/>
                  <w:tcBorders>
                    <w:tl2br w:val="nil"/>
                    <w:tr2bl w:val="nil"/>
                  </w:tcBorders>
                  <w:tcMar>
                    <w:top w:w="0" w:type="dxa"/>
                    <w:left w:w="57" w:type="dxa"/>
                    <w:bottom w:w="0" w:type="dxa"/>
                    <w:right w:w="57" w:type="dxa"/>
                  </w:tcMar>
                  <w:vAlign w:val="center"/>
                </w:tcPr>
                <w:p>
                  <w:pPr>
                    <w:pStyle w:val="84"/>
                    <w:rPr>
                      <w:color w:val="auto"/>
                    </w:rPr>
                  </w:pPr>
                  <w:r>
                    <w:rPr>
                      <w:rFonts w:hint="eastAsia"/>
                      <w:color w:val="auto"/>
                    </w:rPr>
                    <w:t>固废</w:t>
                  </w:r>
                </w:p>
              </w:tc>
              <w:tc>
                <w:tcPr>
                  <w:tcW w:w="5656" w:type="dxa"/>
                  <w:tcBorders>
                    <w:tl2br w:val="nil"/>
                    <w:tr2bl w:val="nil"/>
                  </w:tcBorders>
                  <w:tcMar>
                    <w:top w:w="0" w:type="dxa"/>
                    <w:left w:w="57" w:type="dxa"/>
                    <w:bottom w:w="0" w:type="dxa"/>
                    <w:right w:w="57" w:type="dxa"/>
                  </w:tcMar>
                  <w:vAlign w:val="center"/>
                </w:tcPr>
                <w:p>
                  <w:pPr>
                    <w:pStyle w:val="84"/>
                    <w:rPr>
                      <w:color w:val="auto"/>
                    </w:rPr>
                  </w:pPr>
                  <w:r>
                    <w:rPr>
                      <w:rFonts w:hint="eastAsia"/>
                      <w:color w:val="auto"/>
                    </w:rPr>
                    <w:t>除尘灰及地面粉尘经收集后回用于制粒环节，炉渣经收集后外售作为硅合金原料；废原料包装材料经收集后交由厂家回收利用；</w:t>
                  </w:r>
                </w:p>
              </w:tc>
              <w:tc>
                <w:tcPr>
                  <w:tcW w:w="1011" w:type="dxa"/>
                  <w:tcBorders>
                    <w:tl2br w:val="nil"/>
                    <w:tr2bl w:val="nil"/>
                  </w:tcBorders>
                  <w:tcMar>
                    <w:top w:w="0" w:type="dxa"/>
                    <w:left w:w="57" w:type="dxa"/>
                    <w:bottom w:w="0" w:type="dxa"/>
                    <w:right w:w="57" w:type="dxa"/>
                  </w:tcMar>
                  <w:vAlign w:val="center"/>
                </w:tcPr>
                <w:p>
                  <w:pPr>
                    <w:pStyle w:val="84"/>
                    <w:rPr>
                      <w:color w:val="auto"/>
                    </w:rPr>
                  </w:pPr>
                  <w:r>
                    <w:rPr>
                      <w:rFonts w:hint="eastAsia"/>
                      <w:color w:val="auto"/>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550" w:type="dxa"/>
                  <w:vMerge w:val="continue"/>
                  <w:tcBorders>
                    <w:tl2br w:val="nil"/>
                    <w:tr2bl w:val="nil"/>
                  </w:tcBorders>
                  <w:tcMar>
                    <w:top w:w="0" w:type="dxa"/>
                    <w:left w:w="57" w:type="dxa"/>
                    <w:bottom w:w="0" w:type="dxa"/>
                    <w:right w:w="57" w:type="dxa"/>
                  </w:tcMar>
                  <w:vAlign w:val="center"/>
                </w:tcPr>
                <w:p>
                  <w:pPr>
                    <w:pStyle w:val="84"/>
                    <w:rPr>
                      <w:color w:val="auto"/>
                    </w:rPr>
                  </w:pPr>
                </w:p>
              </w:tc>
              <w:tc>
                <w:tcPr>
                  <w:tcW w:w="1019" w:type="dxa"/>
                  <w:vMerge w:val="continue"/>
                  <w:tcBorders>
                    <w:tl2br w:val="nil"/>
                    <w:tr2bl w:val="nil"/>
                  </w:tcBorders>
                  <w:tcMar>
                    <w:top w:w="0" w:type="dxa"/>
                    <w:left w:w="57" w:type="dxa"/>
                    <w:bottom w:w="0" w:type="dxa"/>
                    <w:right w:w="57" w:type="dxa"/>
                  </w:tcMar>
                  <w:vAlign w:val="center"/>
                </w:tcPr>
                <w:p>
                  <w:pPr>
                    <w:pStyle w:val="84"/>
                    <w:rPr>
                      <w:color w:val="auto"/>
                    </w:rPr>
                  </w:pPr>
                </w:p>
              </w:tc>
              <w:tc>
                <w:tcPr>
                  <w:tcW w:w="5656" w:type="dxa"/>
                  <w:tcBorders>
                    <w:tl2br w:val="nil"/>
                    <w:tr2bl w:val="nil"/>
                  </w:tcBorders>
                  <w:tcMar>
                    <w:top w:w="0" w:type="dxa"/>
                    <w:left w:w="57" w:type="dxa"/>
                    <w:bottom w:w="0" w:type="dxa"/>
                    <w:right w:w="57" w:type="dxa"/>
                  </w:tcMar>
                  <w:vAlign w:val="center"/>
                </w:tcPr>
                <w:p>
                  <w:pPr>
                    <w:pStyle w:val="84"/>
                    <w:rPr>
                      <w:color w:val="auto"/>
                    </w:rPr>
                  </w:pPr>
                  <w:r>
                    <w:rPr>
                      <w:rFonts w:hint="eastAsia"/>
                      <w:color w:val="auto"/>
                    </w:rPr>
                    <w:t>废机油、废油桶经收集后依托厂区已设的危废暂存间定期交由有资质单位处置</w:t>
                  </w:r>
                </w:p>
              </w:tc>
              <w:tc>
                <w:tcPr>
                  <w:tcW w:w="1011" w:type="dxa"/>
                  <w:tcBorders>
                    <w:tl2br w:val="nil"/>
                    <w:tr2bl w:val="nil"/>
                  </w:tcBorders>
                  <w:tcMar>
                    <w:top w:w="0" w:type="dxa"/>
                    <w:left w:w="57" w:type="dxa"/>
                    <w:bottom w:w="0" w:type="dxa"/>
                    <w:right w:w="57" w:type="dxa"/>
                  </w:tcMar>
                  <w:vAlign w:val="center"/>
                </w:tcPr>
                <w:p>
                  <w:pPr>
                    <w:pStyle w:val="84"/>
                    <w:rPr>
                      <w:color w:val="auto"/>
                    </w:rPr>
                  </w:pPr>
                  <w:r>
                    <w:rPr>
                      <w:rFonts w:hint="eastAsia"/>
                      <w:color w:val="auto"/>
                    </w:rPr>
                    <w:t>危废暂存间依托原有</w:t>
                  </w:r>
                </w:p>
              </w:tc>
            </w:tr>
          </w:tbl>
          <w:p>
            <w:pPr>
              <w:widowControl/>
              <w:adjustRightInd w:val="0"/>
              <w:snapToGrid w:val="0"/>
              <w:ind w:left="480" w:leftChars="200" w:firstLine="0" w:firstLineChars="0"/>
              <w:rPr>
                <w:bCs/>
              </w:rPr>
            </w:pPr>
            <w:r>
              <w:rPr>
                <w:rFonts w:hint="eastAsia"/>
                <w:bCs/>
              </w:rPr>
              <w:t>2、</w:t>
            </w:r>
            <w:r>
              <w:rPr>
                <w:bCs/>
              </w:rPr>
              <w:t>主要产品及产能</w:t>
            </w:r>
          </w:p>
          <w:p>
            <w:pPr>
              <w:pStyle w:val="25"/>
              <w:widowControl/>
              <w:ind w:left="0" w:leftChars="0" w:firstLine="480"/>
            </w:pPr>
            <w:r>
              <w:rPr>
                <w:rFonts w:hint="eastAsia"/>
              </w:rPr>
              <w:t>本项目主要产品为废硅泥、硅粉再加工，产品主要为高纯硅，详细情况见表2-2。</w:t>
            </w:r>
          </w:p>
          <w:p>
            <w:pPr>
              <w:pStyle w:val="8"/>
              <w:spacing w:before="0" w:after="0" w:line="240" w:lineRule="auto"/>
              <w:ind w:right="0" w:firstLine="422"/>
              <w:jc w:val="center"/>
              <w:rPr>
                <w:b/>
                <w:bCs/>
                <w:sz w:val="21"/>
                <w:szCs w:val="16"/>
              </w:rPr>
            </w:pPr>
            <w:r>
              <w:rPr>
                <w:rFonts w:hint="eastAsia"/>
                <w:b/>
                <w:bCs/>
                <w:sz w:val="21"/>
                <w:szCs w:val="16"/>
              </w:rPr>
              <w:t>表2-2项目主要产品及产能一览表</w:t>
            </w:r>
          </w:p>
          <w:tbl>
            <w:tblPr>
              <w:tblStyle w:val="36"/>
              <w:tblW w:w="82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1"/>
              <w:gridCol w:w="2893"/>
              <w:gridCol w:w="1917"/>
              <w:gridCol w:w="2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411" w:type="dxa"/>
                  <w:tcBorders>
                    <w:tl2br w:val="nil"/>
                    <w:tr2bl w:val="nil"/>
                  </w:tcBorders>
                  <w:vAlign w:val="center"/>
                </w:tcPr>
                <w:p>
                  <w:pPr>
                    <w:pStyle w:val="3"/>
                    <w:numPr>
                      <w:ilvl w:val="1"/>
                      <w:numId w:val="0"/>
                    </w:numPr>
                    <w:adjustRightInd w:val="0"/>
                    <w:spacing w:before="0" w:after="0" w:line="240" w:lineRule="auto"/>
                    <w:jc w:val="center"/>
                    <w:rPr>
                      <w:rFonts w:hint="default" w:ascii="Times New Roman" w:hAnsi="Times New Roman"/>
                      <w:b w:val="0"/>
                      <w:sz w:val="21"/>
                      <w:szCs w:val="21"/>
                    </w:rPr>
                  </w:pPr>
                  <w:r>
                    <w:rPr>
                      <w:rFonts w:hint="default" w:ascii="Times New Roman" w:hAnsi="Times New Roman"/>
                      <w:b w:val="0"/>
                      <w:sz w:val="21"/>
                      <w:szCs w:val="21"/>
                    </w:rPr>
                    <w:t>序号</w:t>
                  </w:r>
                </w:p>
              </w:tc>
              <w:tc>
                <w:tcPr>
                  <w:tcW w:w="2893" w:type="dxa"/>
                  <w:tcBorders>
                    <w:tl2br w:val="nil"/>
                    <w:tr2bl w:val="nil"/>
                  </w:tcBorders>
                  <w:vAlign w:val="center"/>
                </w:tcPr>
                <w:p>
                  <w:pPr>
                    <w:pStyle w:val="3"/>
                    <w:numPr>
                      <w:ilvl w:val="1"/>
                      <w:numId w:val="0"/>
                    </w:numPr>
                    <w:adjustRightInd w:val="0"/>
                    <w:spacing w:before="0" w:after="0" w:line="240" w:lineRule="auto"/>
                    <w:jc w:val="center"/>
                    <w:rPr>
                      <w:rFonts w:hint="default" w:ascii="Times New Roman" w:hAnsi="Times New Roman"/>
                      <w:b w:val="0"/>
                      <w:sz w:val="21"/>
                      <w:szCs w:val="21"/>
                    </w:rPr>
                  </w:pPr>
                  <w:r>
                    <w:rPr>
                      <w:rFonts w:hint="default" w:ascii="Times New Roman" w:hAnsi="Times New Roman"/>
                      <w:b w:val="0"/>
                      <w:sz w:val="21"/>
                      <w:szCs w:val="21"/>
                    </w:rPr>
                    <w:t>产品</w:t>
                  </w:r>
                </w:p>
              </w:tc>
              <w:tc>
                <w:tcPr>
                  <w:tcW w:w="1917" w:type="dxa"/>
                  <w:tcBorders>
                    <w:tl2br w:val="nil"/>
                    <w:tr2bl w:val="nil"/>
                  </w:tcBorders>
                  <w:vAlign w:val="center"/>
                </w:tcPr>
                <w:p>
                  <w:pPr>
                    <w:pStyle w:val="3"/>
                    <w:numPr>
                      <w:ilvl w:val="1"/>
                      <w:numId w:val="0"/>
                    </w:numPr>
                    <w:adjustRightInd w:val="0"/>
                    <w:spacing w:before="0" w:after="0" w:line="240" w:lineRule="auto"/>
                    <w:jc w:val="center"/>
                    <w:rPr>
                      <w:rFonts w:hint="default" w:ascii="Times New Roman" w:hAnsi="Times New Roman"/>
                      <w:b w:val="0"/>
                      <w:sz w:val="21"/>
                      <w:szCs w:val="21"/>
                    </w:rPr>
                  </w:pPr>
                  <w:r>
                    <w:rPr>
                      <w:rFonts w:hint="default" w:ascii="Times New Roman" w:hAnsi="Times New Roman"/>
                      <w:b w:val="0"/>
                      <w:sz w:val="21"/>
                      <w:szCs w:val="21"/>
                    </w:rPr>
                    <w:t>年产量</w:t>
                  </w:r>
                </w:p>
              </w:tc>
              <w:tc>
                <w:tcPr>
                  <w:tcW w:w="2015" w:type="dxa"/>
                  <w:tcBorders>
                    <w:tl2br w:val="nil"/>
                    <w:tr2bl w:val="nil"/>
                  </w:tcBorders>
                  <w:vAlign w:val="center"/>
                </w:tcPr>
                <w:p>
                  <w:pPr>
                    <w:pStyle w:val="3"/>
                    <w:numPr>
                      <w:ilvl w:val="1"/>
                      <w:numId w:val="0"/>
                    </w:numPr>
                    <w:adjustRightInd w:val="0"/>
                    <w:spacing w:before="0" w:after="0" w:line="240" w:lineRule="auto"/>
                    <w:jc w:val="center"/>
                    <w:rPr>
                      <w:rFonts w:hint="default" w:ascii="Times New Roman" w:hAnsi="Times New Roman"/>
                      <w:b w:val="0"/>
                      <w:sz w:val="21"/>
                      <w:szCs w:val="21"/>
                    </w:rPr>
                  </w:pPr>
                  <w:r>
                    <w:rPr>
                      <w:rFonts w:hint="default" w:ascii="Times New Roman" w:hAnsi="Times New Roman"/>
                      <w:b w:val="0"/>
                      <w:sz w:val="2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411" w:type="dxa"/>
                  <w:tcBorders>
                    <w:tl2br w:val="nil"/>
                    <w:tr2bl w:val="nil"/>
                  </w:tcBorders>
                  <w:vAlign w:val="center"/>
                </w:tcPr>
                <w:p>
                  <w:pPr>
                    <w:pStyle w:val="3"/>
                    <w:numPr>
                      <w:ilvl w:val="1"/>
                      <w:numId w:val="0"/>
                    </w:numPr>
                    <w:adjustRightInd w:val="0"/>
                    <w:spacing w:before="0" w:after="0" w:line="240" w:lineRule="auto"/>
                    <w:jc w:val="center"/>
                    <w:rPr>
                      <w:rFonts w:hint="default" w:ascii="Times New Roman" w:hAnsi="Times New Roman"/>
                      <w:b w:val="0"/>
                      <w:sz w:val="21"/>
                      <w:szCs w:val="21"/>
                    </w:rPr>
                  </w:pPr>
                  <w:r>
                    <w:rPr>
                      <w:rFonts w:ascii="Times New Roman" w:hAnsi="Times New Roman"/>
                      <w:b w:val="0"/>
                      <w:sz w:val="21"/>
                      <w:szCs w:val="21"/>
                    </w:rPr>
                    <w:t>1</w:t>
                  </w:r>
                </w:p>
              </w:tc>
              <w:tc>
                <w:tcPr>
                  <w:tcW w:w="2893" w:type="dxa"/>
                  <w:tcBorders>
                    <w:tl2br w:val="nil"/>
                    <w:tr2bl w:val="nil"/>
                  </w:tcBorders>
                  <w:vAlign w:val="center"/>
                </w:tcPr>
                <w:p>
                  <w:pPr>
                    <w:pStyle w:val="3"/>
                    <w:numPr>
                      <w:ilvl w:val="1"/>
                      <w:numId w:val="0"/>
                    </w:numPr>
                    <w:adjustRightInd w:val="0"/>
                    <w:spacing w:before="0" w:after="0" w:line="240" w:lineRule="auto"/>
                    <w:jc w:val="center"/>
                    <w:rPr>
                      <w:rFonts w:hint="default" w:ascii="Times New Roman" w:hAnsi="Times New Roman"/>
                      <w:b w:val="0"/>
                      <w:sz w:val="21"/>
                      <w:szCs w:val="21"/>
                    </w:rPr>
                  </w:pPr>
                  <w:r>
                    <w:rPr>
                      <w:rFonts w:hint="default" w:ascii="Times New Roman" w:hAnsi="Times New Roman"/>
                      <w:b w:val="0"/>
                      <w:sz w:val="21"/>
                      <w:szCs w:val="21"/>
                    </w:rPr>
                    <w:t>高纯硅（99.0%）</w:t>
                  </w:r>
                </w:p>
              </w:tc>
              <w:tc>
                <w:tcPr>
                  <w:tcW w:w="1917" w:type="dxa"/>
                  <w:tcBorders>
                    <w:tl2br w:val="nil"/>
                    <w:tr2bl w:val="nil"/>
                  </w:tcBorders>
                  <w:vAlign w:val="center"/>
                </w:tcPr>
                <w:p>
                  <w:pPr>
                    <w:pStyle w:val="91"/>
                  </w:pPr>
                  <w:r>
                    <w:t>2</w:t>
                  </w:r>
                </w:p>
              </w:tc>
              <w:tc>
                <w:tcPr>
                  <w:tcW w:w="2015" w:type="dxa"/>
                  <w:tcBorders>
                    <w:tl2br w:val="nil"/>
                    <w:tr2bl w:val="nil"/>
                  </w:tcBorders>
                  <w:vAlign w:val="center"/>
                </w:tcPr>
                <w:p>
                  <w:pPr>
                    <w:pStyle w:val="91"/>
                  </w:pPr>
                  <w:r>
                    <w:t>万t/a</w:t>
                  </w:r>
                </w:p>
              </w:tc>
            </w:tr>
          </w:tbl>
          <w:p>
            <w:pPr>
              <w:widowControl/>
              <w:adjustRightInd w:val="0"/>
              <w:snapToGrid w:val="0"/>
              <w:ind w:left="480" w:leftChars="200" w:firstLine="0" w:firstLineChars="0"/>
              <w:rPr>
                <w:bCs/>
              </w:rPr>
            </w:pPr>
            <w:r>
              <w:rPr>
                <w:rFonts w:hint="eastAsia"/>
                <w:bCs/>
              </w:rPr>
              <w:t>3、</w:t>
            </w:r>
            <w:r>
              <w:rPr>
                <w:bCs/>
              </w:rPr>
              <w:t>主要原辅材料及燃料的种类和用量</w:t>
            </w:r>
          </w:p>
          <w:p>
            <w:pPr>
              <w:pStyle w:val="18"/>
              <w:adjustRightInd w:val="0"/>
              <w:snapToGrid w:val="0"/>
              <w:spacing w:line="360" w:lineRule="auto"/>
              <w:ind w:left="0" w:right="0"/>
              <w:jc w:val="both"/>
              <w:rPr>
                <w:b w:val="0"/>
                <w:bCs/>
                <w:sz w:val="24"/>
                <w:szCs w:val="24"/>
              </w:rPr>
            </w:pPr>
            <w:r>
              <w:rPr>
                <w:b w:val="0"/>
                <w:bCs/>
                <w:sz w:val="24"/>
                <w:szCs w:val="24"/>
              </w:rPr>
              <w:t>本项目原料主要为</w:t>
            </w:r>
            <w:r>
              <w:rPr>
                <w:rFonts w:hint="eastAsia"/>
                <w:b w:val="0"/>
                <w:bCs/>
                <w:sz w:val="24"/>
                <w:szCs w:val="24"/>
              </w:rPr>
              <w:t>废硅泥、废硅粉，</w:t>
            </w:r>
            <w:r>
              <w:rPr>
                <w:b w:val="0"/>
                <w:bCs/>
                <w:sz w:val="24"/>
                <w:szCs w:val="24"/>
              </w:rPr>
              <w:t>主要</w:t>
            </w:r>
            <w:r>
              <w:rPr>
                <w:rFonts w:hint="eastAsia"/>
                <w:b w:val="0"/>
                <w:bCs/>
                <w:sz w:val="24"/>
                <w:szCs w:val="24"/>
              </w:rPr>
              <w:t>来自于四川恒玖鼎贸易有限公司，项目</w:t>
            </w:r>
            <w:r>
              <w:rPr>
                <w:b w:val="0"/>
                <w:bCs/>
                <w:sz w:val="24"/>
                <w:szCs w:val="24"/>
              </w:rPr>
              <w:t>原辅材料及能源消耗见表</w:t>
            </w:r>
            <w:r>
              <w:rPr>
                <w:rFonts w:hint="eastAsia"/>
                <w:b w:val="0"/>
                <w:bCs/>
                <w:sz w:val="24"/>
                <w:szCs w:val="24"/>
              </w:rPr>
              <w:t>2-3</w:t>
            </w:r>
            <w:r>
              <w:rPr>
                <w:b w:val="0"/>
                <w:bCs/>
                <w:sz w:val="24"/>
                <w:szCs w:val="24"/>
              </w:rPr>
              <w:t>。</w:t>
            </w:r>
          </w:p>
          <w:p>
            <w:pPr>
              <w:pStyle w:val="18"/>
              <w:adjustRightInd w:val="0"/>
              <w:snapToGrid w:val="0"/>
              <w:spacing w:line="240" w:lineRule="auto"/>
              <w:ind w:left="0" w:right="0" w:firstLine="0" w:firstLineChars="0"/>
              <w:rPr>
                <w:sz w:val="21"/>
                <w:szCs w:val="21"/>
              </w:rPr>
            </w:pPr>
            <w:r>
              <w:rPr>
                <w:sz w:val="21"/>
                <w:szCs w:val="21"/>
              </w:rPr>
              <w:t>表</w:t>
            </w:r>
            <w:r>
              <w:rPr>
                <w:rFonts w:hint="eastAsia"/>
                <w:sz w:val="21"/>
                <w:szCs w:val="21"/>
              </w:rPr>
              <w:t>2-3</w:t>
            </w:r>
            <w:r>
              <w:rPr>
                <w:sz w:val="21"/>
                <w:szCs w:val="21"/>
              </w:rPr>
              <w:t>主要原辅材料消耗表</w:t>
            </w:r>
          </w:p>
          <w:tbl>
            <w:tblPr>
              <w:tblStyle w:val="36"/>
              <w:tblW w:w="8235"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08"/>
              <w:gridCol w:w="1109"/>
              <w:gridCol w:w="1437"/>
              <w:gridCol w:w="1140"/>
              <w:gridCol w:w="1270"/>
              <w:gridCol w:w="1448"/>
              <w:gridCol w:w="102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808" w:type="dxa"/>
                  <w:vAlign w:val="center"/>
                </w:tcPr>
                <w:p>
                  <w:pPr>
                    <w:pStyle w:val="91"/>
                  </w:pPr>
                  <w:r>
                    <w:t>序号</w:t>
                  </w:r>
                </w:p>
              </w:tc>
              <w:tc>
                <w:tcPr>
                  <w:tcW w:w="1109" w:type="dxa"/>
                  <w:vAlign w:val="center"/>
                </w:tcPr>
                <w:p>
                  <w:pPr>
                    <w:pStyle w:val="91"/>
                  </w:pPr>
                  <w:r>
                    <w:t>名称</w:t>
                  </w:r>
                </w:p>
              </w:tc>
              <w:tc>
                <w:tcPr>
                  <w:tcW w:w="1437" w:type="dxa"/>
                  <w:vAlign w:val="center"/>
                </w:tcPr>
                <w:p>
                  <w:pPr>
                    <w:pStyle w:val="91"/>
                  </w:pPr>
                  <w:r>
                    <w:t>规格</w:t>
                  </w:r>
                </w:p>
              </w:tc>
              <w:tc>
                <w:tcPr>
                  <w:tcW w:w="1140" w:type="dxa"/>
                  <w:vAlign w:val="center"/>
                </w:tcPr>
                <w:p>
                  <w:pPr>
                    <w:pStyle w:val="91"/>
                  </w:pPr>
                  <w:r>
                    <w:t>年耗量t/a</w:t>
                  </w:r>
                </w:p>
              </w:tc>
              <w:tc>
                <w:tcPr>
                  <w:tcW w:w="1270" w:type="dxa"/>
                  <w:vAlign w:val="center"/>
                </w:tcPr>
                <w:p>
                  <w:pPr>
                    <w:pStyle w:val="91"/>
                  </w:pPr>
                  <w:r>
                    <w:t>包装规格</w:t>
                  </w:r>
                </w:p>
              </w:tc>
              <w:tc>
                <w:tcPr>
                  <w:tcW w:w="1448" w:type="dxa"/>
                  <w:vAlign w:val="center"/>
                </w:tcPr>
                <w:p>
                  <w:pPr>
                    <w:pStyle w:val="91"/>
                  </w:pPr>
                  <w:r>
                    <w:t>最大储存量（t）</w:t>
                  </w:r>
                </w:p>
              </w:tc>
              <w:tc>
                <w:tcPr>
                  <w:tcW w:w="1023" w:type="dxa"/>
                  <w:vAlign w:val="center"/>
                </w:tcPr>
                <w:p>
                  <w:pPr>
                    <w:pStyle w:val="91"/>
                  </w:pPr>
                  <w:r>
                    <w:t>存储位置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808" w:type="dxa"/>
                  <w:vAlign w:val="center"/>
                </w:tcPr>
                <w:p>
                  <w:pPr>
                    <w:pStyle w:val="91"/>
                  </w:pPr>
                  <w:r>
                    <w:t>1</w:t>
                  </w:r>
                </w:p>
              </w:tc>
              <w:tc>
                <w:tcPr>
                  <w:tcW w:w="1109" w:type="dxa"/>
                  <w:vAlign w:val="center"/>
                </w:tcPr>
                <w:p>
                  <w:pPr>
                    <w:pStyle w:val="91"/>
                  </w:pPr>
                  <w:r>
                    <w:rPr>
                      <w:rFonts w:hint="eastAsia"/>
                    </w:rPr>
                    <w:t>硅泥</w:t>
                  </w:r>
                </w:p>
              </w:tc>
              <w:tc>
                <w:tcPr>
                  <w:tcW w:w="1437" w:type="dxa"/>
                  <w:vAlign w:val="center"/>
                </w:tcPr>
                <w:p>
                  <w:pPr>
                    <w:pStyle w:val="91"/>
                  </w:pPr>
                  <w:r>
                    <w:t>含水约</w:t>
                  </w:r>
                  <w:r>
                    <w:rPr>
                      <w:rFonts w:hint="eastAsia"/>
                    </w:rPr>
                    <w:t>5</w:t>
                  </w:r>
                  <w:r>
                    <w:t>0%</w:t>
                  </w:r>
                </w:p>
              </w:tc>
              <w:tc>
                <w:tcPr>
                  <w:tcW w:w="1140" w:type="dxa"/>
                  <w:vAlign w:val="center"/>
                </w:tcPr>
                <w:p>
                  <w:pPr>
                    <w:pStyle w:val="91"/>
                  </w:pPr>
                  <w:r>
                    <w:rPr>
                      <w:rFonts w:hint="eastAsia"/>
                    </w:rPr>
                    <w:t>16600</w:t>
                  </w:r>
                </w:p>
              </w:tc>
              <w:tc>
                <w:tcPr>
                  <w:tcW w:w="1270" w:type="dxa"/>
                  <w:vAlign w:val="center"/>
                </w:tcPr>
                <w:p>
                  <w:pPr>
                    <w:pStyle w:val="91"/>
                  </w:pPr>
                  <w:r>
                    <w:t>1t/吨袋</w:t>
                  </w:r>
                </w:p>
              </w:tc>
              <w:tc>
                <w:tcPr>
                  <w:tcW w:w="1448" w:type="dxa"/>
                  <w:vAlign w:val="center"/>
                </w:tcPr>
                <w:p>
                  <w:pPr>
                    <w:pStyle w:val="91"/>
                  </w:pPr>
                  <w:r>
                    <w:t>5000</w:t>
                  </w:r>
                </w:p>
              </w:tc>
              <w:tc>
                <w:tcPr>
                  <w:tcW w:w="1023" w:type="dxa"/>
                  <w:vMerge w:val="restart"/>
                  <w:vAlign w:val="center"/>
                </w:tcPr>
                <w:p>
                  <w:pPr>
                    <w:pStyle w:val="91"/>
                  </w:pPr>
                  <w:r>
                    <w:rPr>
                      <w:rFonts w:hint="eastAsia"/>
                    </w:rPr>
                    <w:t>原料暂存区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808" w:type="dxa"/>
                  <w:vAlign w:val="center"/>
                </w:tcPr>
                <w:p>
                  <w:pPr>
                    <w:pStyle w:val="91"/>
                  </w:pPr>
                  <w:r>
                    <w:rPr>
                      <w:rFonts w:hint="eastAsia"/>
                    </w:rPr>
                    <w:t>2</w:t>
                  </w:r>
                </w:p>
              </w:tc>
              <w:tc>
                <w:tcPr>
                  <w:tcW w:w="1109" w:type="dxa"/>
                  <w:vAlign w:val="center"/>
                </w:tcPr>
                <w:p>
                  <w:pPr>
                    <w:pStyle w:val="91"/>
                  </w:pPr>
                  <w:r>
                    <w:rPr>
                      <w:rFonts w:hint="eastAsia"/>
                    </w:rPr>
                    <w:t>硅粉</w:t>
                  </w:r>
                </w:p>
              </w:tc>
              <w:tc>
                <w:tcPr>
                  <w:tcW w:w="1437" w:type="dxa"/>
                  <w:vAlign w:val="center"/>
                </w:tcPr>
                <w:p>
                  <w:pPr>
                    <w:pStyle w:val="91"/>
                  </w:pPr>
                  <w:r>
                    <w:t>含水约</w:t>
                  </w:r>
                  <w:r>
                    <w:rPr>
                      <w:rFonts w:hint="eastAsia"/>
                    </w:rPr>
                    <w:t>30</w:t>
                  </w:r>
                  <w:r>
                    <w:t>%</w:t>
                  </w:r>
                </w:p>
              </w:tc>
              <w:tc>
                <w:tcPr>
                  <w:tcW w:w="1140" w:type="dxa"/>
                  <w:vAlign w:val="center"/>
                </w:tcPr>
                <w:p>
                  <w:pPr>
                    <w:pStyle w:val="91"/>
                  </w:pPr>
                  <w:r>
                    <w:rPr>
                      <w:rFonts w:hint="eastAsia"/>
                    </w:rPr>
                    <w:t>16500</w:t>
                  </w:r>
                </w:p>
              </w:tc>
              <w:tc>
                <w:tcPr>
                  <w:tcW w:w="1270" w:type="dxa"/>
                  <w:vAlign w:val="center"/>
                </w:tcPr>
                <w:p>
                  <w:pPr>
                    <w:pStyle w:val="91"/>
                  </w:pPr>
                  <w:r>
                    <w:t>1t/吨袋</w:t>
                  </w:r>
                </w:p>
              </w:tc>
              <w:tc>
                <w:tcPr>
                  <w:tcW w:w="1448" w:type="dxa"/>
                  <w:vAlign w:val="center"/>
                </w:tcPr>
                <w:p>
                  <w:pPr>
                    <w:pStyle w:val="91"/>
                  </w:pPr>
                  <w:r>
                    <w:t>5000</w:t>
                  </w:r>
                </w:p>
              </w:tc>
              <w:tc>
                <w:tcPr>
                  <w:tcW w:w="1023" w:type="dxa"/>
                  <w:vMerge w:val="continue"/>
                  <w:vAlign w:val="center"/>
                </w:tcPr>
                <w:p>
                  <w:pPr>
                    <w:pStyle w:val="91"/>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808" w:type="dxa"/>
                  <w:vAlign w:val="center"/>
                </w:tcPr>
                <w:p>
                  <w:pPr>
                    <w:pStyle w:val="91"/>
                  </w:pPr>
                  <w:r>
                    <w:rPr>
                      <w:rFonts w:hint="eastAsia"/>
                    </w:rPr>
                    <w:t>3</w:t>
                  </w:r>
                </w:p>
              </w:tc>
              <w:tc>
                <w:tcPr>
                  <w:tcW w:w="1109" w:type="dxa"/>
                  <w:vAlign w:val="center"/>
                </w:tcPr>
                <w:p>
                  <w:pPr>
                    <w:pStyle w:val="91"/>
                  </w:pPr>
                  <w:r>
                    <w:rPr>
                      <w:rFonts w:hint="eastAsia"/>
                    </w:rPr>
                    <w:t>石灰</w:t>
                  </w:r>
                </w:p>
              </w:tc>
              <w:tc>
                <w:tcPr>
                  <w:tcW w:w="1437" w:type="dxa"/>
                  <w:vAlign w:val="center"/>
                </w:tcPr>
                <w:p>
                  <w:pPr>
                    <w:pStyle w:val="91"/>
                  </w:pPr>
                  <w:r>
                    <w:rPr>
                      <w:rFonts w:hint="eastAsia"/>
                    </w:rPr>
                    <w:t>/</w:t>
                  </w:r>
                </w:p>
              </w:tc>
              <w:tc>
                <w:tcPr>
                  <w:tcW w:w="1140" w:type="dxa"/>
                  <w:vAlign w:val="center"/>
                </w:tcPr>
                <w:p>
                  <w:pPr>
                    <w:pStyle w:val="91"/>
                  </w:pPr>
                  <w:r>
                    <w:rPr>
                      <w:rFonts w:hint="eastAsia"/>
                    </w:rPr>
                    <w:t>150</w:t>
                  </w:r>
                </w:p>
              </w:tc>
              <w:tc>
                <w:tcPr>
                  <w:tcW w:w="1270" w:type="dxa"/>
                  <w:vAlign w:val="center"/>
                </w:tcPr>
                <w:p>
                  <w:pPr>
                    <w:pStyle w:val="91"/>
                  </w:pPr>
                  <w:r>
                    <w:rPr>
                      <w:rFonts w:hint="eastAsia"/>
                    </w:rPr>
                    <w:t>100kg/袋装</w:t>
                  </w:r>
                </w:p>
              </w:tc>
              <w:tc>
                <w:tcPr>
                  <w:tcW w:w="1448" w:type="dxa"/>
                  <w:vAlign w:val="center"/>
                </w:tcPr>
                <w:p>
                  <w:pPr>
                    <w:pStyle w:val="91"/>
                  </w:pPr>
                  <w:r>
                    <w:rPr>
                      <w:rFonts w:hint="eastAsia"/>
                    </w:rPr>
                    <w:t>3</w:t>
                  </w:r>
                </w:p>
              </w:tc>
              <w:tc>
                <w:tcPr>
                  <w:tcW w:w="1023" w:type="dxa"/>
                  <w:vMerge w:val="continue"/>
                  <w:vAlign w:val="center"/>
                </w:tcPr>
                <w:p>
                  <w:pPr>
                    <w:pStyle w:val="91"/>
                  </w:pPr>
                </w:p>
              </w:tc>
            </w:tr>
          </w:tbl>
          <w:p>
            <w:pPr>
              <w:widowControl/>
              <w:adjustRightInd w:val="0"/>
              <w:snapToGrid w:val="0"/>
              <w:ind w:left="480" w:leftChars="200" w:firstLine="0" w:firstLineChars="0"/>
              <w:rPr>
                <w:bCs/>
              </w:rPr>
            </w:pPr>
            <w:r>
              <w:rPr>
                <w:rFonts w:hint="eastAsia"/>
                <w:bCs/>
              </w:rPr>
              <w:t>4、</w:t>
            </w:r>
            <w:r>
              <w:rPr>
                <w:bCs/>
              </w:rPr>
              <w:t>主要生产设施及设施参数</w:t>
            </w:r>
          </w:p>
          <w:p>
            <w:pPr>
              <w:pStyle w:val="18"/>
              <w:adjustRightInd w:val="0"/>
              <w:snapToGrid w:val="0"/>
              <w:spacing w:line="360" w:lineRule="auto"/>
              <w:ind w:left="0" w:right="0"/>
              <w:jc w:val="both"/>
              <w:rPr>
                <w:b w:val="0"/>
                <w:bCs/>
                <w:sz w:val="24"/>
                <w:szCs w:val="24"/>
              </w:rPr>
            </w:pPr>
            <w:r>
              <w:rPr>
                <w:b w:val="0"/>
                <w:bCs/>
                <w:sz w:val="24"/>
                <w:szCs w:val="24"/>
              </w:rPr>
              <w:t>主要设备一览表见表</w:t>
            </w:r>
            <w:r>
              <w:rPr>
                <w:rFonts w:hint="eastAsia"/>
                <w:b w:val="0"/>
                <w:bCs/>
                <w:sz w:val="24"/>
                <w:szCs w:val="24"/>
              </w:rPr>
              <w:t>2-4</w:t>
            </w:r>
            <w:r>
              <w:rPr>
                <w:b w:val="0"/>
                <w:bCs/>
                <w:sz w:val="24"/>
                <w:szCs w:val="24"/>
              </w:rPr>
              <w:t>。</w:t>
            </w:r>
          </w:p>
          <w:p>
            <w:pPr>
              <w:pStyle w:val="18"/>
              <w:adjustRightInd w:val="0"/>
              <w:snapToGrid w:val="0"/>
              <w:spacing w:line="240" w:lineRule="auto"/>
              <w:ind w:left="0" w:right="0" w:firstLine="0" w:firstLineChars="0"/>
              <w:rPr>
                <w:sz w:val="21"/>
                <w:szCs w:val="21"/>
              </w:rPr>
            </w:pPr>
            <w:r>
              <w:rPr>
                <w:sz w:val="21"/>
                <w:szCs w:val="21"/>
              </w:rPr>
              <w:t>表</w:t>
            </w:r>
            <w:r>
              <w:rPr>
                <w:rFonts w:hint="eastAsia"/>
                <w:sz w:val="21"/>
                <w:szCs w:val="21"/>
              </w:rPr>
              <w:t>2-4项目主要设备</w:t>
            </w:r>
            <w:r>
              <w:rPr>
                <w:sz w:val="21"/>
                <w:szCs w:val="21"/>
              </w:rPr>
              <w:t>一览表</w:t>
            </w:r>
          </w:p>
          <w:tbl>
            <w:tblPr>
              <w:tblStyle w:val="36"/>
              <w:tblW w:w="823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27"/>
              <w:gridCol w:w="1962"/>
              <w:gridCol w:w="1957"/>
              <w:gridCol w:w="867"/>
              <w:gridCol w:w="261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25" w:hRule="atLeast"/>
              </w:trPr>
              <w:tc>
                <w:tcPr>
                  <w:tcW w:w="2789" w:type="dxa"/>
                  <w:gridSpan w:val="2"/>
                  <w:shd w:val="clear" w:color="auto" w:fill="auto"/>
                  <w:vAlign w:val="center"/>
                </w:tcPr>
                <w:p>
                  <w:pPr>
                    <w:pStyle w:val="91"/>
                  </w:pPr>
                  <w:r>
                    <w:t>设备名称</w:t>
                  </w:r>
                </w:p>
              </w:tc>
              <w:tc>
                <w:tcPr>
                  <w:tcW w:w="1957" w:type="dxa"/>
                  <w:shd w:val="clear" w:color="auto" w:fill="auto"/>
                  <w:vAlign w:val="center"/>
                </w:tcPr>
                <w:p>
                  <w:pPr>
                    <w:pStyle w:val="91"/>
                  </w:pPr>
                  <w:r>
                    <w:t>规格型号</w:t>
                  </w:r>
                </w:p>
              </w:tc>
              <w:tc>
                <w:tcPr>
                  <w:tcW w:w="867" w:type="dxa"/>
                  <w:shd w:val="clear" w:color="auto" w:fill="auto"/>
                  <w:vAlign w:val="center"/>
                </w:tcPr>
                <w:p>
                  <w:pPr>
                    <w:pStyle w:val="91"/>
                  </w:pPr>
                  <w:r>
                    <w:t>数量</w:t>
                  </w:r>
                </w:p>
              </w:tc>
              <w:tc>
                <w:tcPr>
                  <w:tcW w:w="2617" w:type="dxa"/>
                  <w:shd w:val="clear" w:color="auto" w:fill="auto"/>
                  <w:vAlign w:val="center"/>
                </w:tcPr>
                <w:p>
                  <w:pPr>
                    <w:pStyle w:val="91"/>
                  </w:pPr>
                  <w: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trPr>
              <w:tc>
                <w:tcPr>
                  <w:tcW w:w="827" w:type="dxa"/>
                  <w:vMerge w:val="restart"/>
                  <w:shd w:val="clear" w:color="auto" w:fill="auto"/>
                  <w:vAlign w:val="center"/>
                </w:tcPr>
                <w:p>
                  <w:pPr>
                    <w:pStyle w:val="91"/>
                  </w:pPr>
                  <w:r>
                    <w:t>制粒机组设备</w:t>
                  </w:r>
                </w:p>
              </w:tc>
              <w:tc>
                <w:tcPr>
                  <w:tcW w:w="1962" w:type="dxa"/>
                  <w:shd w:val="clear" w:color="auto" w:fill="auto"/>
                  <w:vAlign w:val="center"/>
                </w:tcPr>
                <w:p>
                  <w:pPr>
                    <w:pStyle w:val="91"/>
                  </w:pPr>
                  <w:r>
                    <w:t>上料输送机</w:t>
                  </w:r>
                </w:p>
              </w:tc>
              <w:tc>
                <w:tcPr>
                  <w:tcW w:w="1957" w:type="dxa"/>
                  <w:shd w:val="clear" w:color="auto" w:fill="auto"/>
                  <w:vAlign w:val="center"/>
                </w:tcPr>
                <w:p>
                  <w:pPr>
                    <w:pStyle w:val="91"/>
                  </w:pPr>
                  <w:r>
                    <w:t>14米</w:t>
                  </w:r>
                </w:p>
              </w:tc>
              <w:tc>
                <w:tcPr>
                  <w:tcW w:w="867" w:type="dxa"/>
                  <w:shd w:val="clear" w:color="auto" w:fill="auto"/>
                  <w:vAlign w:val="center"/>
                </w:tcPr>
                <w:p>
                  <w:pPr>
                    <w:pStyle w:val="91"/>
                  </w:pPr>
                  <w:r>
                    <w:rPr>
                      <w:rFonts w:hint="eastAsia"/>
                    </w:rPr>
                    <w:t>5</w:t>
                  </w:r>
                  <w:r>
                    <w:t>台</w:t>
                  </w:r>
                </w:p>
              </w:tc>
              <w:tc>
                <w:tcPr>
                  <w:tcW w:w="2617" w:type="dxa"/>
                  <w:shd w:val="clear" w:color="auto" w:fill="auto"/>
                  <w:vAlign w:val="center"/>
                </w:tcPr>
                <w:p>
                  <w:pPr>
                    <w:pStyle w:val="91"/>
                  </w:pPr>
                  <w:r>
                    <w:t>变频</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trPr>
              <w:tc>
                <w:tcPr>
                  <w:tcW w:w="827" w:type="dxa"/>
                  <w:vMerge w:val="continue"/>
                  <w:shd w:val="clear" w:color="auto" w:fill="auto"/>
                  <w:vAlign w:val="center"/>
                </w:tcPr>
                <w:p>
                  <w:pPr>
                    <w:pStyle w:val="91"/>
                  </w:pPr>
                </w:p>
              </w:tc>
              <w:tc>
                <w:tcPr>
                  <w:tcW w:w="1962" w:type="dxa"/>
                  <w:shd w:val="clear" w:color="auto" w:fill="auto"/>
                  <w:vAlign w:val="center"/>
                </w:tcPr>
                <w:p>
                  <w:pPr>
                    <w:pStyle w:val="91"/>
                  </w:pPr>
                  <w:r>
                    <w:t>高位均料机</w:t>
                  </w:r>
                </w:p>
              </w:tc>
              <w:tc>
                <w:tcPr>
                  <w:tcW w:w="1957" w:type="dxa"/>
                  <w:shd w:val="clear" w:color="auto" w:fill="auto"/>
                  <w:vAlign w:val="center"/>
                </w:tcPr>
                <w:p>
                  <w:pPr>
                    <w:pStyle w:val="91"/>
                  </w:pPr>
                </w:p>
              </w:tc>
              <w:tc>
                <w:tcPr>
                  <w:tcW w:w="867" w:type="dxa"/>
                  <w:shd w:val="clear" w:color="auto" w:fill="auto"/>
                  <w:vAlign w:val="center"/>
                </w:tcPr>
                <w:p>
                  <w:pPr>
                    <w:pStyle w:val="91"/>
                  </w:pPr>
                  <w:r>
                    <w:rPr>
                      <w:rFonts w:hint="eastAsia"/>
                    </w:rPr>
                    <w:t>1</w:t>
                  </w:r>
                  <w:r>
                    <w:t>台</w:t>
                  </w:r>
                </w:p>
              </w:tc>
              <w:tc>
                <w:tcPr>
                  <w:tcW w:w="2617" w:type="dxa"/>
                  <w:shd w:val="clear" w:color="auto" w:fill="auto"/>
                  <w:vAlign w:val="center"/>
                </w:tcPr>
                <w:p>
                  <w:pPr>
                    <w:pStyle w:val="91"/>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trPr>
              <w:tc>
                <w:tcPr>
                  <w:tcW w:w="827" w:type="dxa"/>
                  <w:vMerge w:val="continue"/>
                  <w:shd w:val="clear" w:color="auto" w:fill="auto"/>
                  <w:vAlign w:val="center"/>
                </w:tcPr>
                <w:p>
                  <w:pPr>
                    <w:pStyle w:val="91"/>
                  </w:pPr>
                </w:p>
              </w:tc>
              <w:tc>
                <w:tcPr>
                  <w:tcW w:w="1962" w:type="dxa"/>
                  <w:shd w:val="clear" w:color="auto" w:fill="auto"/>
                  <w:vAlign w:val="center"/>
                </w:tcPr>
                <w:p>
                  <w:pPr>
                    <w:pStyle w:val="91"/>
                  </w:pPr>
                  <w:r>
                    <w:t>1#螺旋输送机</w:t>
                  </w:r>
                </w:p>
              </w:tc>
              <w:tc>
                <w:tcPr>
                  <w:tcW w:w="1957" w:type="dxa"/>
                  <w:shd w:val="clear" w:color="auto" w:fill="auto"/>
                  <w:vAlign w:val="center"/>
                </w:tcPr>
                <w:p>
                  <w:pPr>
                    <w:pStyle w:val="91"/>
                  </w:pPr>
                </w:p>
              </w:tc>
              <w:tc>
                <w:tcPr>
                  <w:tcW w:w="867" w:type="dxa"/>
                  <w:shd w:val="clear" w:color="auto" w:fill="auto"/>
                  <w:vAlign w:val="center"/>
                </w:tcPr>
                <w:p>
                  <w:pPr>
                    <w:pStyle w:val="91"/>
                  </w:pPr>
                  <w:r>
                    <w:rPr>
                      <w:rFonts w:hint="eastAsia"/>
                    </w:rPr>
                    <w:t>1</w:t>
                  </w:r>
                  <w:r>
                    <w:t>台</w:t>
                  </w:r>
                </w:p>
              </w:tc>
              <w:tc>
                <w:tcPr>
                  <w:tcW w:w="2617" w:type="dxa"/>
                  <w:shd w:val="clear" w:color="auto" w:fill="auto"/>
                  <w:vAlign w:val="center"/>
                </w:tcPr>
                <w:p>
                  <w:pPr>
                    <w:pStyle w:val="91"/>
                  </w:pPr>
                  <w:r>
                    <w:t>变频</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trPr>
              <w:tc>
                <w:tcPr>
                  <w:tcW w:w="827" w:type="dxa"/>
                  <w:vMerge w:val="continue"/>
                  <w:shd w:val="clear" w:color="auto" w:fill="auto"/>
                  <w:vAlign w:val="center"/>
                </w:tcPr>
                <w:p>
                  <w:pPr>
                    <w:pStyle w:val="91"/>
                  </w:pPr>
                </w:p>
              </w:tc>
              <w:tc>
                <w:tcPr>
                  <w:tcW w:w="1962" w:type="dxa"/>
                  <w:shd w:val="clear" w:color="auto" w:fill="auto"/>
                  <w:vAlign w:val="center"/>
                </w:tcPr>
                <w:p>
                  <w:pPr>
                    <w:pStyle w:val="91"/>
                  </w:pPr>
                  <w:r>
                    <w:t>卧式制粒机</w:t>
                  </w:r>
                </w:p>
              </w:tc>
              <w:tc>
                <w:tcPr>
                  <w:tcW w:w="1957" w:type="dxa"/>
                  <w:shd w:val="clear" w:color="auto" w:fill="auto"/>
                  <w:vAlign w:val="center"/>
                </w:tcPr>
                <w:p>
                  <w:pPr>
                    <w:pStyle w:val="91"/>
                  </w:pPr>
                  <w:r>
                    <w:t>卧式132KW</w:t>
                  </w:r>
                </w:p>
              </w:tc>
              <w:tc>
                <w:tcPr>
                  <w:tcW w:w="867" w:type="dxa"/>
                  <w:shd w:val="clear" w:color="auto" w:fill="auto"/>
                  <w:vAlign w:val="center"/>
                </w:tcPr>
                <w:p>
                  <w:pPr>
                    <w:pStyle w:val="91"/>
                  </w:pPr>
                  <w:r>
                    <w:rPr>
                      <w:rFonts w:hint="eastAsia"/>
                    </w:rPr>
                    <w:t>1</w:t>
                  </w:r>
                  <w:r>
                    <w:t>台</w:t>
                  </w:r>
                </w:p>
              </w:tc>
              <w:tc>
                <w:tcPr>
                  <w:tcW w:w="2617" w:type="dxa"/>
                  <w:shd w:val="clear" w:color="auto" w:fill="auto"/>
                  <w:vAlign w:val="center"/>
                </w:tcPr>
                <w:p>
                  <w:pPr>
                    <w:pStyle w:val="91"/>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trPr>
              <w:tc>
                <w:tcPr>
                  <w:tcW w:w="827" w:type="dxa"/>
                  <w:vMerge w:val="continue"/>
                  <w:shd w:val="clear" w:color="auto" w:fill="auto"/>
                  <w:vAlign w:val="center"/>
                </w:tcPr>
                <w:p>
                  <w:pPr>
                    <w:pStyle w:val="91"/>
                  </w:pPr>
                </w:p>
              </w:tc>
              <w:tc>
                <w:tcPr>
                  <w:tcW w:w="1962" w:type="dxa"/>
                  <w:shd w:val="clear" w:color="auto" w:fill="auto"/>
                  <w:vAlign w:val="center"/>
                </w:tcPr>
                <w:p>
                  <w:pPr>
                    <w:pStyle w:val="91"/>
                  </w:pPr>
                  <w:r>
                    <w:rPr>
                      <w:rFonts w:hint="eastAsia"/>
                    </w:rPr>
                    <w:t>布袋</w:t>
                  </w:r>
                  <w:r>
                    <w:t>除尘设备</w:t>
                  </w:r>
                </w:p>
              </w:tc>
              <w:tc>
                <w:tcPr>
                  <w:tcW w:w="1957" w:type="dxa"/>
                  <w:shd w:val="clear" w:color="auto" w:fill="auto"/>
                  <w:vAlign w:val="center"/>
                </w:tcPr>
                <w:p>
                  <w:pPr>
                    <w:pStyle w:val="91"/>
                  </w:pPr>
                  <w:r>
                    <w:t>LMN-</w:t>
                  </w:r>
                  <w:r>
                    <w:rPr>
                      <w:rFonts w:hint="eastAsia"/>
                    </w:rPr>
                    <w:t>Ⅱ</w:t>
                  </w:r>
                  <w:r>
                    <w:t>型</w:t>
                  </w:r>
                </w:p>
              </w:tc>
              <w:tc>
                <w:tcPr>
                  <w:tcW w:w="867" w:type="dxa"/>
                  <w:shd w:val="clear" w:color="auto" w:fill="auto"/>
                  <w:vAlign w:val="center"/>
                </w:tcPr>
                <w:p>
                  <w:pPr>
                    <w:pStyle w:val="91"/>
                  </w:pPr>
                  <w:r>
                    <w:rPr>
                      <w:rFonts w:hint="eastAsia"/>
                    </w:rPr>
                    <w:t>1</w:t>
                  </w:r>
                  <w:r>
                    <w:t>套</w:t>
                  </w:r>
                </w:p>
              </w:tc>
              <w:tc>
                <w:tcPr>
                  <w:tcW w:w="2617" w:type="dxa"/>
                  <w:shd w:val="clear" w:color="auto" w:fill="auto"/>
                  <w:vAlign w:val="center"/>
                </w:tcPr>
                <w:p>
                  <w:pPr>
                    <w:pStyle w:val="91"/>
                  </w:pPr>
                  <w:r>
                    <w:t>卧式制粒机配套除尘设施，单台风机风量10000-1</w:t>
                  </w:r>
                  <w:r>
                    <w:rPr>
                      <w:rFonts w:hint="eastAsia"/>
                    </w:rPr>
                    <w:t>9</w:t>
                  </w:r>
                  <w:r>
                    <w:t>000m</w:t>
                  </w:r>
                  <w:r>
                    <w:rPr>
                      <w:vertAlign w:val="superscript"/>
                    </w:rPr>
                    <w:t>3</w:t>
                  </w:r>
                  <w:r>
                    <w:t>/h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trPr>
              <w:tc>
                <w:tcPr>
                  <w:tcW w:w="827" w:type="dxa"/>
                  <w:vMerge w:val="continue"/>
                  <w:shd w:val="clear" w:color="auto" w:fill="auto"/>
                  <w:vAlign w:val="center"/>
                </w:tcPr>
                <w:p>
                  <w:pPr>
                    <w:pStyle w:val="91"/>
                  </w:pPr>
                </w:p>
              </w:tc>
              <w:tc>
                <w:tcPr>
                  <w:tcW w:w="1962" w:type="dxa"/>
                  <w:shd w:val="clear" w:color="auto" w:fill="auto"/>
                  <w:vAlign w:val="center"/>
                </w:tcPr>
                <w:p>
                  <w:pPr>
                    <w:pStyle w:val="91"/>
                  </w:pPr>
                  <w:r>
                    <w:t>2#螺旋输送机</w:t>
                  </w:r>
                </w:p>
              </w:tc>
              <w:tc>
                <w:tcPr>
                  <w:tcW w:w="1957" w:type="dxa"/>
                  <w:shd w:val="clear" w:color="auto" w:fill="auto"/>
                  <w:vAlign w:val="center"/>
                </w:tcPr>
                <w:p>
                  <w:pPr>
                    <w:pStyle w:val="91"/>
                  </w:pPr>
                </w:p>
              </w:tc>
              <w:tc>
                <w:tcPr>
                  <w:tcW w:w="867" w:type="dxa"/>
                  <w:shd w:val="clear" w:color="auto" w:fill="auto"/>
                  <w:vAlign w:val="center"/>
                </w:tcPr>
                <w:p>
                  <w:pPr>
                    <w:pStyle w:val="91"/>
                  </w:pPr>
                  <w:r>
                    <w:rPr>
                      <w:rFonts w:hint="eastAsia"/>
                    </w:rPr>
                    <w:t>1</w:t>
                  </w:r>
                  <w:r>
                    <w:t>台</w:t>
                  </w:r>
                </w:p>
              </w:tc>
              <w:tc>
                <w:tcPr>
                  <w:tcW w:w="2617" w:type="dxa"/>
                  <w:shd w:val="clear" w:color="auto" w:fill="auto"/>
                  <w:vAlign w:val="center"/>
                </w:tcPr>
                <w:p>
                  <w:pPr>
                    <w:pStyle w:val="91"/>
                  </w:pPr>
                  <w:r>
                    <w:t>变频</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trPr>
              <w:tc>
                <w:tcPr>
                  <w:tcW w:w="827" w:type="dxa"/>
                  <w:vMerge w:val="continue"/>
                  <w:shd w:val="clear" w:color="auto" w:fill="auto"/>
                  <w:vAlign w:val="center"/>
                </w:tcPr>
                <w:p>
                  <w:pPr>
                    <w:pStyle w:val="91"/>
                  </w:pPr>
                </w:p>
              </w:tc>
              <w:tc>
                <w:tcPr>
                  <w:tcW w:w="1962" w:type="dxa"/>
                  <w:shd w:val="clear" w:color="auto" w:fill="auto"/>
                  <w:vAlign w:val="center"/>
                </w:tcPr>
                <w:p>
                  <w:pPr>
                    <w:pStyle w:val="91"/>
                  </w:pPr>
                  <w:r>
                    <w:t>1#爬坡输送机</w:t>
                  </w:r>
                </w:p>
              </w:tc>
              <w:tc>
                <w:tcPr>
                  <w:tcW w:w="1957" w:type="dxa"/>
                  <w:shd w:val="clear" w:color="auto" w:fill="auto"/>
                  <w:vAlign w:val="center"/>
                </w:tcPr>
                <w:p>
                  <w:pPr>
                    <w:pStyle w:val="91"/>
                  </w:pPr>
                </w:p>
              </w:tc>
              <w:tc>
                <w:tcPr>
                  <w:tcW w:w="867" w:type="dxa"/>
                  <w:shd w:val="clear" w:color="auto" w:fill="auto"/>
                  <w:vAlign w:val="center"/>
                </w:tcPr>
                <w:p>
                  <w:pPr>
                    <w:pStyle w:val="91"/>
                  </w:pPr>
                  <w:r>
                    <w:rPr>
                      <w:rFonts w:hint="eastAsia"/>
                    </w:rPr>
                    <w:t>1</w:t>
                  </w:r>
                  <w:r>
                    <w:t>台</w:t>
                  </w:r>
                </w:p>
              </w:tc>
              <w:tc>
                <w:tcPr>
                  <w:tcW w:w="2617" w:type="dxa"/>
                  <w:shd w:val="clear" w:color="auto" w:fill="auto"/>
                  <w:vAlign w:val="center"/>
                </w:tcPr>
                <w:p>
                  <w:pPr>
                    <w:pStyle w:val="91"/>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trPr>
              <w:tc>
                <w:tcPr>
                  <w:tcW w:w="827" w:type="dxa"/>
                  <w:vMerge w:val="continue"/>
                  <w:shd w:val="clear" w:color="auto" w:fill="auto"/>
                  <w:vAlign w:val="center"/>
                </w:tcPr>
                <w:p>
                  <w:pPr>
                    <w:pStyle w:val="91"/>
                  </w:pPr>
                </w:p>
              </w:tc>
              <w:tc>
                <w:tcPr>
                  <w:tcW w:w="1962" w:type="dxa"/>
                  <w:shd w:val="clear" w:color="auto" w:fill="auto"/>
                  <w:vAlign w:val="center"/>
                </w:tcPr>
                <w:p>
                  <w:pPr>
                    <w:pStyle w:val="91"/>
                  </w:pPr>
                  <w:r>
                    <w:t>2#爬坡输送机</w:t>
                  </w:r>
                </w:p>
              </w:tc>
              <w:tc>
                <w:tcPr>
                  <w:tcW w:w="1957" w:type="dxa"/>
                  <w:shd w:val="clear" w:color="auto" w:fill="auto"/>
                  <w:vAlign w:val="center"/>
                </w:tcPr>
                <w:p>
                  <w:pPr>
                    <w:pStyle w:val="91"/>
                  </w:pPr>
                </w:p>
              </w:tc>
              <w:tc>
                <w:tcPr>
                  <w:tcW w:w="867" w:type="dxa"/>
                  <w:shd w:val="clear" w:color="auto" w:fill="auto"/>
                  <w:vAlign w:val="center"/>
                </w:tcPr>
                <w:p>
                  <w:pPr>
                    <w:pStyle w:val="91"/>
                  </w:pPr>
                  <w:r>
                    <w:rPr>
                      <w:rFonts w:hint="eastAsia"/>
                    </w:rPr>
                    <w:t>1</w:t>
                  </w:r>
                  <w:r>
                    <w:t>台</w:t>
                  </w:r>
                </w:p>
              </w:tc>
              <w:tc>
                <w:tcPr>
                  <w:tcW w:w="2617" w:type="dxa"/>
                  <w:shd w:val="clear" w:color="auto" w:fill="auto"/>
                  <w:vAlign w:val="center"/>
                </w:tcPr>
                <w:p>
                  <w:pPr>
                    <w:pStyle w:val="91"/>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trPr>
              <w:tc>
                <w:tcPr>
                  <w:tcW w:w="827" w:type="dxa"/>
                  <w:vMerge w:val="continue"/>
                  <w:shd w:val="clear" w:color="auto" w:fill="auto"/>
                  <w:vAlign w:val="center"/>
                </w:tcPr>
                <w:p>
                  <w:pPr>
                    <w:pStyle w:val="91"/>
                  </w:pPr>
                </w:p>
              </w:tc>
              <w:tc>
                <w:tcPr>
                  <w:tcW w:w="1962" w:type="dxa"/>
                  <w:shd w:val="clear" w:color="auto" w:fill="auto"/>
                  <w:vAlign w:val="center"/>
                </w:tcPr>
                <w:p>
                  <w:pPr>
                    <w:pStyle w:val="91"/>
                  </w:pPr>
                  <w:r>
                    <w:t>大型颗粒中转仓</w:t>
                  </w:r>
                </w:p>
              </w:tc>
              <w:tc>
                <w:tcPr>
                  <w:tcW w:w="1957" w:type="dxa"/>
                  <w:shd w:val="clear" w:color="auto" w:fill="auto"/>
                  <w:vAlign w:val="center"/>
                </w:tcPr>
                <w:p>
                  <w:pPr>
                    <w:pStyle w:val="91"/>
                  </w:pPr>
                </w:p>
              </w:tc>
              <w:tc>
                <w:tcPr>
                  <w:tcW w:w="867" w:type="dxa"/>
                  <w:shd w:val="clear" w:color="auto" w:fill="auto"/>
                  <w:vAlign w:val="center"/>
                </w:tcPr>
                <w:p>
                  <w:pPr>
                    <w:pStyle w:val="91"/>
                  </w:pPr>
                  <w:r>
                    <w:rPr>
                      <w:rFonts w:hint="eastAsia"/>
                    </w:rPr>
                    <w:t>1</w:t>
                  </w:r>
                  <w:r>
                    <w:t>个</w:t>
                  </w:r>
                </w:p>
              </w:tc>
              <w:tc>
                <w:tcPr>
                  <w:tcW w:w="2617" w:type="dxa"/>
                  <w:shd w:val="clear" w:color="auto" w:fill="auto"/>
                  <w:vAlign w:val="center"/>
                </w:tcPr>
                <w:p>
                  <w:pPr>
                    <w:pStyle w:val="91"/>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trPr>
              <w:tc>
                <w:tcPr>
                  <w:tcW w:w="827" w:type="dxa"/>
                  <w:vMerge w:val="continue"/>
                  <w:shd w:val="clear" w:color="auto" w:fill="auto"/>
                  <w:vAlign w:val="center"/>
                </w:tcPr>
                <w:p>
                  <w:pPr>
                    <w:pStyle w:val="91"/>
                  </w:pPr>
                </w:p>
              </w:tc>
              <w:tc>
                <w:tcPr>
                  <w:tcW w:w="1962" w:type="dxa"/>
                  <w:shd w:val="clear" w:color="auto" w:fill="auto"/>
                  <w:vAlign w:val="center"/>
                </w:tcPr>
                <w:p>
                  <w:pPr>
                    <w:pStyle w:val="91"/>
                  </w:pPr>
                  <w:r>
                    <w:t>3#爬坡输送机</w:t>
                  </w:r>
                </w:p>
              </w:tc>
              <w:tc>
                <w:tcPr>
                  <w:tcW w:w="1957" w:type="dxa"/>
                  <w:shd w:val="clear" w:color="auto" w:fill="auto"/>
                  <w:vAlign w:val="center"/>
                </w:tcPr>
                <w:p>
                  <w:pPr>
                    <w:pStyle w:val="91"/>
                  </w:pPr>
                </w:p>
              </w:tc>
              <w:tc>
                <w:tcPr>
                  <w:tcW w:w="867" w:type="dxa"/>
                  <w:shd w:val="clear" w:color="auto" w:fill="auto"/>
                  <w:vAlign w:val="center"/>
                </w:tcPr>
                <w:p>
                  <w:pPr>
                    <w:pStyle w:val="91"/>
                  </w:pPr>
                  <w:r>
                    <w:rPr>
                      <w:rFonts w:hint="eastAsia"/>
                    </w:rPr>
                    <w:t>1</w:t>
                  </w:r>
                  <w:r>
                    <w:t>台</w:t>
                  </w:r>
                </w:p>
              </w:tc>
              <w:tc>
                <w:tcPr>
                  <w:tcW w:w="2617" w:type="dxa"/>
                  <w:shd w:val="clear" w:color="auto" w:fill="auto"/>
                  <w:vAlign w:val="center"/>
                </w:tcPr>
                <w:p>
                  <w:pPr>
                    <w:pStyle w:val="91"/>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trPr>
              <w:tc>
                <w:tcPr>
                  <w:tcW w:w="827" w:type="dxa"/>
                  <w:vMerge w:val="restart"/>
                  <w:shd w:val="clear" w:color="auto" w:fill="auto"/>
                  <w:vAlign w:val="center"/>
                </w:tcPr>
                <w:p>
                  <w:pPr>
                    <w:pStyle w:val="91"/>
                  </w:pPr>
                  <w:r>
                    <w:t>烘干机组生产设备</w:t>
                  </w:r>
                </w:p>
              </w:tc>
              <w:tc>
                <w:tcPr>
                  <w:tcW w:w="1962" w:type="dxa"/>
                  <w:shd w:val="clear" w:color="auto" w:fill="auto"/>
                  <w:vAlign w:val="center"/>
                </w:tcPr>
                <w:p>
                  <w:pPr>
                    <w:pStyle w:val="91"/>
                  </w:pPr>
                  <w:r>
                    <w:t>布料机</w:t>
                  </w:r>
                </w:p>
              </w:tc>
              <w:tc>
                <w:tcPr>
                  <w:tcW w:w="1957" w:type="dxa"/>
                  <w:shd w:val="clear" w:color="auto" w:fill="auto"/>
                  <w:vAlign w:val="center"/>
                </w:tcPr>
                <w:p>
                  <w:pPr>
                    <w:pStyle w:val="91"/>
                  </w:pPr>
                </w:p>
              </w:tc>
              <w:tc>
                <w:tcPr>
                  <w:tcW w:w="867" w:type="dxa"/>
                  <w:shd w:val="clear" w:color="auto" w:fill="auto"/>
                  <w:vAlign w:val="center"/>
                </w:tcPr>
                <w:p>
                  <w:pPr>
                    <w:pStyle w:val="91"/>
                  </w:pPr>
                  <w:r>
                    <w:rPr>
                      <w:rFonts w:hint="eastAsia"/>
                    </w:rPr>
                    <w:t>3</w:t>
                  </w:r>
                  <w:r>
                    <w:t>台</w:t>
                  </w:r>
                </w:p>
              </w:tc>
              <w:tc>
                <w:tcPr>
                  <w:tcW w:w="2617" w:type="dxa"/>
                  <w:shd w:val="clear" w:color="auto" w:fill="auto"/>
                  <w:vAlign w:val="center"/>
                </w:tcPr>
                <w:p>
                  <w:pPr>
                    <w:pStyle w:val="91"/>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trPr>
              <w:tc>
                <w:tcPr>
                  <w:tcW w:w="827" w:type="dxa"/>
                  <w:vMerge w:val="continue"/>
                  <w:shd w:val="clear" w:color="auto" w:fill="auto"/>
                  <w:vAlign w:val="center"/>
                </w:tcPr>
                <w:p>
                  <w:pPr>
                    <w:pStyle w:val="91"/>
                  </w:pPr>
                </w:p>
              </w:tc>
              <w:tc>
                <w:tcPr>
                  <w:tcW w:w="1962" w:type="dxa"/>
                  <w:shd w:val="clear" w:color="auto" w:fill="auto"/>
                  <w:vAlign w:val="center"/>
                </w:tcPr>
                <w:p>
                  <w:pPr>
                    <w:pStyle w:val="91"/>
                  </w:pPr>
                  <w:r>
                    <w:rPr>
                      <w:rFonts w:hint="eastAsia"/>
                    </w:rPr>
                    <w:t>滚筒</w:t>
                  </w:r>
                  <w:r>
                    <w:t>式高效烘干机</w:t>
                  </w:r>
                </w:p>
              </w:tc>
              <w:tc>
                <w:tcPr>
                  <w:tcW w:w="1957" w:type="dxa"/>
                  <w:shd w:val="clear" w:color="auto" w:fill="auto"/>
                  <w:vAlign w:val="center"/>
                </w:tcPr>
                <w:p>
                  <w:pPr>
                    <w:pStyle w:val="91"/>
                  </w:pPr>
                  <w:r>
                    <w:t>HGLX-20*1.5</w:t>
                  </w:r>
                </w:p>
              </w:tc>
              <w:tc>
                <w:tcPr>
                  <w:tcW w:w="867" w:type="dxa"/>
                  <w:shd w:val="clear" w:color="auto" w:fill="auto"/>
                  <w:vAlign w:val="center"/>
                </w:tcPr>
                <w:p>
                  <w:pPr>
                    <w:pStyle w:val="91"/>
                  </w:pPr>
                  <w:r>
                    <w:rPr>
                      <w:rFonts w:hint="eastAsia"/>
                    </w:rPr>
                    <w:t>3</w:t>
                  </w:r>
                  <w:r>
                    <w:t>台</w:t>
                  </w:r>
                </w:p>
              </w:tc>
              <w:tc>
                <w:tcPr>
                  <w:tcW w:w="2617" w:type="dxa"/>
                  <w:shd w:val="clear" w:color="auto" w:fill="auto"/>
                  <w:vAlign w:val="center"/>
                </w:tcPr>
                <w:p>
                  <w:pPr>
                    <w:pStyle w:val="91"/>
                  </w:pPr>
                  <w:r>
                    <w:t>能源：天然气</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trPr>
              <w:tc>
                <w:tcPr>
                  <w:tcW w:w="827" w:type="dxa"/>
                  <w:vMerge w:val="continue"/>
                  <w:shd w:val="clear" w:color="auto" w:fill="auto"/>
                  <w:vAlign w:val="center"/>
                </w:tcPr>
                <w:p>
                  <w:pPr>
                    <w:pStyle w:val="91"/>
                  </w:pPr>
                </w:p>
              </w:tc>
              <w:tc>
                <w:tcPr>
                  <w:tcW w:w="1962" w:type="dxa"/>
                  <w:shd w:val="clear" w:color="auto" w:fill="auto"/>
                  <w:vAlign w:val="center"/>
                </w:tcPr>
                <w:p>
                  <w:pPr>
                    <w:pStyle w:val="91"/>
                  </w:pPr>
                  <w:r>
                    <w:rPr>
                      <w:rFonts w:hint="eastAsia"/>
                    </w:rPr>
                    <w:t>喷淋</w:t>
                  </w:r>
                  <w:r>
                    <w:t>除尘设备</w:t>
                  </w:r>
                </w:p>
              </w:tc>
              <w:tc>
                <w:tcPr>
                  <w:tcW w:w="1957" w:type="dxa"/>
                  <w:shd w:val="clear" w:color="auto" w:fill="auto"/>
                  <w:vAlign w:val="center"/>
                </w:tcPr>
                <w:p>
                  <w:pPr>
                    <w:pStyle w:val="91"/>
                  </w:pPr>
                  <w:r>
                    <w:rPr>
                      <w:rFonts w:hint="eastAsia"/>
                    </w:rPr>
                    <w:t>PLTS</w:t>
                  </w:r>
                  <w:r>
                    <w:t>-</w:t>
                  </w:r>
                  <w:r>
                    <w:rPr>
                      <w:rFonts w:hint="eastAsia"/>
                    </w:rPr>
                    <w:t>4000-2</w:t>
                  </w:r>
                  <w:r>
                    <w:t>型</w:t>
                  </w:r>
                </w:p>
              </w:tc>
              <w:tc>
                <w:tcPr>
                  <w:tcW w:w="867" w:type="dxa"/>
                  <w:shd w:val="clear" w:color="auto" w:fill="auto"/>
                  <w:vAlign w:val="center"/>
                </w:tcPr>
                <w:p>
                  <w:pPr>
                    <w:pStyle w:val="91"/>
                  </w:pPr>
                  <w:r>
                    <w:rPr>
                      <w:rFonts w:hint="eastAsia"/>
                    </w:rPr>
                    <w:t>1</w:t>
                  </w:r>
                  <w:r>
                    <w:t>套</w:t>
                  </w:r>
                </w:p>
              </w:tc>
              <w:tc>
                <w:tcPr>
                  <w:tcW w:w="2617" w:type="dxa"/>
                  <w:shd w:val="clear" w:color="auto" w:fill="auto"/>
                  <w:vAlign w:val="center"/>
                </w:tcPr>
                <w:p>
                  <w:pPr>
                    <w:pStyle w:val="91"/>
                  </w:pPr>
                  <w:r>
                    <w:rPr>
                      <w:rFonts w:hint="eastAsia"/>
                    </w:rPr>
                    <w:t>滚筒式烘干机</w:t>
                  </w:r>
                  <w:r>
                    <w:t>机配套除尘设施，单台风机风量</w:t>
                  </w:r>
                  <w:r>
                    <w:rPr>
                      <w:rFonts w:hint="eastAsia"/>
                    </w:rPr>
                    <w:t>2</w:t>
                  </w:r>
                  <w:r>
                    <w:t>0000-</w:t>
                  </w:r>
                  <w:r>
                    <w:rPr>
                      <w:rFonts w:hint="eastAsia"/>
                    </w:rPr>
                    <w:t>40</w:t>
                  </w:r>
                  <w:r>
                    <w:t>000m3/h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trPr>
              <w:tc>
                <w:tcPr>
                  <w:tcW w:w="827" w:type="dxa"/>
                  <w:vMerge w:val="continue"/>
                  <w:shd w:val="clear" w:color="auto" w:fill="auto"/>
                  <w:vAlign w:val="center"/>
                </w:tcPr>
                <w:p>
                  <w:pPr>
                    <w:pStyle w:val="91"/>
                  </w:pPr>
                </w:p>
              </w:tc>
              <w:tc>
                <w:tcPr>
                  <w:tcW w:w="1962" w:type="dxa"/>
                  <w:shd w:val="clear" w:color="auto" w:fill="auto"/>
                  <w:vAlign w:val="center"/>
                </w:tcPr>
                <w:p>
                  <w:pPr>
                    <w:pStyle w:val="91"/>
                  </w:pPr>
                  <w:r>
                    <w:t>4#爬坡输送机</w:t>
                  </w:r>
                </w:p>
              </w:tc>
              <w:tc>
                <w:tcPr>
                  <w:tcW w:w="1957" w:type="dxa"/>
                  <w:shd w:val="clear" w:color="auto" w:fill="auto"/>
                  <w:vAlign w:val="center"/>
                </w:tcPr>
                <w:p>
                  <w:pPr>
                    <w:pStyle w:val="91"/>
                  </w:pPr>
                </w:p>
              </w:tc>
              <w:tc>
                <w:tcPr>
                  <w:tcW w:w="867" w:type="dxa"/>
                  <w:shd w:val="clear" w:color="auto" w:fill="auto"/>
                  <w:vAlign w:val="center"/>
                </w:tcPr>
                <w:p>
                  <w:pPr>
                    <w:pStyle w:val="91"/>
                  </w:pPr>
                  <w:r>
                    <w:rPr>
                      <w:rFonts w:hint="eastAsia"/>
                    </w:rPr>
                    <w:t>3</w:t>
                  </w:r>
                  <w:r>
                    <w:t>台</w:t>
                  </w:r>
                </w:p>
              </w:tc>
              <w:tc>
                <w:tcPr>
                  <w:tcW w:w="2617" w:type="dxa"/>
                  <w:shd w:val="clear" w:color="auto" w:fill="auto"/>
                  <w:vAlign w:val="center"/>
                </w:tcPr>
                <w:p>
                  <w:pPr>
                    <w:pStyle w:val="91"/>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trPr>
              <w:tc>
                <w:tcPr>
                  <w:tcW w:w="827" w:type="dxa"/>
                  <w:vMerge w:val="continue"/>
                  <w:shd w:val="clear" w:color="auto" w:fill="auto"/>
                  <w:vAlign w:val="center"/>
                </w:tcPr>
                <w:p>
                  <w:pPr>
                    <w:pStyle w:val="91"/>
                  </w:pPr>
                </w:p>
              </w:tc>
              <w:tc>
                <w:tcPr>
                  <w:tcW w:w="1962" w:type="dxa"/>
                  <w:shd w:val="clear" w:color="auto" w:fill="auto"/>
                  <w:vAlign w:val="center"/>
                </w:tcPr>
                <w:p>
                  <w:pPr>
                    <w:pStyle w:val="91"/>
                  </w:pPr>
                  <w:r>
                    <w:t>5#爬坡输送机</w:t>
                  </w:r>
                </w:p>
              </w:tc>
              <w:tc>
                <w:tcPr>
                  <w:tcW w:w="1957" w:type="dxa"/>
                  <w:shd w:val="clear" w:color="auto" w:fill="auto"/>
                  <w:vAlign w:val="center"/>
                </w:tcPr>
                <w:p>
                  <w:pPr>
                    <w:pStyle w:val="91"/>
                  </w:pPr>
                </w:p>
              </w:tc>
              <w:tc>
                <w:tcPr>
                  <w:tcW w:w="867" w:type="dxa"/>
                  <w:shd w:val="clear" w:color="auto" w:fill="auto"/>
                  <w:vAlign w:val="center"/>
                </w:tcPr>
                <w:p>
                  <w:pPr>
                    <w:pStyle w:val="91"/>
                  </w:pPr>
                  <w:r>
                    <w:rPr>
                      <w:rFonts w:hint="eastAsia"/>
                    </w:rPr>
                    <w:t>3</w:t>
                  </w:r>
                  <w:r>
                    <w:t>台</w:t>
                  </w:r>
                </w:p>
              </w:tc>
              <w:tc>
                <w:tcPr>
                  <w:tcW w:w="2617" w:type="dxa"/>
                  <w:shd w:val="clear" w:color="auto" w:fill="auto"/>
                  <w:vAlign w:val="center"/>
                </w:tcPr>
                <w:p>
                  <w:pPr>
                    <w:pStyle w:val="91"/>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trPr>
              <w:tc>
                <w:tcPr>
                  <w:tcW w:w="827" w:type="dxa"/>
                  <w:vMerge w:val="continue"/>
                  <w:shd w:val="clear" w:color="auto" w:fill="auto"/>
                  <w:vAlign w:val="center"/>
                </w:tcPr>
                <w:p>
                  <w:pPr>
                    <w:pStyle w:val="91"/>
                  </w:pPr>
                </w:p>
              </w:tc>
              <w:tc>
                <w:tcPr>
                  <w:tcW w:w="1962" w:type="dxa"/>
                  <w:shd w:val="clear" w:color="auto" w:fill="auto"/>
                  <w:vAlign w:val="center"/>
                </w:tcPr>
                <w:p>
                  <w:pPr>
                    <w:pStyle w:val="91"/>
                  </w:pPr>
                  <w:r>
                    <w:t>3#螺旋输送机</w:t>
                  </w:r>
                </w:p>
              </w:tc>
              <w:tc>
                <w:tcPr>
                  <w:tcW w:w="1957" w:type="dxa"/>
                  <w:shd w:val="clear" w:color="auto" w:fill="auto"/>
                  <w:vAlign w:val="center"/>
                </w:tcPr>
                <w:p>
                  <w:pPr>
                    <w:pStyle w:val="91"/>
                  </w:pPr>
                </w:p>
              </w:tc>
              <w:tc>
                <w:tcPr>
                  <w:tcW w:w="867" w:type="dxa"/>
                  <w:shd w:val="clear" w:color="auto" w:fill="auto"/>
                  <w:vAlign w:val="center"/>
                </w:tcPr>
                <w:p>
                  <w:pPr>
                    <w:pStyle w:val="91"/>
                  </w:pPr>
                  <w:r>
                    <w:rPr>
                      <w:rFonts w:hint="eastAsia"/>
                    </w:rPr>
                    <w:t>3</w:t>
                  </w:r>
                  <w:r>
                    <w:t>台</w:t>
                  </w:r>
                </w:p>
              </w:tc>
              <w:tc>
                <w:tcPr>
                  <w:tcW w:w="2617" w:type="dxa"/>
                  <w:shd w:val="clear" w:color="auto" w:fill="auto"/>
                  <w:vAlign w:val="center"/>
                </w:tcPr>
                <w:p>
                  <w:pPr>
                    <w:pStyle w:val="91"/>
                  </w:pPr>
                  <w:r>
                    <w:t>变频</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trPr>
              <w:tc>
                <w:tcPr>
                  <w:tcW w:w="827" w:type="dxa"/>
                  <w:vMerge w:val="continue"/>
                  <w:shd w:val="clear" w:color="auto" w:fill="auto"/>
                  <w:vAlign w:val="center"/>
                </w:tcPr>
                <w:p>
                  <w:pPr>
                    <w:pStyle w:val="91"/>
                  </w:pPr>
                </w:p>
              </w:tc>
              <w:tc>
                <w:tcPr>
                  <w:tcW w:w="1962" w:type="dxa"/>
                  <w:shd w:val="clear" w:color="auto" w:fill="auto"/>
                  <w:vAlign w:val="center"/>
                </w:tcPr>
                <w:p>
                  <w:pPr>
                    <w:pStyle w:val="91"/>
                  </w:pPr>
                  <w:r>
                    <w:rPr>
                      <w:rFonts w:hint="eastAsia"/>
                    </w:rPr>
                    <w:t>除雾器</w:t>
                  </w:r>
                </w:p>
              </w:tc>
              <w:tc>
                <w:tcPr>
                  <w:tcW w:w="1957" w:type="dxa"/>
                  <w:shd w:val="clear" w:color="auto" w:fill="auto"/>
                  <w:vAlign w:val="center"/>
                </w:tcPr>
                <w:p>
                  <w:pPr>
                    <w:pStyle w:val="91"/>
                  </w:pPr>
                  <w:r>
                    <w:rPr>
                      <w:rFonts w:hint="eastAsia"/>
                    </w:rPr>
                    <w:t>PL</w:t>
                  </w:r>
                  <w:r>
                    <w:t>-</w:t>
                  </w:r>
                  <w:r>
                    <w:rPr>
                      <w:rFonts w:hint="eastAsia"/>
                    </w:rPr>
                    <w:t>10</w:t>
                  </w:r>
                  <w:r>
                    <w:t>00</w:t>
                  </w:r>
                  <w:r>
                    <w:rPr>
                      <w:rFonts w:hint="eastAsia"/>
                    </w:rPr>
                    <w:t>F</w:t>
                  </w:r>
                </w:p>
              </w:tc>
              <w:tc>
                <w:tcPr>
                  <w:tcW w:w="867" w:type="dxa"/>
                  <w:shd w:val="clear" w:color="auto" w:fill="auto"/>
                  <w:vAlign w:val="center"/>
                </w:tcPr>
                <w:p>
                  <w:pPr>
                    <w:pStyle w:val="91"/>
                  </w:pPr>
                  <w:r>
                    <w:rPr>
                      <w:rFonts w:hint="eastAsia"/>
                    </w:rPr>
                    <w:t>1</w:t>
                  </w:r>
                  <w:r>
                    <w:t>台</w:t>
                  </w:r>
                </w:p>
              </w:tc>
              <w:tc>
                <w:tcPr>
                  <w:tcW w:w="2617" w:type="dxa"/>
                  <w:shd w:val="clear" w:color="auto" w:fill="auto"/>
                  <w:vAlign w:val="center"/>
                </w:tcPr>
                <w:p>
                  <w:pPr>
                    <w:pStyle w:val="91"/>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90" w:hRule="atLeast"/>
              </w:trPr>
              <w:tc>
                <w:tcPr>
                  <w:tcW w:w="827" w:type="dxa"/>
                  <w:vMerge w:val="continue"/>
                  <w:shd w:val="clear" w:color="auto" w:fill="auto"/>
                  <w:vAlign w:val="center"/>
                </w:tcPr>
                <w:p>
                  <w:pPr>
                    <w:pStyle w:val="91"/>
                  </w:pPr>
                </w:p>
              </w:tc>
              <w:tc>
                <w:tcPr>
                  <w:tcW w:w="1962" w:type="dxa"/>
                  <w:shd w:val="clear" w:color="auto" w:fill="auto"/>
                  <w:vAlign w:val="center"/>
                </w:tcPr>
                <w:p>
                  <w:pPr>
                    <w:pStyle w:val="91"/>
                  </w:pPr>
                  <w:r>
                    <w:t>成品料仓</w:t>
                  </w:r>
                </w:p>
              </w:tc>
              <w:tc>
                <w:tcPr>
                  <w:tcW w:w="1957" w:type="dxa"/>
                  <w:shd w:val="clear" w:color="auto" w:fill="auto"/>
                  <w:vAlign w:val="center"/>
                </w:tcPr>
                <w:p>
                  <w:pPr>
                    <w:pStyle w:val="91"/>
                  </w:pPr>
                </w:p>
              </w:tc>
              <w:tc>
                <w:tcPr>
                  <w:tcW w:w="867" w:type="dxa"/>
                  <w:shd w:val="clear" w:color="auto" w:fill="auto"/>
                  <w:vAlign w:val="center"/>
                </w:tcPr>
                <w:p>
                  <w:pPr>
                    <w:pStyle w:val="91"/>
                  </w:pPr>
                  <w:r>
                    <w:rPr>
                      <w:rFonts w:hint="eastAsia"/>
                    </w:rPr>
                    <w:t>3</w:t>
                  </w:r>
                  <w:r>
                    <w:t>个</w:t>
                  </w:r>
                </w:p>
              </w:tc>
              <w:tc>
                <w:tcPr>
                  <w:tcW w:w="2617" w:type="dxa"/>
                  <w:shd w:val="clear" w:color="auto" w:fill="auto"/>
                  <w:vAlign w:val="center"/>
                </w:tcPr>
                <w:p>
                  <w:pPr>
                    <w:pStyle w:val="91"/>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trPr>
              <w:tc>
                <w:tcPr>
                  <w:tcW w:w="827" w:type="dxa"/>
                  <w:vMerge w:val="restart"/>
                  <w:shd w:val="clear" w:color="auto" w:fill="auto"/>
                  <w:vAlign w:val="center"/>
                </w:tcPr>
                <w:p>
                  <w:pPr>
                    <w:pStyle w:val="91"/>
                  </w:pPr>
                  <w:r>
                    <w:t>熔融设备及配套烟气处理设施</w:t>
                  </w:r>
                </w:p>
              </w:tc>
              <w:tc>
                <w:tcPr>
                  <w:tcW w:w="1962" w:type="dxa"/>
                  <w:shd w:val="clear" w:color="auto" w:fill="auto"/>
                  <w:vAlign w:val="center"/>
                </w:tcPr>
                <w:p>
                  <w:pPr>
                    <w:pStyle w:val="91"/>
                  </w:pPr>
                  <w:r>
                    <w:t>串联式谐振中频钢壳炉</w:t>
                  </w:r>
                </w:p>
              </w:tc>
              <w:tc>
                <w:tcPr>
                  <w:tcW w:w="1957" w:type="dxa"/>
                  <w:shd w:val="clear" w:color="auto" w:fill="auto"/>
                  <w:vAlign w:val="center"/>
                </w:tcPr>
                <w:p>
                  <w:pPr>
                    <w:pStyle w:val="91"/>
                  </w:pPr>
                  <w:r>
                    <w:t>KGCX-1500KW-3T</w:t>
                  </w:r>
                </w:p>
              </w:tc>
              <w:tc>
                <w:tcPr>
                  <w:tcW w:w="867" w:type="dxa"/>
                  <w:shd w:val="clear" w:color="auto" w:fill="auto"/>
                  <w:vAlign w:val="center"/>
                </w:tcPr>
                <w:p>
                  <w:pPr>
                    <w:pStyle w:val="91"/>
                  </w:pPr>
                  <w:r>
                    <w:rPr>
                      <w:rFonts w:hint="eastAsia"/>
                    </w:rPr>
                    <w:t>2</w:t>
                  </w:r>
                  <w:r>
                    <w:t>台</w:t>
                  </w:r>
                </w:p>
              </w:tc>
              <w:tc>
                <w:tcPr>
                  <w:tcW w:w="2617" w:type="dxa"/>
                  <w:shd w:val="clear" w:color="auto" w:fill="auto"/>
                  <w:vAlign w:val="center"/>
                </w:tcPr>
                <w:p>
                  <w:pPr>
                    <w:pStyle w:val="91"/>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trPr>
              <w:tc>
                <w:tcPr>
                  <w:tcW w:w="827" w:type="dxa"/>
                  <w:vMerge w:val="continue"/>
                  <w:shd w:val="clear" w:color="auto" w:fill="auto"/>
                  <w:vAlign w:val="center"/>
                </w:tcPr>
                <w:p>
                  <w:pPr>
                    <w:pStyle w:val="91"/>
                  </w:pPr>
                </w:p>
              </w:tc>
              <w:tc>
                <w:tcPr>
                  <w:tcW w:w="1962" w:type="dxa"/>
                  <w:shd w:val="clear" w:color="auto" w:fill="auto"/>
                  <w:vAlign w:val="center"/>
                </w:tcPr>
                <w:p>
                  <w:pPr>
                    <w:pStyle w:val="91"/>
                  </w:pPr>
                  <w:r>
                    <w:t>电源用内循环封闭水冷</w:t>
                  </w:r>
                </w:p>
              </w:tc>
              <w:tc>
                <w:tcPr>
                  <w:tcW w:w="1957" w:type="dxa"/>
                  <w:shd w:val="clear" w:color="auto" w:fill="auto"/>
                  <w:vAlign w:val="center"/>
                </w:tcPr>
                <w:p>
                  <w:pPr>
                    <w:pStyle w:val="91"/>
                  </w:pPr>
                  <w:r>
                    <w:t>HL-1500BP</w:t>
                  </w:r>
                </w:p>
              </w:tc>
              <w:tc>
                <w:tcPr>
                  <w:tcW w:w="867" w:type="dxa"/>
                  <w:shd w:val="clear" w:color="auto" w:fill="auto"/>
                  <w:vAlign w:val="center"/>
                </w:tcPr>
                <w:p>
                  <w:pPr>
                    <w:pStyle w:val="91"/>
                  </w:pPr>
                  <w:r>
                    <w:rPr>
                      <w:rFonts w:hint="eastAsia"/>
                    </w:rPr>
                    <w:t>2</w:t>
                  </w:r>
                  <w:r>
                    <w:t>台</w:t>
                  </w:r>
                </w:p>
              </w:tc>
              <w:tc>
                <w:tcPr>
                  <w:tcW w:w="2617" w:type="dxa"/>
                  <w:vMerge w:val="restart"/>
                  <w:shd w:val="clear" w:color="auto" w:fill="auto"/>
                  <w:vAlign w:val="center"/>
                </w:tcPr>
                <w:p>
                  <w:pPr>
                    <w:pStyle w:val="91"/>
                  </w:pPr>
                  <w:r>
                    <w:t>中频炉配套的循环水冷系统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trPr>
              <w:tc>
                <w:tcPr>
                  <w:tcW w:w="827" w:type="dxa"/>
                  <w:vMerge w:val="continue"/>
                  <w:shd w:val="clear" w:color="auto" w:fill="auto"/>
                  <w:vAlign w:val="center"/>
                </w:tcPr>
                <w:p>
                  <w:pPr>
                    <w:pStyle w:val="91"/>
                  </w:pPr>
                </w:p>
              </w:tc>
              <w:tc>
                <w:tcPr>
                  <w:tcW w:w="1962" w:type="dxa"/>
                  <w:shd w:val="clear" w:color="auto" w:fill="auto"/>
                  <w:vAlign w:val="center"/>
                </w:tcPr>
                <w:p>
                  <w:pPr>
                    <w:pStyle w:val="91"/>
                  </w:pPr>
                  <w:r>
                    <w:t>炉体用内循环封闭水冷</w:t>
                  </w:r>
                </w:p>
              </w:tc>
              <w:tc>
                <w:tcPr>
                  <w:tcW w:w="1957" w:type="dxa"/>
                  <w:shd w:val="clear" w:color="auto" w:fill="auto"/>
                  <w:vAlign w:val="center"/>
                </w:tcPr>
                <w:p>
                  <w:pPr>
                    <w:pStyle w:val="91"/>
                  </w:pPr>
                  <w:r>
                    <w:t>HL-3000BP</w:t>
                  </w:r>
                </w:p>
              </w:tc>
              <w:tc>
                <w:tcPr>
                  <w:tcW w:w="867" w:type="dxa"/>
                  <w:shd w:val="clear" w:color="auto" w:fill="auto"/>
                  <w:vAlign w:val="center"/>
                </w:tcPr>
                <w:p>
                  <w:pPr>
                    <w:pStyle w:val="91"/>
                  </w:pPr>
                  <w:r>
                    <w:rPr>
                      <w:rFonts w:hint="eastAsia"/>
                    </w:rPr>
                    <w:t>2</w:t>
                  </w:r>
                  <w:r>
                    <w:t>台</w:t>
                  </w:r>
                </w:p>
              </w:tc>
              <w:tc>
                <w:tcPr>
                  <w:tcW w:w="2617" w:type="dxa"/>
                  <w:vMerge w:val="continue"/>
                  <w:shd w:val="clear" w:color="auto" w:fill="auto"/>
                  <w:vAlign w:val="center"/>
                </w:tcPr>
                <w:p>
                  <w:pPr>
                    <w:pStyle w:val="91"/>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trPr>
              <w:tc>
                <w:tcPr>
                  <w:tcW w:w="827" w:type="dxa"/>
                  <w:vMerge w:val="continue"/>
                  <w:shd w:val="clear" w:color="auto" w:fill="auto"/>
                  <w:vAlign w:val="center"/>
                </w:tcPr>
                <w:p>
                  <w:pPr>
                    <w:pStyle w:val="91"/>
                  </w:pPr>
                </w:p>
              </w:tc>
              <w:tc>
                <w:tcPr>
                  <w:tcW w:w="1962" w:type="dxa"/>
                  <w:shd w:val="clear" w:color="auto" w:fill="auto"/>
                  <w:vAlign w:val="center"/>
                </w:tcPr>
                <w:p>
                  <w:pPr>
                    <w:pStyle w:val="91"/>
                  </w:pPr>
                  <w:r>
                    <w:rPr>
                      <w:rFonts w:hint="eastAsia"/>
                    </w:rPr>
                    <w:t>布袋</w:t>
                  </w:r>
                  <w:r>
                    <w:t>除尘器</w:t>
                  </w:r>
                </w:p>
              </w:tc>
              <w:tc>
                <w:tcPr>
                  <w:tcW w:w="1957" w:type="dxa"/>
                  <w:shd w:val="clear" w:color="auto" w:fill="auto"/>
                  <w:vAlign w:val="center"/>
                </w:tcPr>
                <w:p>
                  <w:pPr>
                    <w:pStyle w:val="91"/>
                  </w:pPr>
                  <w:r>
                    <w:t>ZF-112*1500</w:t>
                  </w:r>
                </w:p>
              </w:tc>
              <w:tc>
                <w:tcPr>
                  <w:tcW w:w="867" w:type="dxa"/>
                  <w:shd w:val="clear" w:color="auto" w:fill="auto"/>
                  <w:vAlign w:val="center"/>
                </w:tcPr>
                <w:p>
                  <w:pPr>
                    <w:pStyle w:val="91"/>
                  </w:pPr>
                  <w:r>
                    <w:rPr>
                      <w:rFonts w:hint="eastAsia"/>
                    </w:rPr>
                    <w:t>1</w:t>
                  </w:r>
                  <w:r>
                    <w:t>套</w:t>
                  </w:r>
                </w:p>
              </w:tc>
              <w:tc>
                <w:tcPr>
                  <w:tcW w:w="2617" w:type="dxa"/>
                  <w:shd w:val="clear" w:color="auto" w:fill="auto"/>
                  <w:vAlign w:val="center"/>
                </w:tcPr>
                <w:p>
                  <w:pPr>
                    <w:pStyle w:val="91"/>
                  </w:pPr>
                  <w:r>
                    <w:t>除尘设备，单套风机风量</w:t>
                  </w:r>
                  <w:r>
                    <w:rPr>
                      <w:rFonts w:hint="eastAsia"/>
                    </w:rPr>
                    <w:t>82</w:t>
                  </w:r>
                  <w:r>
                    <w:t>000m</w:t>
                  </w:r>
                  <w:r>
                    <w:rPr>
                      <w:vertAlign w:val="superscript"/>
                    </w:rPr>
                    <w:t>3</w:t>
                  </w:r>
                  <w:r>
                    <w:t>/h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trPr>
              <w:tc>
                <w:tcPr>
                  <w:tcW w:w="827" w:type="dxa"/>
                  <w:vMerge w:val="continue"/>
                  <w:shd w:val="clear" w:color="auto" w:fill="auto"/>
                  <w:vAlign w:val="center"/>
                </w:tcPr>
                <w:p>
                  <w:pPr>
                    <w:pStyle w:val="91"/>
                  </w:pPr>
                </w:p>
              </w:tc>
              <w:tc>
                <w:tcPr>
                  <w:tcW w:w="1962" w:type="dxa"/>
                  <w:shd w:val="clear" w:color="auto" w:fill="auto"/>
                  <w:vAlign w:val="center"/>
                </w:tcPr>
                <w:p>
                  <w:pPr>
                    <w:pStyle w:val="91"/>
                  </w:pPr>
                  <w:r>
                    <w:t>铁水包</w:t>
                  </w:r>
                </w:p>
              </w:tc>
              <w:tc>
                <w:tcPr>
                  <w:tcW w:w="1957" w:type="dxa"/>
                  <w:shd w:val="clear" w:color="auto" w:fill="auto"/>
                  <w:vAlign w:val="center"/>
                </w:tcPr>
                <w:p>
                  <w:pPr>
                    <w:pStyle w:val="91"/>
                  </w:pPr>
                  <w:r>
                    <w:t>3T</w:t>
                  </w:r>
                </w:p>
              </w:tc>
              <w:tc>
                <w:tcPr>
                  <w:tcW w:w="867" w:type="dxa"/>
                  <w:shd w:val="clear" w:color="auto" w:fill="auto"/>
                  <w:vAlign w:val="center"/>
                </w:tcPr>
                <w:p>
                  <w:pPr>
                    <w:pStyle w:val="91"/>
                  </w:pPr>
                  <w:r>
                    <w:rPr>
                      <w:rFonts w:hint="eastAsia"/>
                    </w:rPr>
                    <w:t>2</w:t>
                  </w:r>
                  <w:r>
                    <w:t>个</w:t>
                  </w:r>
                </w:p>
              </w:tc>
              <w:tc>
                <w:tcPr>
                  <w:tcW w:w="2617" w:type="dxa"/>
                  <w:shd w:val="clear" w:color="auto" w:fill="auto"/>
                  <w:vAlign w:val="center"/>
                </w:tcPr>
                <w:p>
                  <w:pPr>
                    <w:pStyle w:val="91"/>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trPr>
              <w:tc>
                <w:tcPr>
                  <w:tcW w:w="827" w:type="dxa"/>
                  <w:vMerge w:val="continue"/>
                  <w:shd w:val="clear" w:color="auto" w:fill="auto"/>
                  <w:vAlign w:val="center"/>
                </w:tcPr>
                <w:p>
                  <w:pPr>
                    <w:pStyle w:val="91"/>
                  </w:pPr>
                </w:p>
              </w:tc>
              <w:tc>
                <w:tcPr>
                  <w:tcW w:w="1962" w:type="dxa"/>
                  <w:shd w:val="clear" w:color="auto" w:fill="auto"/>
                  <w:vAlign w:val="center"/>
                </w:tcPr>
                <w:p>
                  <w:pPr>
                    <w:pStyle w:val="91"/>
                  </w:pPr>
                  <w:r>
                    <w:t>铸模</w:t>
                  </w:r>
                </w:p>
              </w:tc>
              <w:tc>
                <w:tcPr>
                  <w:tcW w:w="1957" w:type="dxa"/>
                  <w:shd w:val="clear" w:color="auto" w:fill="auto"/>
                  <w:vAlign w:val="center"/>
                </w:tcPr>
                <w:p>
                  <w:pPr>
                    <w:pStyle w:val="91"/>
                  </w:pPr>
                  <w:r>
                    <w:t>10t/h</w:t>
                  </w:r>
                </w:p>
              </w:tc>
              <w:tc>
                <w:tcPr>
                  <w:tcW w:w="867" w:type="dxa"/>
                  <w:shd w:val="clear" w:color="auto" w:fill="auto"/>
                  <w:vAlign w:val="center"/>
                </w:tcPr>
                <w:p>
                  <w:pPr>
                    <w:pStyle w:val="91"/>
                  </w:pPr>
                  <w:r>
                    <w:rPr>
                      <w:rFonts w:hint="eastAsia"/>
                    </w:rPr>
                    <w:t>3</w:t>
                  </w:r>
                  <w:r>
                    <w:t>套</w:t>
                  </w:r>
                </w:p>
              </w:tc>
              <w:tc>
                <w:tcPr>
                  <w:tcW w:w="2617" w:type="dxa"/>
                  <w:shd w:val="clear" w:color="auto" w:fill="auto"/>
                  <w:vAlign w:val="center"/>
                </w:tcPr>
                <w:p>
                  <w:pPr>
                    <w:pStyle w:val="91"/>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trPr>
              <w:tc>
                <w:tcPr>
                  <w:tcW w:w="827" w:type="dxa"/>
                  <w:vMerge w:val="continue"/>
                  <w:shd w:val="clear" w:color="auto" w:fill="auto"/>
                  <w:vAlign w:val="center"/>
                </w:tcPr>
                <w:p>
                  <w:pPr>
                    <w:pStyle w:val="91"/>
                  </w:pPr>
                </w:p>
              </w:tc>
              <w:tc>
                <w:tcPr>
                  <w:tcW w:w="1962" w:type="dxa"/>
                  <w:shd w:val="clear" w:color="auto" w:fill="auto"/>
                  <w:vAlign w:val="center"/>
                </w:tcPr>
                <w:p>
                  <w:pPr>
                    <w:pStyle w:val="91"/>
                  </w:pPr>
                  <w:r>
                    <w:t>炉前变压器</w:t>
                  </w:r>
                </w:p>
              </w:tc>
              <w:tc>
                <w:tcPr>
                  <w:tcW w:w="1957" w:type="dxa"/>
                  <w:shd w:val="clear" w:color="auto" w:fill="auto"/>
                  <w:vAlign w:val="center"/>
                </w:tcPr>
                <w:p>
                  <w:pPr>
                    <w:pStyle w:val="91"/>
                  </w:pPr>
                  <w:r>
                    <w:t>Zps-1250kva/35kv/2</w:t>
                  </w:r>
                </w:p>
                <w:p>
                  <w:pPr>
                    <w:pStyle w:val="91"/>
                  </w:pPr>
                  <w:r>
                    <w:t>*0.575KVA</w:t>
                  </w:r>
                </w:p>
              </w:tc>
              <w:tc>
                <w:tcPr>
                  <w:tcW w:w="867" w:type="dxa"/>
                  <w:shd w:val="clear" w:color="auto" w:fill="auto"/>
                  <w:vAlign w:val="center"/>
                </w:tcPr>
                <w:p>
                  <w:pPr>
                    <w:pStyle w:val="91"/>
                  </w:pPr>
                  <w:r>
                    <w:rPr>
                      <w:rFonts w:hint="eastAsia"/>
                    </w:rPr>
                    <w:t>2</w:t>
                  </w:r>
                  <w:r>
                    <w:t>套</w:t>
                  </w:r>
                </w:p>
              </w:tc>
              <w:tc>
                <w:tcPr>
                  <w:tcW w:w="2617" w:type="dxa"/>
                  <w:shd w:val="clear" w:color="auto" w:fill="auto"/>
                  <w:vAlign w:val="center"/>
                </w:tcPr>
                <w:p>
                  <w:pPr>
                    <w:pStyle w:val="91"/>
                  </w:pPr>
                </w:p>
              </w:tc>
            </w:tr>
          </w:tbl>
          <w:p>
            <w:pPr>
              <w:widowControl/>
              <w:adjustRightInd w:val="0"/>
              <w:snapToGrid w:val="0"/>
              <w:ind w:firstLine="480"/>
              <w:rPr>
                <w:bCs/>
              </w:rPr>
            </w:pPr>
            <w:r>
              <w:rPr>
                <w:rFonts w:hint="eastAsia"/>
                <w:bCs/>
              </w:rPr>
              <w:t>5、共用工程</w:t>
            </w:r>
          </w:p>
          <w:p>
            <w:pPr>
              <w:numPr>
                <w:ilvl w:val="0"/>
                <w:numId w:val="5"/>
              </w:numPr>
              <w:adjustRightInd w:val="0"/>
              <w:snapToGrid w:val="0"/>
              <w:ind w:firstLine="480"/>
            </w:pPr>
            <w:r>
              <w:rPr>
                <w:rFonts w:hint="eastAsia"/>
              </w:rPr>
              <w:t>给水</w:t>
            </w:r>
          </w:p>
          <w:p>
            <w:pPr>
              <w:adjustRightInd w:val="0"/>
              <w:snapToGrid w:val="0"/>
              <w:ind w:firstLine="480"/>
            </w:pPr>
            <w:r>
              <w:rPr>
                <w:rFonts w:hint="eastAsia"/>
              </w:rPr>
              <w:t>本项目用水主要为生产、生活用水，用水来源均为市政自来水。本项目生产人员由其他生产线内部调配，不新增人员。</w:t>
            </w:r>
          </w:p>
          <w:p>
            <w:pPr>
              <w:pStyle w:val="18"/>
              <w:adjustRightInd w:val="0"/>
              <w:snapToGrid w:val="0"/>
              <w:spacing w:line="360" w:lineRule="auto"/>
              <w:ind w:left="0" w:right="0"/>
              <w:jc w:val="both"/>
              <w:rPr>
                <w:b w:val="0"/>
                <w:sz w:val="24"/>
                <w:szCs w:val="24"/>
              </w:rPr>
            </w:pPr>
            <w:r>
              <w:rPr>
                <w:b w:val="0"/>
                <w:sz w:val="24"/>
                <w:szCs w:val="24"/>
              </w:rPr>
              <w:t>（</w:t>
            </w:r>
            <w:r>
              <w:rPr>
                <w:rFonts w:hint="eastAsia"/>
                <w:b w:val="0"/>
                <w:sz w:val="24"/>
                <w:szCs w:val="24"/>
              </w:rPr>
              <w:t>1</w:t>
            </w:r>
            <w:r>
              <w:rPr>
                <w:b w:val="0"/>
                <w:sz w:val="24"/>
                <w:szCs w:val="24"/>
              </w:rPr>
              <w:t>）</w:t>
            </w:r>
            <w:r>
              <w:rPr>
                <w:rFonts w:hint="eastAsia"/>
                <w:b w:val="0"/>
                <w:sz w:val="24"/>
                <w:szCs w:val="24"/>
              </w:rPr>
              <w:t>生产用水</w:t>
            </w:r>
          </w:p>
          <w:p>
            <w:pPr>
              <w:ind w:firstLine="480"/>
            </w:pPr>
            <w:r>
              <w:t>①</w:t>
            </w:r>
            <w:r>
              <w:rPr>
                <w:rFonts w:hint="eastAsia"/>
              </w:rPr>
              <w:t>制粒工序</w:t>
            </w:r>
          </w:p>
          <w:p>
            <w:pPr>
              <w:ind w:firstLine="480"/>
            </w:pPr>
            <w:r>
              <w:rPr>
                <w:rFonts w:hint="eastAsia"/>
              </w:rPr>
              <w:t>根据建设单位提供的相关资料，本项目原料中约有25%的硅泥需进行制粒工序，此部分硅泥在进入</w:t>
            </w:r>
            <w:r>
              <w:t>高位均料机中</w:t>
            </w:r>
            <w:r>
              <w:rPr>
                <w:rFonts w:hint="eastAsia"/>
              </w:rPr>
              <w:t>后添加一定水后再通过密闭廊道输送制卧式制粒机进行制粒，加水比例约为：M</w:t>
            </w:r>
            <w:r>
              <w:rPr>
                <w:rFonts w:hint="eastAsia"/>
                <w:vertAlign w:val="subscript"/>
              </w:rPr>
              <w:t>硅泥</w:t>
            </w:r>
            <w:r>
              <w:rPr>
                <w:rFonts w:hint="eastAsia"/>
              </w:rPr>
              <w:t>：M</w:t>
            </w:r>
            <w:r>
              <w:rPr>
                <w:rFonts w:hint="eastAsia"/>
                <w:vertAlign w:val="subscript"/>
              </w:rPr>
              <w:t>水</w:t>
            </w:r>
            <w:r>
              <w:rPr>
                <w:rFonts w:hint="eastAsia"/>
              </w:rPr>
              <w:t>=20:3，本项目需进行制粒的硅泥量约为0.25万t/a，则需加入的水量约为375t/a。</w:t>
            </w:r>
          </w:p>
          <w:p>
            <w:pPr>
              <w:ind w:firstLine="480"/>
            </w:pPr>
            <w:r>
              <w:t>②</w:t>
            </w:r>
            <w:r>
              <w:rPr>
                <w:rFonts w:hint="eastAsia"/>
              </w:rPr>
              <w:t>冷却用水</w:t>
            </w:r>
          </w:p>
          <w:p>
            <w:pPr>
              <w:pStyle w:val="3"/>
              <w:adjustRightInd w:val="0"/>
              <w:spacing w:before="0" w:beforeAutospacing="0" w:after="0" w:afterAutospacing="0"/>
              <w:ind w:firstLine="480"/>
              <w:jc w:val="both"/>
              <w:rPr>
                <w:rFonts w:hint="default" w:ascii="Times New Roman" w:hAnsi="Times New Roman"/>
                <w:b w:val="0"/>
                <w:bCs w:val="0"/>
                <w:snapToGrid w:val="0"/>
                <w:sz w:val="24"/>
                <w:szCs w:val="24"/>
              </w:rPr>
            </w:pPr>
            <w:r>
              <w:rPr>
                <w:rFonts w:ascii="Times New Roman" w:hAnsi="Times New Roman"/>
                <w:b w:val="0"/>
                <w:bCs w:val="0"/>
                <w:snapToGrid w:val="0"/>
                <w:sz w:val="24"/>
                <w:szCs w:val="24"/>
              </w:rPr>
              <w:t>本项目生产用水为为中频炉冷却用水。中频炉内循环水量约15m</w:t>
            </w:r>
            <w:r>
              <w:rPr>
                <w:rFonts w:ascii="Times New Roman" w:hAnsi="Times New Roman"/>
                <w:b w:val="0"/>
                <w:bCs w:val="0"/>
                <w:snapToGrid w:val="0"/>
                <w:sz w:val="24"/>
                <w:szCs w:val="24"/>
                <w:vertAlign w:val="superscript"/>
              </w:rPr>
              <w:t>3</w:t>
            </w:r>
            <w:r>
              <w:rPr>
                <w:rFonts w:ascii="Times New Roman" w:hAnsi="Times New Roman"/>
                <w:b w:val="0"/>
                <w:bCs w:val="0"/>
                <w:snapToGrid w:val="0"/>
                <w:sz w:val="24"/>
                <w:szCs w:val="24"/>
              </w:rPr>
              <w:t>/d，单台中频炉每周定期补充新鲜水约2m</w:t>
            </w:r>
            <w:r>
              <w:rPr>
                <w:rFonts w:ascii="Times New Roman" w:hAnsi="Times New Roman"/>
                <w:b w:val="0"/>
                <w:bCs w:val="0"/>
                <w:snapToGrid w:val="0"/>
                <w:sz w:val="24"/>
                <w:szCs w:val="24"/>
                <w:vertAlign w:val="superscript"/>
              </w:rPr>
              <w:t>3</w:t>
            </w:r>
            <w:r>
              <w:rPr>
                <w:rFonts w:ascii="Times New Roman" w:hAnsi="Times New Roman"/>
                <w:b w:val="0"/>
                <w:bCs w:val="0"/>
                <w:snapToGrid w:val="0"/>
                <w:sz w:val="24"/>
                <w:szCs w:val="24"/>
              </w:rPr>
              <w:t>，则新鲜水年补充量约172m</w:t>
            </w:r>
            <w:r>
              <w:rPr>
                <w:rFonts w:ascii="Times New Roman" w:hAnsi="Times New Roman"/>
                <w:b w:val="0"/>
                <w:bCs w:val="0"/>
                <w:snapToGrid w:val="0"/>
                <w:sz w:val="24"/>
                <w:szCs w:val="24"/>
                <w:vertAlign w:val="superscript"/>
              </w:rPr>
              <w:t>3</w:t>
            </w:r>
            <w:r>
              <w:rPr>
                <w:rFonts w:ascii="Times New Roman" w:hAnsi="Times New Roman"/>
                <w:b w:val="0"/>
                <w:bCs w:val="0"/>
                <w:snapToGrid w:val="0"/>
                <w:sz w:val="24"/>
                <w:szCs w:val="24"/>
              </w:rPr>
              <w:t>/a。</w:t>
            </w:r>
          </w:p>
          <w:p>
            <w:pPr>
              <w:ind w:firstLine="480"/>
            </w:pPr>
            <w:r>
              <w:t>③</w:t>
            </w:r>
            <w:r>
              <w:rPr>
                <w:rFonts w:hint="eastAsia"/>
              </w:rPr>
              <w:t>喷淋用水</w:t>
            </w:r>
          </w:p>
          <w:p>
            <w:pPr>
              <w:pStyle w:val="3"/>
              <w:adjustRightInd w:val="0"/>
              <w:spacing w:before="0" w:beforeAutospacing="0" w:after="0" w:afterAutospacing="0"/>
              <w:ind w:firstLine="480"/>
              <w:jc w:val="both"/>
              <w:rPr>
                <w:rFonts w:hint="default"/>
              </w:rPr>
            </w:pPr>
            <w:r>
              <w:rPr>
                <w:rFonts w:ascii="Times New Roman" w:hAnsi="Times New Roman"/>
                <w:b w:val="0"/>
                <w:bCs w:val="0"/>
                <w:snapToGrid w:val="0"/>
                <w:sz w:val="24"/>
                <w:szCs w:val="24"/>
              </w:rPr>
              <w:t>本项目烘干废气采用喷淋塔进行除尘处理，处理后的废气通过折流板式除雾器进行除雾，根据建设单位提供的相关资料，喷淋装置内循环水量为10m</w:t>
            </w:r>
            <w:r>
              <w:rPr>
                <w:rFonts w:ascii="Times New Roman" w:hAnsi="Times New Roman"/>
                <w:b w:val="0"/>
                <w:bCs w:val="0"/>
                <w:snapToGrid w:val="0"/>
                <w:sz w:val="24"/>
                <w:szCs w:val="24"/>
                <w:vertAlign w:val="superscript"/>
              </w:rPr>
              <w:t>3</w:t>
            </w:r>
            <w:r>
              <w:rPr>
                <w:rFonts w:ascii="Times New Roman" w:hAnsi="Times New Roman"/>
                <w:b w:val="0"/>
                <w:bCs w:val="0"/>
                <w:snapToGrid w:val="0"/>
                <w:sz w:val="24"/>
                <w:szCs w:val="24"/>
              </w:rPr>
              <w:t>/d，每周定期补充新鲜水约1m</w:t>
            </w:r>
            <w:r>
              <w:rPr>
                <w:rFonts w:ascii="Times New Roman" w:hAnsi="Times New Roman"/>
                <w:b w:val="0"/>
                <w:bCs w:val="0"/>
                <w:snapToGrid w:val="0"/>
                <w:sz w:val="24"/>
                <w:szCs w:val="24"/>
                <w:vertAlign w:val="superscript"/>
              </w:rPr>
              <w:t>3</w:t>
            </w:r>
            <w:r>
              <w:rPr>
                <w:rFonts w:ascii="Times New Roman" w:hAnsi="Times New Roman"/>
                <w:b w:val="0"/>
                <w:bCs w:val="0"/>
                <w:snapToGrid w:val="0"/>
                <w:sz w:val="24"/>
                <w:szCs w:val="24"/>
              </w:rPr>
              <w:t>，则新鲜水年补充量约43m</w:t>
            </w:r>
            <w:r>
              <w:rPr>
                <w:rFonts w:ascii="Times New Roman" w:hAnsi="Times New Roman"/>
                <w:b w:val="0"/>
                <w:bCs w:val="0"/>
                <w:snapToGrid w:val="0"/>
                <w:sz w:val="24"/>
                <w:szCs w:val="24"/>
                <w:vertAlign w:val="superscript"/>
              </w:rPr>
              <w:t>3</w:t>
            </w:r>
            <w:r>
              <w:rPr>
                <w:rFonts w:ascii="Times New Roman" w:hAnsi="Times New Roman"/>
                <w:b w:val="0"/>
                <w:bCs w:val="0"/>
                <w:snapToGrid w:val="0"/>
                <w:sz w:val="24"/>
                <w:szCs w:val="24"/>
              </w:rPr>
              <w:t>/a。</w:t>
            </w:r>
          </w:p>
          <w:p>
            <w:pPr>
              <w:pStyle w:val="18"/>
              <w:adjustRightInd w:val="0"/>
              <w:snapToGrid w:val="0"/>
              <w:spacing w:line="360" w:lineRule="auto"/>
              <w:ind w:left="480" w:leftChars="200" w:right="0" w:firstLine="0" w:firstLineChars="0"/>
              <w:jc w:val="both"/>
              <w:rPr>
                <w:b w:val="0"/>
                <w:sz w:val="24"/>
                <w:szCs w:val="24"/>
              </w:rPr>
            </w:pPr>
            <w:r>
              <w:rPr>
                <w:rFonts w:hint="eastAsia"/>
                <w:b w:val="0"/>
                <w:sz w:val="24"/>
                <w:szCs w:val="24"/>
              </w:rPr>
              <w:t>（2）排水</w:t>
            </w:r>
          </w:p>
          <w:p>
            <w:pPr>
              <w:ind w:firstLine="480"/>
              <w:rPr>
                <w:bCs/>
                <w:szCs w:val="30"/>
              </w:rPr>
            </w:pPr>
            <w:r>
              <w:rPr>
                <w:bCs/>
                <w:szCs w:val="30"/>
              </w:rPr>
              <w:t>本项目</w:t>
            </w:r>
            <w:r>
              <w:rPr>
                <w:rFonts w:hint="eastAsia"/>
                <w:bCs/>
                <w:szCs w:val="30"/>
              </w:rPr>
              <w:t>不新增生活污水，冷却水循环使用不外排，喷淋水循环使用不外排。</w:t>
            </w:r>
          </w:p>
          <w:p>
            <w:pPr>
              <w:adjustRightInd w:val="0"/>
              <w:ind w:firstLine="480"/>
              <w:rPr>
                <w:b/>
                <w:snapToGrid w:val="0"/>
                <w:kern w:val="0"/>
                <w:szCs w:val="21"/>
              </w:rPr>
            </w:pPr>
            <w:r>
              <w:rPr>
                <w:bCs/>
                <w:snapToGrid w:val="0"/>
                <w:kern w:val="0"/>
              </w:rPr>
              <w:t>本项目水量平衡见表</w:t>
            </w:r>
            <w:r>
              <w:rPr>
                <w:rFonts w:hint="eastAsia"/>
                <w:bCs/>
                <w:snapToGrid w:val="0"/>
                <w:kern w:val="0"/>
              </w:rPr>
              <w:t>2-5</w:t>
            </w:r>
            <w:r>
              <w:rPr>
                <w:bCs/>
                <w:snapToGrid w:val="0"/>
                <w:kern w:val="0"/>
              </w:rPr>
              <w:t>，水量平衡图见图</w:t>
            </w:r>
            <w:r>
              <w:rPr>
                <w:rFonts w:hint="eastAsia"/>
                <w:bCs/>
                <w:snapToGrid w:val="0"/>
                <w:kern w:val="0"/>
              </w:rPr>
              <w:t>2</w:t>
            </w:r>
            <w:r>
              <w:rPr>
                <w:bCs/>
                <w:snapToGrid w:val="0"/>
                <w:kern w:val="0"/>
              </w:rPr>
              <w:t>-1。</w:t>
            </w:r>
          </w:p>
          <w:p>
            <w:pPr>
              <w:pStyle w:val="85"/>
              <w:rPr>
                <w:color w:val="auto"/>
              </w:rPr>
            </w:pPr>
            <w:r>
              <w:rPr>
                <w:color w:val="auto"/>
              </w:rPr>
              <w:t>表</w:t>
            </w:r>
            <w:r>
              <w:rPr>
                <w:rFonts w:hint="eastAsia"/>
                <w:color w:val="auto"/>
              </w:rPr>
              <w:t>2-5</w:t>
            </w:r>
            <w:r>
              <w:rPr>
                <w:color w:val="auto"/>
              </w:rPr>
              <w:t>项目水量平衡表</w:t>
            </w:r>
          </w:p>
          <w:tbl>
            <w:tblPr>
              <w:tblStyle w:val="37"/>
              <w:tblW w:w="82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1"/>
              <w:gridCol w:w="1289"/>
              <w:gridCol w:w="983"/>
              <w:gridCol w:w="909"/>
              <w:gridCol w:w="1054"/>
              <w:gridCol w:w="1043"/>
              <w:gridCol w:w="1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111" w:type="dxa"/>
                  <w:vMerge w:val="restart"/>
                  <w:vAlign w:val="center"/>
                </w:tcPr>
                <w:p>
                  <w:pPr>
                    <w:pStyle w:val="91"/>
                  </w:pPr>
                  <w:r>
                    <w:t>用水类别</w:t>
                  </w:r>
                </w:p>
              </w:tc>
              <w:tc>
                <w:tcPr>
                  <w:tcW w:w="1289" w:type="dxa"/>
                  <w:vMerge w:val="restart"/>
                  <w:vAlign w:val="center"/>
                </w:tcPr>
                <w:p>
                  <w:pPr>
                    <w:pStyle w:val="91"/>
                  </w:pPr>
                  <w:r>
                    <w:t>用水定额</w:t>
                  </w:r>
                </w:p>
              </w:tc>
              <w:tc>
                <w:tcPr>
                  <w:tcW w:w="983" w:type="dxa"/>
                  <w:vMerge w:val="restart"/>
                  <w:vAlign w:val="center"/>
                </w:tcPr>
                <w:p>
                  <w:pPr>
                    <w:pStyle w:val="91"/>
                  </w:pPr>
                  <w:r>
                    <w:t>规模</w:t>
                  </w:r>
                </w:p>
              </w:tc>
              <w:tc>
                <w:tcPr>
                  <w:tcW w:w="909" w:type="dxa"/>
                  <w:vMerge w:val="restart"/>
                  <w:vAlign w:val="center"/>
                </w:tcPr>
                <w:p>
                  <w:pPr>
                    <w:pStyle w:val="91"/>
                  </w:pPr>
                  <w:r>
                    <w:t>年用水频次</w:t>
                  </w:r>
                </w:p>
              </w:tc>
              <w:tc>
                <w:tcPr>
                  <w:tcW w:w="1054" w:type="dxa"/>
                  <w:vMerge w:val="restart"/>
                  <w:vAlign w:val="center"/>
                </w:tcPr>
                <w:p>
                  <w:pPr>
                    <w:pStyle w:val="91"/>
                  </w:pPr>
                  <w:r>
                    <w:t>年用水情况(t/a)</w:t>
                  </w:r>
                </w:p>
              </w:tc>
              <w:tc>
                <w:tcPr>
                  <w:tcW w:w="1043" w:type="dxa"/>
                  <w:vMerge w:val="restart"/>
                  <w:vAlign w:val="center"/>
                </w:tcPr>
                <w:p>
                  <w:pPr>
                    <w:pStyle w:val="91"/>
                  </w:pPr>
                  <w:r>
                    <w:t>年排水情况(t/a)</w:t>
                  </w:r>
                </w:p>
              </w:tc>
              <w:tc>
                <w:tcPr>
                  <w:tcW w:w="1847" w:type="dxa"/>
                  <w:vMerge w:val="restart"/>
                  <w:vAlign w:val="center"/>
                </w:tcPr>
                <w:p>
                  <w:pPr>
                    <w:pStyle w:val="91"/>
                  </w:pPr>
                  <w:r>
                    <w:t>排放去向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111" w:type="dxa"/>
                  <w:vMerge w:val="continue"/>
                  <w:vAlign w:val="center"/>
                </w:tcPr>
                <w:p>
                  <w:pPr>
                    <w:pStyle w:val="91"/>
                  </w:pPr>
                </w:p>
              </w:tc>
              <w:tc>
                <w:tcPr>
                  <w:tcW w:w="1289" w:type="dxa"/>
                  <w:vMerge w:val="continue"/>
                  <w:vAlign w:val="center"/>
                </w:tcPr>
                <w:p>
                  <w:pPr>
                    <w:pStyle w:val="91"/>
                  </w:pPr>
                </w:p>
              </w:tc>
              <w:tc>
                <w:tcPr>
                  <w:tcW w:w="983" w:type="dxa"/>
                  <w:vMerge w:val="continue"/>
                  <w:vAlign w:val="center"/>
                </w:tcPr>
                <w:p>
                  <w:pPr>
                    <w:pStyle w:val="91"/>
                  </w:pPr>
                </w:p>
              </w:tc>
              <w:tc>
                <w:tcPr>
                  <w:tcW w:w="909" w:type="dxa"/>
                  <w:vMerge w:val="continue"/>
                  <w:vAlign w:val="center"/>
                </w:tcPr>
                <w:p>
                  <w:pPr>
                    <w:pStyle w:val="91"/>
                  </w:pPr>
                </w:p>
              </w:tc>
              <w:tc>
                <w:tcPr>
                  <w:tcW w:w="1054" w:type="dxa"/>
                  <w:vMerge w:val="continue"/>
                  <w:vAlign w:val="center"/>
                </w:tcPr>
                <w:p>
                  <w:pPr>
                    <w:pStyle w:val="91"/>
                  </w:pPr>
                </w:p>
              </w:tc>
              <w:tc>
                <w:tcPr>
                  <w:tcW w:w="1043" w:type="dxa"/>
                  <w:vMerge w:val="continue"/>
                  <w:vAlign w:val="center"/>
                </w:tcPr>
                <w:p>
                  <w:pPr>
                    <w:pStyle w:val="91"/>
                  </w:pPr>
                </w:p>
              </w:tc>
              <w:tc>
                <w:tcPr>
                  <w:tcW w:w="1847" w:type="dxa"/>
                  <w:vMerge w:val="continue"/>
                  <w:vAlign w:val="center"/>
                </w:tcPr>
                <w:p>
                  <w:pPr>
                    <w:pStyle w:val="9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1" w:type="dxa"/>
                  <w:vAlign w:val="center"/>
                </w:tcPr>
                <w:p>
                  <w:pPr>
                    <w:pStyle w:val="91"/>
                  </w:pPr>
                  <w:r>
                    <w:rPr>
                      <w:rFonts w:hint="eastAsia"/>
                    </w:rPr>
                    <w:t>制粒用水</w:t>
                  </w:r>
                </w:p>
              </w:tc>
              <w:tc>
                <w:tcPr>
                  <w:tcW w:w="1289" w:type="dxa"/>
                  <w:vAlign w:val="center"/>
                </w:tcPr>
                <w:p>
                  <w:pPr>
                    <w:pStyle w:val="91"/>
                  </w:pPr>
                  <w:r>
                    <w:rPr>
                      <w:rFonts w:hint="eastAsia"/>
                    </w:rPr>
                    <w:t>/</w:t>
                  </w:r>
                </w:p>
              </w:tc>
              <w:tc>
                <w:tcPr>
                  <w:tcW w:w="983" w:type="dxa"/>
                  <w:vAlign w:val="center"/>
                </w:tcPr>
                <w:p>
                  <w:pPr>
                    <w:pStyle w:val="91"/>
                  </w:pPr>
                </w:p>
              </w:tc>
              <w:tc>
                <w:tcPr>
                  <w:tcW w:w="909" w:type="dxa"/>
                  <w:vAlign w:val="center"/>
                </w:tcPr>
                <w:p>
                  <w:pPr>
                    <w:pStyle w:val="91"/>
                  </w:pPr>
                  <w:r>
                    <w:rPr>
                      <w:rFonts w:hint="eastAsia"/>
                    </w:rPr>
                    <w:t>300天</w:t>
                  </w:r>
                </w:p>
              </w:tc>
              <w:tc>
                <w:tcPr>
                  <w:tcW w:w="1054" w:type="dxa"/>
                  <w:vAlign w:val="center"/>
                </w:tcPr>
                <w:p>
                  <w:pPr>
                    <w:pStyle w:val="91"/>
                  </w:pPr>
                  <w:r>
                    <w:rPr>
                      <w:rFonts w:hint="eastAsia"/>
                    </w:rPr>
                    <w:t>375</w:t>
                  </w:r>
                </w:p>
              </w:tc>
              <w:tc>
                <w:tcPr>
                  <w:tcW w:w="1043" w:type="dxa"/>
                  <w:vAlign w:val="center"/>
                </w:tcPr>
                <w:p>
                  <w:pPr>
                    <w:pStyle w:val="91"/>
                  </w:pPr>
                  <w:r>
                    <w:rPr>
                      <w:rFonts w:hint="eastAsia"/>
                    </w:rPr>
                    <w:t>0</w:t>
                  </w:r>
                </w:p>
              </w:tc>
              <w:tc>
                <w:tcPr>
                  <w:tcW w:w="1847" w:type="dxa"/>
                  <w:vAlign w:val="center"/>
                </w:tcPr>
                <w:p>
                  <w:pPr>
                    <w:pStyle w:val="91"/>
                  </w:pPr>
                  <w:r>
                    <w:rPr>
                      <w:rFonts w:hint="eastAsia"/>
                    </w:rPr>
                    <w:t>进入制粒颗粒中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1" w:type="dxa"/>
                  <w:vAlign w:val="center"/>
                </w:tcPr>
                <w:p>
                  <w:pPr>
                    <w:pStyle w:val="91"/>
                  </w:pPr>
                  <w:r>
                    <w:rPr>
                      <w:rFonts w:hint="eastAsia"/>
                    </w:rPr>
                    <w:t>冷却用水</w:t>
                  </w:r>
                </w:p>
              </w:tc>
              <w:tc>
                <w:tcPr>
                  <w:tcW w:w="1289" w:type="dxa"/>
                  <w:vAlign w:val="center"/>
                </w:tcPr>
                <w:p>
                  <w:pPr>
                    <w:pStyle w:val="91"/>
                  </w:pPr>
                  <w:r>
                    <w:rPr>
                      <w:rFonts w:hint="eastAsia"/>
                    </w:rPr>
                    <w:t>/</w:t>
                  </w:r>
                </w:p>
              </w:tc>
              <w:tc>
                <w:tcPr>
                  <w:tcW w:w="983" w:type="dxa"/>
                  <w:vAlign w:val="center"/>
                </w:tcPr>
                <w:p>
                  <w:pPr>
                    <w:pStyle w:val="91"/>
                  </w:pPr>
                  <w:r>
                    <w:rPr>
                      <w:rFonts w:hint="eastAsia"/>
                    </w:rPr>
                    <w:t>/</w:t>
                  </w:r>
                </w:p>
              </w:tc>
              <w:tc>
                <w:tcPr>
                  <w:tcW w:w="909" w:type="dxa"/>
                  <w:vAlign w:val="center"/>
                </w:tcPr>
                <w:p>
                  <w:pPr>
                    <w:pStyle w:val="91"/>
                  </w:pPr>
                  <w:r>
                    <w:rPr>
                      <w:rFonts w:hint="eastAsia"/>
                    </w:rPr>
                    <w:t>300天</w:t>
                  </w:r>
                </w:p>
              </w:tc>
              <w:tc>
                <w:tcPr>
                  <w:tcW w:w="1054" w:type="dxa"/>
                  <w:vAlign w:val="center"/>
                </w:tcPr>
                <w:p>
                  <w:pPr>
                    <w:pStyle w:val="91"/>
                  </w:pPr>
                  <w:r>
                    <w:rPr>
                      <w:rFonts w:hint="eastAsia"/>
                    </w:rPr>
                    <w:t>172</w:t>
                  </w:r>
                </w:p>
              </w:tc>
              <w:tc>
                <w:tcPr>
                  <w:tcW w:w="1043" w:type="dxa"/>
                  <w:vAlign w:val="center"/>
                </w:tcPr>
                <w:p>
                  <w:pPr>
                    <w:pStyle w:val="91"/>
                  </w:pPr>
                  <w:r>
                    <w:rPr>
                      <w:rFonts w:hint="eastAsia"/>
                    </w:rPr>
                    <w:t>0</w:t>
                  </w:r>
                </w:p>
              </w:tc>
              <w:tc>
                <w:tcPr>
                  <w:tcW w:w="1847" w:type="dxa"/>
                  <w:vAlign w:val="center"/>
                </w:tcPr>
                <w:p>
                  <w:pPr>
                    <w:pStyle w:val="91"/>
                  </w:pPr>
                  <w:r>
                    <w:rPr>
                      <w:rFonts w:hint="eastAsia"/>
                    </w:rPr>
                    <w:t>定期补充，循环使用，不外排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1" w:type="dxa"/>
                  <w:vAlign w:val="center"/>
                </w:tcPr>
                <w:p>
                  <w:pPr>
                    <w:pStyle w:val="91"/>
                  </w:pPr>
                  <w:r>
                    <w:rPr>
                      <w:rFonts w:hint="eastAsia"/>
                    </w:rPr>
                    <w:t>喷淋用水</w:t>
                  </w:r>
                </w:p>
              </w:tc>
              <w:tc>
                <w:tcPr>
                  <w:tcW w:w="1289" w:type="dxa"/>
                  <w:vAlign w:val="center"/>
                </w:tcPr>
                <w:p>
                  <w:pPr>
                    <w:pStyle w:val="91"/>
                  </w:pPr>
                  <w:r>
                    <w:rPr>
                      <w:rFonts w:hint="eastAsia"/>
                    </w:rPr>
                    <w:t>/</w:t>
                  </w:r>
                </w:p>
              </w:tc>
              <w:tc>
                <w:tcPr>
                  <w:tcW w:w="983" w:type="dxa"/>
                  <w:vAlign w:val="center"/>
                </w:tcPr>
                <w:p>
                  <w:pPr>
                    <w:pStyle w:val="91"/>
                  </w:pPr>
                  <w:r>
                    <w:rPr>
                      <w:rFonts w:hint="eastAsia"/>
                    </w:rPr>
                    <w:t>/</w:t>
                  </w:r>
                </w:p>
              </w:tc>
              <w:tc>
                <w:tcPr>
                  <w:tcW w:w="909" w:type="dxa"/>
                  <w:vAlign w:val="center"/>
                </w:tcPr>
                <w:p>
                  <w:pPr>
                    <w:pStyle w:val="91"/>
                  </w:pPr>
                  <w:r>
                    <w:rPr>
                      <w:rFonts w:hint="eastAsia"/>
                    </w:rPr>
                    <w:t>300天</w:t>
                  </w:r>
                </w:p>
              </w:tc>
              <w:tc>
                <w:tcPr>
                  <w:tcW w:w="1054" w:type="dxa"/>
                  <w:vAlign w:val="center"/>
                </w:tcPr>
                <w:p>
                  <w:pPr>
                    <w:pStyle w:val="91"/>
                  </w:pPr>
                  <w:r>
                    <w:rPr>
                      <w:rFonts w:hint="eastAsia"/>
                    </w:rPr>
                    <w:t>43</w:t>
                  </w:r>
                </w:p>
              </w:tc>
              <w:tc>
                <w:tcPr>
                  <w:tcW w:w="1043" w:type="dxa"/>
                  <w:vAlign w:val="center"/>
                </w:tcPr>
                <w:p>
                  <w:pPr>
                    <w:pStyle w:val="91"/>
                  </w:pPr>
                </w:p>
              </w:tc>
              <w:tc>
                <w:tcPr>
                  <w:tcW w:w="1847" w:type="dxa"/>
                  <w:vAlign w:val="center"/>
                </w:tcPr>
                <w:p>
                  <w:pPr>
                    <w:pStyle w:val="91"/>
                  </w:pPr>
                  <w:r>
                    <w:rPr>
                      <w:rFonts w:hint="eastAsia"/>
                    </w:rPr>
                    <w:t>定期补充，循环使用，不外排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1" w:type="dxa"/>
                  <w:vAlign w:val="center"/>
                </w:tcPr>
                <w:p>
                  <w:pPr>
                    <w:pStyle w:val="91"/>
                  </w:pPr>
                  <w:r>
                    <w:t>合计</w:t>
                  </w:r>
                </w:p>
              </w:tc>
              <w:tc>
                <w:tcPr>
                  <w:tcW w:w="1289" w:type="dxa"/>
                  <w:vAlign w:val="center"/>
                </w:tcPr>
                <w:p>
                  <w:pPr>
                    <w:pStyle w:val="91"/>
                  </w:pPr>
                  <w:r>
                    <w:t>/</w:t>
                  </w:r>
                </w:p>
              </w:tc>
              <w:tc>
                <w:tcPr>
                  <w:tcW w:w="983" w:type="dxa"/>
                  <w:vAlign w:val="center"/>
                </w:tcPr>
                <w:p>
                  <w:pPr>
                    <w:pStyle w:val="91"/>
                  </w:pPr>
                  <w:r>
                    <w:t>/</w:t>
                  </w:r>
                </w:p>
              </w:tc>
              <w:tc>
                <w:tcPr>
                  <w:tcW w:w="909" w:type="dxa"/>
                  <w:vAlign w:val="center"/>
                </w:tcPr>
                <w:p>
                  <w:pPr>
                    <w:pStyle w:val="91"/>
                  </w:pPr>
                  <w:r>
                    <w:t>/</w:t>
                  </w:r>
                </w:p>
              </w:tc>
              <w:tc>
                <w:tcPr>
                  <w:tcW w:w="1054" w:type="dxa"/>
                  <w:vAlign w:val="center"/>
                </w:tcPr>
                <w:p>
                  <w:pPr>
                    <w:pStyle w:val="91"/>
                  </w:pPr>
                  <w:r>
                    <w:rPr>
                      <w:rFonts w:hint="eastAsia"/>
                    </w:rPr>
                    <w:t>590</w:t>
                  </w:r>
                </w:p>
              </w:tc>
              <w:tc>
                <w:tcPr>
                  <w:tcW w:w="1043" w:type="dxa"/>
                  <w:vAlign w:val="center"/>
                </w:tcPr>
                <w:p>
                  <w:pPr>
                    <w:pStyle w:val="91"/>
                  </w:pPr>
                  <w:r>
                    <w:t>0</w:t>
                  </w:r>
                </w:p>
              </w:tc>
              <w:tc>
                <w:tcPr>
                  <w:tcW w:w="1847" w:type="dxa"/>
                  <w:vAlign w:val="center"/>
                </w:tcPr>
                <w:p>
                  <w:pPr>
                    <w:pStyle w:val="91"/>
                  </w:pPr>
                  <w:r>
                    <w:rPr>
                      <w:rFonts w:hint="eastAsia"/>
                    </w:rPr>
                    <w:t>/</w:t>
                  </w:r>
                </w:p>
              </w:tc>
            </w:tr>
          </w:tbl>
          <w:p>
            <w:pPr>
              <w:pStyle w:val="42"/>
              <w:snapToGrid w:val="0"/>
              <w:jc w:val="center"/>
              <w:rPr>
                <w:rFonts w:ascii="Times New Roman" w:eastAsia="宋体" w:cs="Times New Roman"/>
                <w:b/>
                <w:bCs/>
                <w:snapToGrid w:val="0"/>
                <w:color w:val="auto"/>
                <w:sz w:val="21"/>
                <w:szCs w:val="18"/>
              </w:rPr>
            </w:pPr>
          </w:p>
          <w:p>
            <w:pPr>
              <w:pStyle w:val="42"/>
              <w:snapToGrid w:val="0"/>
              <w:jc w:val="center"/>
              <w:rPr>
                <w:rFonts w:ascii="Times New Roman" w:eastAsia="宋体" w:cs="Times New Roman"/>
                <w:b/>
                <w:bCs/>
                <w:snapToGrid w:val="0"/>
                <w:color w:val="auto"/>
                <w:sz w:val="21"/>
                <w:szCs w:val="18"/>
              </w:rPr>
            </w:pPr>
            <w:r>
              <w:rPr>
                <w:rFonts w:ascii="Times New Roman"/>
                <w:color w:val="auto"/>
              </w:rPr>
              <w:object>
                <v:shape id="_x0000_i1025" o:spt="75" type="#_x0000_t75" style="height:156pt;width:257.25pt;" o:ole="t" filled="f" o:preferrelative="t" stroked="f" coordsize="21600,21600">
                  <v:path/>
                  <v:fill on="f" focussize="0,0"/>
                  <v:stroke on="f" joinstyle="miter"/>
                  <v:imagedata r:id="rId13" o:title=""/>
                  <o:lock v:ext="edit" aspectratio="t"/>
                  <w10:wrap type="none"/>
                  <w10:anchorlock/>
                </v:shape>
                <o:OLEObject Type="Embed" ProgID="Visio.Drawing.11" ShapeID="_x0000_i1025" DrawAspect="Content" ObjectID="_1468075725" r:id="rId12">
                  <o:LockedField>false</o:LockedField>
                </o:OLEObject>
              </w:object>
            </w:r>
          </w:p>
          <w:p>
            <w:pPr>
              <w:pStyle w:val="42"/>
              <w:snapToGrid w:val="0"/>
              <w:jc w:val="center"/>
              <w:rPr>
                <w:rFonts w:ascii="Times New Roman" w:eastAsia="宋体" w:cs="Times New Roman"/>
                <w:b/>
                <w:bCs/>
                <w:snapToGrid w:val="0"/>
                <w:color w:val="auto"/>
                <w:sz w:val="21"/>
                <w:szCs w:val="21"/>
              </w:rPr>
            </w:pPr>
            <w:r>
              <w:rPr>
                <w:rFonts w:ascii="Times New Roman" w:eastAsia="宋体" w:cs="Times New Roman"/>
                <w:b/>
                <w:bCs/>
                <w:snapToGrid w:val="0"/>
                <w:color w:val="auto"/>
                <w:sz w:val="21"/>
                <w:szCs w:val="18"/>
              </w:rPr>
              <w:t>图2-1项目水平衡图</w:t>
            </w:r>
            <w:r>
              <w:rPr>
                <w:rFonts w:hint="eastAsia" w:ascii="Times New Roman" w:eastAsia="宋体" w:cs="Times New Roman"/>
                <w:b/>
                <w:bCs/>
                <w:snapToGrid w:val="0"/>
                <w:color w:val="auto"/>
                <w:sz w:val="21"/>
                <w:szCs w:val="18"/>
              </w:rPr>
              <w:t>（单位：m</w:t>
            </w:r>
            <w:r>
              <w:rPr>
                <w:rFonts w:hint="eastAsia" w:ascii="Times New Roman" w:eastAsia="宋体" w:cs="Times New Roman"/>
                <w:b/>
                <w:bCs/>
                <w:snapToGrid w:val="0"/>
                <w:color w:val="auto"/>
                <w:sz w:val="21"/>
                <w:szCs w:val="18"/>
                <w:vertAlign w:val="superscript"/>
              </w:rPr>
              <w:t>3</w:t>
            </w:r>
            <w:r>
              <w:rPr>
                <w:rFonts w:hint="eastAsia" w:ascii="Times New Roman" w:eastAsia="宋体" w:cs="Times New Roman"/>
                <w:b/>
                <w:bCs/>
                <w:snapToGrid w:val="0"/>
                <w:color w:val="auto"/>
                <w:sz w:val="21"/>
                <w:szCs w:val="18"/>
              </w:rPr>
              <w:t>/a）</w:t>
            </w:r>
          </w:p>
          <w:p>
            <w:pPr>
              <w:widowControl/>
              <w:adjustRightInd w:val="0"/>
              <w:snapToGrid w:val="0"/>
              <w:ind w:firstLine="480"/>
              <w:rPr>
                <w:bCs/>
              </w:rPr>
            </w:pPr>
            <w:r>
              <w:rPr>
                <w:rFonts w:hint="eastAsia"/>
                <w:bCs/>
              </w:rPr>
              <w:t>6、</w:t>
            </w:r>
            <w:r>
              <w:rPr>
                <w:bCs/>
              </w:rPr>
              <w:t>劳动定员及工作制度</w:t>
            </w:r>
          </w:p>
          <w:p>
            <w:pPr>
              <w:widowControl/>
              <w:adjustRightInd w:val="0"/>
              <w:snapToGrid w:val="0"/>
              <w:ind w:firstLine="480"/>
            </w:pPr>
            <w:r>
              <w:rPr>
                <w:rFonts w:hint="eastAsia"/>
              </w:rPr>
              <w:t>本项目建成后设不新增劳动定员，员工由公司已有员工内部调配。根据建设单位提供的相关资料，本项目建成后年工作时间约为300</w:t>
            </w:r>
            <w:r>
              <w:t>d，单班制</w:t>
            </w:r>
            <w:r>
              <w:rPr>
                <w:rFonts w:hint="eastAsia"/>
              </w:rPr>
              <w:t>，每班8小时。</w:t>
            </w:r>
          </w:p>
          <w:p>
            <w:pPr>
              <w:widowControl/>
              <w:adjustRightInd w:val="0"/>
              <w:snapToGrid w:val="0"/>
              <w:ind w:firstLine="480"/>
              <w:rPr>
                <w:bCs/>
              </w:rPr>
            </w:pPr>
            <w:r>
              <w:rPr>
                <w:rFonts w:hint="eastAsia"/>
                <w:bCs/>
              </w:rPr>
              <w:t>7、项目四邻关系</w:t>
            </w:r>
          </w:p>
          <w:p>
            <w:pPr>
              <w:widowControl/>
              <w:adjustRightInd w:val="0"/>
              <w:ind w:firstLine="480"/>
              <w:rPr>
                <w:bCs/>
              </w:rPr>
            </w:pPr>
            <w:r>
              <w:rPr>
                <w:rFonts w:hint="eastAsia"/>
                <w:bCs/>
              </w:rPr>
              <w:t>本项目位于石泉县</w:t>
            </w:r>
            <w:r>
              <w:t>省级经济技术开发区城关镇古堰工业园区</w:t>
            </w:r>
            <w:r>
              <w:rPr>
                <w:rFonts w:hint="eastAsia"/>
                <w:bCs/>
              </w:rPr>
              <w:t>，项目利用陕西双环锻造有限公司的1#车间进行建设，车间北侧</w:t>
            </w:r>
            <w:r>
              <w:rPr>
                <w:rFonts w:hint="eastAsia"/>
              </w:rPr>
              <w:t>为陕西秦巴水利水电有限公司、南侧为</w:t>
            </w:r>
            <w:r>
              <w:rPr>
                <w:rFonts w:hint="eastAsia"/>
                <w:bCs/>
              </w:rPr>
              <w:t>陕西双环锻造有限公司</w:t>
            </w:r>
            <w:r>
              <w:rPr>
                <w:rFonts w:hint="eastAsia"/>
              </w:rPr>
              <w:t>重型锻造项目的生产车间（即2#~6#车间），西侧为饶峰河，隔河为工业企业，东侧为园区道路，隔路为陕西富全纺织有限公司</w:t>
            </w:r>
            <w:r>
              <w:rPr>
                <w:rFonts w:hint="eastAsia"/>
                <w:bCs/>
              </w:rPr>
              <w:t>。项目具体地理位置见附图1，四邻关系图见图2。</w:t>
            </w:r>
          </w:p>
          <w:p>
            <w:pPr>
              <w:widowControl/>
              <w:adjustRightInd w:val="0"/>
              <w:snapToGrid w:val="0"/>
              <w:ind w:firstLine="480"/>
              <w:rPr>
                <w:bCs/>
              </w:rPr>
            </w:pPr>
            <w:r>
              <w:rPr>
                <w:rFonts w:hint="eastAsia"/>
                <w:bCs/>
              </w:rPr>
              <w:t>8、</w:t>
            </w:r>
            <w:r>
              <w:rPr>
                <w:bCs/>
              </w:rPr>
              <w:t>厂区平面布置</w:t>
            </w:r>
          </w:p>
          <w:p>
            <w:pPr>
              <w:widowControl/>
              <w:adjustRightInd w:val="0"/>
              <w:ind w:firstLine="480"/>
              <w:rPr>
                <w:bCs/>
              </w:rPr>
            </w:pPr>
            <w:r>
              <w:rPr>
                <w:rFonts w:hint="eastAsia"/>
              </w:rPr>
              <w:t>本</w:t>
            </w:r>
            <w:r>
              <w:rPr>
                <w:rFonts w:hint="eastAsia"/>
                <w:bCs/>
              </w:rPr>
              <w:t>项目共占地面积</w:t>
            </w:r>
            <w:r>
              <w:rPr>
                <w:rFonts w:hint="eastAsia"/>
              </w:rPr>
              <w:t>8800</w:t>
            </w:r>
            <w:r>
              <w:t>m</w:t>
            </w:r>
            <w:r>
              <w:rPr>
                <w:vertAlign w:val="superscript"/>
              </w:rPr>
              <w:t>2</w:t>
            </w:r>
            <w:r>
              <w:rPr>
                <w:rFonts w:hint="eastAsia"/>
              </w:rPr>
              <w:t>，大门位于车间东侧，共设置2处进口门，车间北侧由东至西分别为原料存放区、制粒区域、车间南侧由东至西分别为中频炉设置区、成品暂存区、烘干生产线，其中在原料存放区和中频炉设置区中间区域设置1处用于存放硅渣。</w:t>
            </w:r>
          </w:p>
          <w:p>
            <w:pPr>
              <w:widowControl/>
              <w:adjustRightInd w:val="0"/>
              <w:ind w:firstLine="480"/>
            </w:pPr>
            <w:r>
              <w:t>本项目厂区规划合理、分区明确，各功能区既相互独立，交通组织流向清晰。充分考虑生产工艺流程，满足人流、物流分开，原料与成品分开的功能布局。综上所述，本项目厂区总平面布置基本合理。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519" w:hRule="atLeast"/>
          <w:jc w:val="center"/>
        </w:trPr>
        <w:tc>
          <w:tcPr>
            <w:tcW w:w="594" w:type="dxa"/>
            <w:tcBorders>
              <w:top w:val="single" w:color="000000" w:sz="2" w:space="0"/>
              <w:bottom w:val="single" w:color="000000" w:sz="2" w:space="0"/>
            </w:tcBorders>
            <w:vAlign w:val="center"/>
          </w:tcPr>
          <w:p>
            <w:pPr>
              <w:pStyle w:val="28"/>
              <w:adjustRightInd w:val="0"/>
              <w:snapToGrid w:val="0"/>
              <w:spacing w:before="0" w:beforeAutospacing="0" w:after="0" w:afterAutospacing="0"/>
              <w:ind w:firstLine="0" w:firstLineChars="0"/>
              <w:jc w:val="center"/>
              <w:rPr>
                <w:rFonts w:cs="宋体"/>
                <w:sz w:val="21"/>
                <w:szCs w:val="21"/>
              </w:rPr>
            </w:pPr>
            <w:r>
              <w:rPr>
                <w:rFonts w:hint="eastAsia" w:cs="宋体"/>
                <w:szCs w:val="24"/>
              </w:rPr>
              <w:t>工艺流程和产排污环节</w:t>
            </w:r>
          </w:p>
        </w:tc>
        <w:tc>
          <w:tcPr>
            <w:tcW w:w="8465" w:type="dxa"/>
            <w:tcBorders>
              <w:top w:val="single" w:color="000000" w:sz="2" w:space="0"/>
              <w:bottom w:val="single" w:color="000000" w:sz="2" w:space="0"/>
            </w:tcBorders>
          </w:tcPr>
          <w:p>
            <w:pPr>
              <w:ind w:firstLine="480"/>
            </w:pPr>
            <w:r>
              <w:t>本项目</w:t>
            </w:r>
            <w:r>
              <w:rPr>
                <w:rFonts w:hint="eastAsia"/>
              </w:rPr>
              <w:t>为改扩建项目，项目利用厂区已有的空置车间进行建设，</w:t>
            </w:r>
            <w:r>
              <w:t>本项目施工期主要安装工程及环保工程建设等</w:t>
            </w:r>
            <w:r>
              <w:rPr>
                <w:rFonts w:hint="eastAsia"/>
              </w:rPr>
              <w:t>。</w:t>
            </w:r>
            <w:r>
              <w:t>项目施工期工艺流程及产污环节分析如下图所示：</w:t>
            </w:r>
          </w:p>
          <w:p>
            <w:pPr>
              <w:ind w:firstLine="480"/>
              <w:jc w:val="center"/>
            </w:pPr>
            <w:r>
              <w:drawing>
                <wp:inline distT="0" distB="0" distL="114300" distR="114300">
                  <wp:extent cx="2538730" cy="1407795"/>
                  <wp:effectExtent l="0" t="0" r="4445" b="1905"/>
                  <wp:docPr id="4"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6"/>
                          <pic:cNvPicPr>
                            <a:picLocks noChangeAspect="1"/>
                          </pic:cNvPicPr>
                        </pic:nvPicPr>
                        <pic:blipFill>
                          <a:blip r:embed="rId14" cstate="print"/>
                          <a:stretch>
                            <a:fillRect/>
                          </a:stretch>
                        </pic:blipFill>
                        <pic:spPr>
                          <a:xfrm>
                            <a:off x="0" y="0"/>
                            <a:ext cx="2538730" cy="1407795"/>
                          </a:xfrm>
                          <a:prstGeom prst="rect">
                            <a:avLst/>
                          </a:prstGeom>
                          <a:noFill/>
                          <a:ln>
                            <a:noFill/>
                          </a:ln>
                        </pic:spPr>
                      </pic:pic>
                    </a:graphicData>
                  </a:graphic>
                </wp:inline>
              </w:drawing>
            </w:r>
          </w:p>
          <w:p>
            <w:pPr>
              <w:ind w:firstLine="422"/>
              <w:jc w:val="center"/>
              <w:rPr>
                <w:sz w:val="21"/>
                <w:szCs w:val="21"/>
              </w:rPr>
            </w:pPr>
            <w:r>
              <w:rPr>
                <w:b/>
                <w:bCs/>
                <w:sz w:val="21"/>
                <w:szCs w:val="21"/>
              </w:rPr>
              <w:t>图</w:t>
            </w:r>
            <w:r>
              <w:rPr>
                <w:rFonts w:hint="eastAsia"/>
                <w:b/>
                <w:bCs/>
                <w:sz w:val="21"/>
                <w:szCs w:val="21"/>
              </w:rPr>
              <w:t>2-2</w:t>
            </w:r>
            <w:r>
              <w:rPr>
                <w:b/>
                <w:bCs/>
                <w:sz w:val="21"/>
                <w:szCs w:val="21"/>
              </w:rPr>
              <w:t>施工期工艺流程及产污环节示意图</w:t>
            </w:r>
          </w:p>
          <w:p>
            <w:pPr>
              <w:pStyle w:val="3"/>
              <w:adjustRightInd w:val="0"/>
              <w:spacing w:before="0" w:beforeAutospacing="0" w:after="0" w:afterAutospacing="0"/>
              <w:ind w:firstLine="480"/>
              <w:rPr>
                <w:rFonts w:hint="default" w:ascii="Times New Roman" w:hAnsi="Times New Roman"/>
                <w:b w:val="0"/>
                <w:snapToGrid w:val="0"/>
                <w:sz w:val="24"/>
                <w:szCs w:val="24"/>
              </w:rPr>
            </w:pPr>
            <w:bookmarkStart w:id="5" w:name="_Toc851"/>
            <w:bookmarkStart w:id="6" w:name="_Toc16049"/>
            <w:r>
              <w:rPr>
                <w:rFonts w:ascii="Times New Roman" w:hAnsi="Times New Roman"/>
                <w:b w:val="0"/>
                <w:snapToGrid w:val="0"/>
                <w:sz w:val="24"/>
                <w:szCs w:val="24"/>
              </w:rPr>
              <w:t>2、运营期工程分析</w:t>
            </w:r>
            <w:bookmarkEnd w:id="5"/>
            <w:bookmarkEnd w:id="6"/>
          </w:p>
          <w:p>
            <w:pPr>
              <w:ind w:firstLine="480"/>
              <w:jc w:val="left"/>
              <w:rPr>
                <w:kern w:val="0"/>
              </w:rPr>
            </w:pPr>
            <w:r>
              <w:rPr>
                <w:rFonts w:hint="eastAsia"/>
              </w:rPr>
              <w:t>本项目原料为硅泥、硅粉，其中硅泥和硅粉的水分含量约为30%~50%，其中约有25%的硅泥由于目径较小，需先进行制粒工序。本项目具体</w:t>
            </w:r>
            <w:r>
              <w:rPr>
                <w:rFonts w:hint="eastAsia"/>
                <w:kern w:val="0"/>
              </w:rPr>
              <w:t>生产工艺流程及产污环节如图2-3：</w:t>
            </w:r>
          </w:p>
          <w:p>
            <w:pPr>
              <w:ind w:firstLine="0" w:firstLineChars="0"/>
              <w:jc w:val="center"/>
            </w:pPr>
            <w:r>
              <w:drawing>
                <wp:inline distT="0" distB="0" distL="114300" distR="114300">
                  <wp:extent cx="2663825" cy="1266190"/>
                  <wp:effectExtent l="0" t="0" r="3175" b="635"/>
                  <wp:docPr id="2"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5"/>
                          <pic:cNvPicPr>
                            <a:picLocks noChangeAspect="1"/>
                          </pic:cNvPicPr>
                        </pic:nvPicPr>
                        <pic:blipFill>
                          <a:blip r:embed="rId15" cstate="print"/>
                          <a:stretch>
                            <a:fillRect/>
                          </a:stretch>
                        </pic:blipFill>
                        <pic:spPr>
                          <a:xfrm>
                            <a:off x="0" y="0"/>
                            <a:ext cx="2663825" cy="1266190"/>
                          </a:xfrm>
                          <a:prstGeom prst="rect">
                            <a:avLst/>
                          </a:prstGeom>
                          <a:noFill/>
                          <a:ln>
                            <a:noFill/>
                          </a:ln>
                        </pic:spPr>
                      </pic:pic>
                    </a:graphicData>
                  </a:graphic>
                </wp:inline>
              </w:drawing>
            </w:r>
          </w:p>
          <w:p>
            <w:pPr>
              <w:ind w:firstLine="0" w:firstLineChars="0"/>
              <w:jc w:val="center"/>
              <w:rPr>
                <w:kern w:val="0"/>
              </w:rPr>
            </w:pPr>
            <w:r>
              <w:object>
                <v:shape id="_x0000_i1026" o:spt="75" type="#_x0000_t75" style="height:313.5pt;width:328.5pt;" o:ole="t" filled="f" o:preferrelative="t" stroked="f" coordsize="21600,21600">
                  <v:path/>
                  <v:fill on="f" focussize="0,0"/>
                  <v:stroke on="f" joinstyle="miter"/>
                  <v:imagedata r:id="rId17" o:title=""/>
                  <o:lock v:ext="edit" aspectratio="t"/>
                  <w10:wrap type="none"/>
                  <w10:anchorlock/>
                </v:shape>
                <o:OLEObject Type="Embed" ProgID="Visio.Drawing.11" ShapeID="_x0000_i1026" DrawAspect="Content" ObjectID="_1468075726" r:id="rId16">
                  <o:LockedField>false</o:LockedField>
                </o:OLEObject>
              </w:object>
            </w:r>
          </w:p>
          <w:p>
            <w:pPr>
              <w:pStyle w:val="85"/>
              <w:rPr>
                <w:color w:val="auto"/>
              </w:rPr>
            </w:pPr>
            <w:r>
              <w:rPr>
                <w:rFonts w:hint="eastAsia"/>
                <w:color w:val="auto"/>
              </w:rPr>
              <w:t>图2-3生产工艺流程及产污节点图</w:t>
            </w:r>
          </w:p>
          <w:p>
            <w:pPr>
              <w:pStyle w:val="3"/>
              <w:adjustRightInd w:val="0"/>
              <w:snapToGrid w:val="0"/>
              <w:spacing w:before="0" w:beforeAutospacing="0" w:after="0" w:afterAutospacing="0"/>
              <w:ind w:left="480" w:leftChars="200" w:firstLine="0" w:firstLineChars="0"/>
              <w:jc w:val="both"/>
              <w:rPr>
                <w:rFonts w:hint="default" w:ascii="Times New Roman" w:hAnsi="Times New Roman"/>
                <w:b w:val="0"/>
                <w:bCs w:val="0"/>
                <w:sz w:val="24"/>
                <w:szCs w:val="24"/>
              </w:rPr>
            </w:pPr>
            <w:r>
              <w:rPr>
                <w:rFonts w:hint="default" w:ascii="Times New Roman" w:hAnsi="Times New Roman"/>
                <w:b w:val="0"/>
                <w:bCs w:val="0"/>
                <w:sz w:val="24"/>
                <w:szCs w:val="24"/>
              </w:rPr>
              <w:t>生产工艺流程简述：</w:t>
            </w:r>
          </w:p>
          <w:p>
            <w:pPr>
              <w:ind w:firstLine="480"/>
            </w:pPr>
            <w:r>
              <w:rPr>
                <w:rFonts w:hint="eastAsia"/>
              </w:rPr>
              <w:t>①</w:t>
            </w:r>
            <w:r>
              <w:t>备料、制粒过程：</w:t>
            </w:r>
            <w:r>
              <w:rPr>
                <w:rFonts w:hint="eastAsia"/>
              </w:rPr>
              <w:t>硅泥原料中约有25%需先经过制粒工序，此部分硅泥在进入</w:t>
            </w:r>
            <w:r>
              <w:t>高位均料机中</w:t>
            </w:r>
            <w:r>
              <w:rPr>
                <w:rFonts w:hint="eastAsia"/>
              </w:rPr>
              <w:t>后添加一定水（与硅泥的比例约为20:3）</w:t>
            </w:r>
            <w:r>
              <w:t>，搅拌均匀后通过1#螺旋输送机（密闭廊道式输送）送至卧式制粒机进行制粒，制粒过程有粉尘产生；</w:t>
            </w:r>
          </w:p>
          <w:p>
            <w:pPr>
              <w:ind w:firstLine="480"/>
              <w:rPr>
                <w:szCs w:val="28"/>
              </w:rPr>
            </w:pPr>
            <w:r>
              <w:rPr>
                <w:rFonts w:hint="eastAsia"/>
              </w:rPr>
              <w:t>②</w:t>
            </w:r>
            <w:r>
              <w:t>烘干过程：</w:t>
            </w:r>
            <w:r>
              <w:rPr>
                <w:rFonts w:hint="eastAsia"/>
              </w:rPr>
              <w:t>通过工序①</w:t>
            </w:r>
            <w:r>
              <w:t>制得的</w:t>
            </w:r>
            <w:r>
              <w:rPr>
                <w:rFonts w:hint="eastAsia"/>
              </w:rPr>
              <w:t>硅泥</w:t>
            </w:r>
            <w:r>
              <w:t>颗粒</w:t>
            </w:r>
            <w:r>
              <w:rPr>
                <w:rFonts w:hint="eastAsia"/>
              </w:rPr>
              <w:t>、硅粉、硅泥</w:t>
            </w:r>
            <w:r>
              <w:t>通过输送机输送至大型颗粒中转仓内，再依次经爬坡输送机、布料机传输至履带式高效烘干机进行烘干处理，履带式高效烘干机</w:t>
            </w:r>
            <w:r>
              <w:rPr>
                <w:rFonts w:hint="eastAsia"/>
              </w:rPr>
              <w:t>密闭</w:t>
            </w:r>
            <w:r>
              <w:t>作业，该过程可将物料水份含量从</w:t>
            </w:r>
            <w:r>
              <w:rPr>
                <w:rFonts w:hint="eastAsia"/>
              </w:rPr>
              <w:t>30%~5</w:t>
            </w:r>
            <w:r>
              <w:t>0%降至10%左右，烘干结束</w:t>
            </w:r>
            <w:r>
              <w:rPr>
                <w:rFonts w:hint="eastAsia"/>
              </w:rPr>
              <w:t>进入半成品料仓内暂存</w:t>
            </w:r>
            <w:r>
              <w:t>；项目烘干机烘干方式为热风炉，采用外</w:t>
            </w:r>
            <w:r>
              <w:rPr>
                <w:szCs w:val="28"/>
              </w:rPr>
              <w:t>购清洁能源天然气作为热源，烘干过程有粉尘、天然气燃烧烟气产生；</w:t>
            </w:r>
          </w:p>
          <w:p>
            <w:pPr>
              <w:ind w:firstLine="480"/>
              <w:rPr>
                <w:szCs w:val="28"/>
              </w:rPr>
            </w:pPr>
            <w:r>
              <w:rPr>
                <w:rFonts w:hint="eastAsia" w:ascii="宋体" w:hAnsi="宋体" w:cs="宋体"/>
                <w:szCs w:val="28"/>
              </w:rPr>
              <w:t>③</w:t>
            </w:r>
            <w:r>
              <w:rPr>
                <w:szCs w:val="28"/>
              </w:rPr>
              <w:t>熔融过程：将上述烘干水份后的物料</w:t>
            </w:r>
            <w:r>
              <w:rPr>
                <w:rFonts w:hint="eastAsia"/>
                <w:szCs w:val="28"/>
              </w:rPr>
              <w:t>和钙粉（钙粉作为覆盖剂）</w:t>
            </w:r>
            <w:r>
              <w:rPr>
                <w:szCs w:val="28"/>
              </w:rPr>
              <w:t>投入到串联式谐振中频钢壳炉内，通电加热至约1450</w:t>
            </w:r>
            <w:r>
              <w:rPr>
                <w:rFonts w:hint="eastAsia" w:ascii="宋体" w:hAnsi="宋体" w:cs="宋体"/>
                <w:szCs w:val="28"/>
              </w:rPr>
              <w:t>℃</w:t>
            </w:r>
            <w:r>
              <w:rPr>
                <w:szCs w:val="28"/>
              </w:rPr>
              <w:t>，硅颗粒熔融生成的液态硅流入铁水包内，静置冷却一段时间后待铸块，铁水包可助液态硅排出空气以提高密实度；熔融过程有少量粉尘产生；</w:t>
            </w:r>
          </w:p>
          <w:p>
            <w:pPr>
              <w:ind w:firstLine="480"/>
              <w:rPr>
                <w:szCs w:val="28"/>
              </w:rPr>
            </w:pPr>
            <w:r>
              <w:rPr>
                <w:rFonts w:hint="eastAsia" w:ascii="宋体" w:hAnsi="宋体" w:cs="宋体"/>
                <w:szCs w:val="28"/>
              </w:rPr>
              <w:t>④</w:t>
            </w:r>
            <w:r>
              <w:rPr>
                <w:szCs w:val="28"/>
              </w:rPr>
              <w:t>铸块：将上述液态硅倒入铸模内进行铸块，使之形成2～8cm厚的高纯硅块，即为产品；</w:t>
            </w:r>
          </w:p>
          <w:p>
            <w:pPr>
              <w:ind w:firstLine="480"/>
              <w:rPr>
                <w:szCs w:val="28"/>
              </w:rPr>
            </w:pPr>
            <w:r>
              <w:rPr>
                <w:rFonts w:hint="eastAsia" w:ascii="宋体" w:hAnsi="宋体" w:cs="宋体"/>
                <w:szCs w:val="28"/>
              </w:rPr>
              <w:t>⑤</w:t>
            </w:r>
            <w:r>
              <w:rPr>
                <w:szCs w:val="28"/>
              </w:rPr>
              <w:t>检验包装：铸模内产品取样化验，达到国家相关标准后装包入库，不合格产品重新回炉；</w:t>
            </w:r>
          </w:p>
          <w:p>
            <w:pPr>
              <w:ind w:firstLine="480"/>
              <w:rPr>
                <w:szCs w:val="28"/>
              </w:rPr>
            </w:pPr>
            <w:r>
              <w:rPr>
                <w:rFonts w:hint="eastAsia" w:ascii="宋体" w:hAnsi="宋体" w:cs="宋体"/>
                <w:szCs w:val="28"/>
              </w:rPr>
              <w:t>⑥</w:t>
            </w:r>
            <w:r>
              <w:rPr>
                <w:szCs w:val="28"/>
              </w:rPr>
              <w:t>出货：将检验合格的产品称重，装车发货至客户。</w:t>
            </w:r>
          </w:p>
          <w:p>
            <w:pPr>
              <w:ind w:firstLine="480"/>
              <w:rPr>
                <w:szCs w:val="30"/>
              </w:rPr>
            </w:pPr>
            <w:r>
              <w:rPr>
                <w:rFonts w:hint="eastAsia"/>
                <w:szCs w:val="22"/>
              </w:rPr>
              <w:t>3、</w:t>
            </w:r>
            <w:r>
              <w:t>营运期产污环节说明</w:t>
            </w:r>
          </w:p>
          <w:p>
            <w:pPr>
              <w:pStyle w:val="85"/>
              <w:rPr>
                <w:color w:val="auto"/>
              </w:rPr>
            </w:pPr>
            <w:r>
              <w:rPr>
                <w:color w:val="auto"/>
              </w:rPr>
              <w:t>表</w:t>
            </w:r>
            <w:r>
              <w:rPr>
                <w:rFonts w:hint="eastAsia"/>
                <w:color w:val="auto"/>
              </w:rPr>
              <w:t>2-6</w:t>
            </w:r>
            <w:r>
              <w:rPr>
                <w:color w:val="auto"/>
              </w:rPr>
              <w:t>项目主要污染物及污染工序</w:t>
            </w:r>
          </w:p>
          <w:tbl>
            <w:tblPr>
              <w:tblStyle w:val="36"/>
              <w:tblW w:w="8227" w:type="dxa"/>
              <w:jc w:val="center"/>
              <w:tblInd w:w="0" w:type="dxa"/>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556"/>
              <w:gridCol w:w="814"/>
              <w:gridCol w:w="1940"/>
              <w:gridCol w:w="1701"/>
              <w:gridCol w:w="1195"/>
              <w:gridCol w:w="2021"/>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Ex>
              <w:trPr>
                <w:trHeight w:val="19" w:hRule="atLeast"/>
                <w:jc w:val="center"/>
              </w:trPr>
              <w:tc>
                <w:tcPr>
                  <w:tcW w:w="556" w:type="dxa"/>
                  <w:tcBorders>
                    <w:tl2br w:val="nil"/>
                    <w:tr2bl w:val="nil"/>
                  </w:tcBorders>
                  <w:vAlign w:val="center"/>
                </w:tcPr>
                <w:p>
                  <w:pPr>
                    <w:pStyle w:val="96"/>
                    <w:spacing w:line="280" w:lineRule="exact"/>
                    <w:rPr>
                      <w:spacing w:val="-6"/>
                      <w:szCs w:val="21"/>
                    </w:rPr>
                  </w:pPr>
                  <w:r>
                    <w:rPr>
                      <w:spacing w:val="-6"/>
                      <w:szCs w:val="21"/>
                    </w:rPr>
                    <w:t>类别</w:t>
                  </w:r>
                </w:p>
              </w:tc>
              <w:tc>
                <w:tcPr>
                  <w:tcW w:w="814" w:type="dxa"/>
                  <w:tcBorders>
                    <w:tl2br w:val="nil"/>
                    <w:tr2bl w:val="nil"/>
                  </w:tcBorders>
                  <w:vAlign w:val="center"/>
                </w:tcPr>
                <w:p>
                  <w:pPr>
                    <w:pStyle w:val="96"/>
                    <w:spacing w:line="280" w:lineRule="exact"/>
                    <w:rPr>
                      <w:spacing w:val="-6"/>
                      <w:szCs w:val="21"/>
                    </w:rPr>
                  </w:pPr>
                  <w:r>
                    <w:rPr>
                      <w:spacing w:val="-6"/>
                      <w:szCs w:val="21"/>
                    </w:rPr>
                    <w:t>序号</w:t>
                  </w:r>
                </w:p>
              </w:tc>
              <w:tc>
                <w:tcPr>
                  <w:tcW w:w="1940" w:type="dxa"/>
                  <w:tcBorders>
                    <w:tl2br w:val="nil"/>
                    <w:tr2bl w:val="nil"/>
                  </w:tcBorders>
                  <w:vAlign w:val="center"/>
                </w:tcPr>
                <w:p>
                  <w:pPr>
                    <w:pStyle w:val="96"/>
                    <w:spacing w:line="280" w:lineRule="exact"/>
                    <w:rPr>
                      <w:spacing w:val="-6"/>
                      <w:szCs w:val="21"/>
                    </w:rPr>
                  </w:pPr>
                  <w:r>
                    <w:rPr>
                      <w:spacing w:val="-6"/>
                      <w:szCs w:val="21"/>
                    </w:rPr>
                    <w:t>污染工序</w:t>
                  </w:r>
                </w:p>
              </w:tc>
              <w:tc>
                <w:tcPr>
                  <w:tcW w:w="1701" w:type="dxa"/>
                  <w:tcBorders>
                    <w:tl2br w:val="nil"/>
                    <w:tr2bl w:val="nil"/>
                  </w:tcBorders>
                  <w:vAlign w:val="center"/>
                </w:tcPr>
                <w:p>
                  <w:pPr>
                    <w:pStyle w:val="96"/>
                    <w:spacing w:line="280" w:lineRule="exact"/>
                    <w:rPr>
                      <w:spacing w:val="-6"/>
                      <w:szCs w:val="21"/>
                    </w:rPr>
                  </w:pPr>
                  <w:r>
                    <w:rPr>
                      <w:spacing w:val="-6"/>
                      <w:szCs w:val="21"/>
                    </w:rPr>
                    <w:t>污染物</w:t>
                  </w:r>
                </w:p>
              </w:tc>
              <w:tc>
                <w:tcPr>
                  <w:tcW w:w="1195" w:type="dxa"/>
                  <w:tcBorders>
                    <w:tl2br w:val="nil"/>
                    <w:tr2bl w:val="nil"/>
                  </w:tcBorders>
                  <w:vAlign w:val="center"/>
                </w:tcPr>
                <w:p>
                  <w:pPr>
                    <w:pStyle w:val="96"/>
                    <w:spacing w:line="280" w:lineRule="exact"/>
                    <w:rPr>
                      <w:spacing w:val="-6"/>
                      <w:szCs w:val="21"/>
                    </w:rPr>
                  </w:pPr>
                  <w:r>
                    <w:rPr>
                      <w:spacing w:val="-6"/>
                      <w:szCs w:val="21"/>
                    </w:rPr>
                    <w:t>产生特征</w:t>
                  </w:r>
                </w:p>
              </w:tc>
              <w:tc>
                <w:tcPr>
                  <w:tcW w:w="2021" w:type="dxa"/>
                  <w:tcBorders>
                    <w:tl2br w:val="nil"/>
                    <w:tr2bl w:val="nil"/>
                  </w:tcBorders>
                  <w:vAlign w:val="center"/>
                </w:tcPr>
                <w:p>
                  <w:pPr>
                    <w:pStyle w:val="96"/>
                    <w:spacing w:line="280" w:lineRule="exact"/>
                    <w:rPr>
                      <w:spacing w:val="-6"/>
                      <w:szCs w:val="21"/>
                    </w:rPr>
                  </w:pPr>
                  <w:r>
                    <w:rPr>
                      <w:spacing w:val="-6"/>
                      <w:szCs w:val="21"/>
                    </w:rPr>
                    <w:t>治理措施及去向</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Ex>
              <w:trPr>
                <w:trHeight w:val="19" w:hRule="atLeast"/>
                <w:jc w:val="center"/>
              </w:trPr>
              <w:tc>
                <w:tcPr>
                  <w:tcW w:w="556" w:type="dxa"/>
                  <w:vMerge w:val="restart"/>
                  <w:tcBorders>
                    <w:tl2br w:val="nil"/>
                    <w:tr2bl w:val="nil"/>
                  </w:tcBorders>
                  <w:vAlign w:val="center"/>
                </w:tcPr>
                <w:p>
                  <w:pPr>
                    <w:pStyle w:val="96"/>
                    <w:spacing w:line="280" w:lineRule="exact"/>
                    <w:rPr>
                      <w:spacing w:val="-6"/>
                      <w:szCs w:val="21"/>
                    </w:rPr>
                  </w:pPr>
                  <w:r>
                    <w:rPr>
                      <w:spacing w:val="-6"/>
                      <w:szCs w:val="21"/>
                    </w:rPr>
                    <w:t>废气</w:t>
                  </w:r>
                </w:p>
              </w:tc>
              <w:tc>
                <w:tcPr>
                  <w:tcW w:w="814" w:type="dxa"/>
                  <w:vMerge w:val="restart"/>
                  <w:tcBorders>
                    <w:tl2br w:val="nil"/>
                    <w:tr2bl w:val="nil"/>
                  </w:tcBorders>
                  <w:vAlign w:val="center"/>
                </w:tcPr>
                <w:p>
                  <w:pPr>
                    <w:pStyle w:val="96"/>
                    <w:spacing w:line="280" w:lineRule="exact"/>
                    <w:rPr>
                      <w:spacing w:val="-6"/>
                      <w:szCs w:val="21"/>
                    </w:rPr>
                  </w:pPr>
                  <w:r>
                    <w:rPr>
                      <w:spacing w:val="-6"/>
                      <w:szCs w:val="21"/>
                    </w:rPr>
                    <w:t>G1</w:t>
                  </w:r>
                </w:p>
              </w:tc>
              <w:tc>
                <w:tcPr>
                  <w:tcW w:w="1940" w:type="dxa"/>
                  <w:vMerge w:val="restart"/>
                  <w:tcBorders>
                    <w:tl2br w:val="nil"/>
                    <w:tr2bl w:val="nil"/>
                  </w:tcBorders>
                  <w:vAlign w:val="center"/>
                </w:tcPr>
                <w:p>
                  <w:pPr>
                    <w:pStyle w:val="96"/>
                    <w:spacing w:line="280" w:lineRule="exact"/>
                    <w:rPr>
                      <w:spacing w:val="-6"/>
                      <w:szCs w:val="21"/>
                    </w:rPr>
                  </w:pPr>
                  <w:r>
                    <w:rPr>
                      <w:spacing w:val="-6"/>
                      <w:szCs w:val="21"/>
                    </w:rPr>
                    <w:t>制粒工序</w:t>
                  </w:r>
                </w:p>
              </w:tc>
              <w:tc>
                <w:tcPr>
                  <w:tcW w:w="1701" w:type="dxa"/>
                  <w:vMerge w:val="restart"/>
                  <w:tcBorders>
                    <w:tl2br w:val="nil"/>
                    <w:tr2bl w:val="nil"/>
                  </w:tcBorders>
                  <w:vAlign w:val="center"/>
                </w:tcPr>
                <w:p>
                  <w:pPr>
                    <w:pStyle w:val="96"/>
                    <w:spacing w:line="280" w:lineRule="exact"/>
                    <w:rPr>
                      <w:spacing w:val="-6"/>
                      <w:szCs w:val="21"/>
                    </w:rPr>
                  </w:pPr>
                  <w:r>
                    <w:rPr>
                      <w:spacing w:val="-6"/>
                      <w:szCs w:val="21"/>
                    </w:rPr>
                    <w:t>粉尘（硅粉颗粒）</w:t>
                  </w:r>
                </w:p>
              </w:tc>
              <w:tc>
                <w:tcPr>
                  <w:tcW w:w="1195" w:type="dxa"/>
                  <w:tcBorders>
                    <w:tl2br w:val="nil"/>
                    <w:tr2bl w:val="nil"/>
                  </w:tcBorders>
                  <w:vAlign w:val="center"/>
                </w:tcPr>
                <w:p>
                  <w:pPr>
                    <w:pStyle w:val="96"/>
                    <w:spacing w:line="280" w:lineRule="exact"/>
                    <w:rPr>
                      <w:spacing w:val="-6"/>
                      <w:szCs w:val="21"/>
                    </w:rPr>
                  </w:pPr>
                  <w:r>
                    <w:rPr>
                      <w:spacing w:val="-6"/>
                      <w:szCs w:val="21"/>
                    </w:rPr>
                    <w:t>间断，有组织排放</w:t>
                  </w:r>
                </w:p>
              </w:tc>
              <w:tc>
                <w:tcPr>
                  <w:tcW w:w="2021" w:type="dxa"/>
                  <w:tcBorders>
                    <w:tl2br w:val="nil"/>
                    <w:tr2bl w:val="nil"/>
                  </w:tcBorders>
                  <w:vAlign w:val="center"/>
                </w:tcPr>
                <w:p>
                  <w:pPr>
                    <w:pStyle w:val="96"/>
                    <w:spacing w:line="280" w:lineRule="exact"/>
                    <w:rPr>
                      <w:spacing w:val="-6"/>
                      <w:szCs w:val="21"/>
                    </w:rPr>
                  </w:pPr>
                  <w:r>
                    <w:rPr>
                      <w:rFonts w:hint="eastAsia"/>
                      <w:spacing w:val="-6"/>
                      <w:szCs w:val="21"/>
                    </w:rPr>
                    <w:t>集气罩+</w:t>
                  </w:r>
                  <w:r>
                    <w:rPr>
                      <w:spacing w:val="-6"/>
                      <w:szCs w:val="21"/>
                    </w:rPr>
                    <w:t>旋风除尘+脉冲布袋除尘</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Ex>
              <w:trPr>
                <w:trHeight w:val="19" w:hRule="atLeast"/>
                <w:jc w:val="center"/>
              </w:trPr>
              <w:tc>
                <w:tcPr>
                  <w:tcW w:w="556" w:type="dxa"/>
                  <w:vMerge w:val="continue"/>
                  <w:tcBorders>
                    <w:tl2br w:val="nil"/>
                    <w:tr2bl w:val="nil"/>
                  </w:tcBorders>
                  <w:vAlign w:val="center"/>
                </w:tcPr>
                <w:p>
                  <w:pPr>
                    <w:pStyle w:val="96"/>
                    <w:spacing w:line="280" w:lineRule="exact"/>
                    <w:rPr>
                      <w:spacing w:val="-6"/>
                      <w:szCs w:val="21"/>
                    </w:rPr>
                  </w:pPr>
                </w:p>
              </w:tc>
              <w:tc>
                <w:tcPr>
                  <w:tcW w:w="814" w:type="dxa"/>
                  <w:vMerge w:val="continue"/>
                  <w:tcBorders>
                    <w:tl2br w:val="nil"/>
                    <w:tr2bl w:val="nil"/>
                  </w:tcBorders>
                  <w:vAlign w:val="center"/>
                </w:tcPr>
                <w:p>
                  <w:pPr>
                    <w:pStyle w:val="96"/>
                    <w:spacing w:line="280" w:lineRule="exact"/>
                    <w:rPr>
                      <w:spacing w:val="-6"/>
                      <w:szCs w:val="21"/>
                    </w:rPr>
                  </w:pPr>
                </w:p>
              </w:tc>
              <w:tc>
                <w:tcPr>
                  <w:tcW w:w="1940" w:type="dxa"/>
                  <w:vMerge w:val="continue"/>
                  <w:tcBorders>
                    <w:tl2br w:val="nil"/>
                    <w:tr2bl w:val="nil"/>
                  </w:tcBorders>
                  <w:vAlign w:val="center"/>
                </w:tcPr>
                <w:p>
                  <w:pPr>
                    <w:pStyle w:val="96"/>
                    <w:spacing w:line="280" w:lineRule="exact"/>
                    <w:rPr>
                      <w:spacing w:val="-6"/>
                      <w:szCs w:val="21"/>
                    </w:rPr>
                  </w:pPr>
                </w:p>
              </w:tc>
              <w:tc>
                <w:tcPr>
                  <w:tcW w:w="1701" w:type="dxa"/>
                  <w:vMerge w:val="continue"/>
                  <w:tcBorders>
                    <w:tl2br w:val="nil"/>
                    <w:tr2bl w:val="nil"/>
                  </w:tcBorders>
                  <w:vAlign w:val="center"/>
                </w:tcPr>
                <w:p>
                  <w:pPr>
                    <w:pStyle w:val="96"/>
                    <w:spacing w:line="280" w:lineRule="exact"/>
                    <w:rPr>
                      <w:spacing w:val="-6"/>
                      <w:szCs w:val="21"/>
                    </w:rPr>
                  </w:pPr>
                </w:p>
              </w:tc>
              <w:tc>
                <w:tcPr>
                  <w:tcW w:w="1195" w:type="dxa"/>
                  <w:tcBorders>
                    <w:tl2br w:val="nil"/>
                    <w:tr2bl w:val="nil"/>
                  </w:tcBorders>
                  <w:vAlign w:val="center"/>
                </w:tcPr>
                <w:p>
                  <w:pPr>
                    <w:pStyle w:val="96"/>
                    <w:spacing w:line="280" w:lineRule="exact"/>
                    <w:rPr>
                      <w:spacing w:val="-6"/>
                      <w:szCs w:val="21"/>
                    </w:rPr>
                  </w:pPr>
                  <w:r>
                    <w:rPr>
                      <w:spacing w:val="-6"/>
                      <w:szCs w:val="21"/>
                    </w:rPr>
                    <w:t>间断，无组织排放</w:t>
                  </w:r>
                </w:p>
              </w:tc>
              <w:tc>
                <w:tcPr>
                  <w:tcW w:w="2021" w:type="dxa"/>
                  <w:tcBorders>
                    <w:tl2br w:val="nil"/>
                    <w:tr2bl w:val="nil"/>
                  </w:tcBorders>
                  <w:vAlign w:val="center"/>
                </w:tcPr>
                <w:p>
                  <w:pPr>
                    <w:pStyle w:val="96"/>
                    <w:spacing w:line="280" w:lineRule="exact"/>
                    <w:rPr>
                      <w:spacing w:val="-6"/>
                      <w:szCs w:val="21"/>
                    </w:rPr>
                  </w:pPr>
                  <w:r>
                    <w:rPr>
                      <w:spacing w:val="-6"/>
                      <w:szCs w:val="21"/>
                    </w:rPr>
                    <w:t>车间无组织</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56" w:type="dxa"/>
                  <w:vMerge w:val="continue"/>
                  <w:tcBorders>
                    <w:tl2br w:val="nil"/>
                    <w:tr2bl w:val="nil"/>
                  </w:tcBorders>
                  <w:vAlign w:val="center"/>
                </w:tcPr>
                <w:p>
                  <w:pPr>
                    <w:pStyle w:val="96"/>
                    <w:spacing w:line="280" w:lineRule="exact"/>
                    <w:rPr>
                      <w:spacing w:val="-6"/>
                      <w:szCs w:val="21"/>
                    </w:rPr>
                  </w:pPr>
                </w:p>
              </w:tc>
              <w:tc>
                <w:tcPr>
                  <w:tcW w:w="814" w:type="dxa"/>
                  <w:tcBorders>
                    <w:tl2br w:val="nil"/>
                    <w:tr2bl w:val="nil"/>
                  </w:tcBorders>
                  <w:vAlign w:val="center"/>
                </w:tcPr>
                <w:p>
                  <w:pPr>
                    <w:pStyle w:val="96"/>
                    <w:spacing w:line="280" w:lineRule="exact"/>
                    <w:rPr>
                      <w:spacing w:val="-6"/>
                      <w:szCs w:val="21"/>
                    </w:rPr>
                  </w:pPr>
                  <w:r>
                    <w:rPr>
                      <w:spacing w:val="-6"/>
                      <w:szCs w:val="21"/>
                    </w:rPr>
                    <w:t>G2</w:t>
                  </w:r>
                </w:p>
              </w:tc>
              <w:tc>
                <w:tcPr>
                  <w:tcW w:w="1940" w:type="dxa"/>
                  <w:tcBorders>
                    <w:tl2br w:val="nil"/>
                    <w:tr2bl w:val="nil"/>
                  </w:tcBorders>
                  <w:vAlign w:val="center"/>
                </w:tcPr>
                <w:p>
                  <w:pPr>
                    <w:pStyle w:val="96"/>
                    <w:spacing w:line="280" w:lineRule="exact"/>
                    <w:rPr>
                      <w:spacing w:val="-6"/>
                      <w:szCs w:val="21"/>
                    </w:rPr>
                  </w:pPr>
                  <w:r>
                    <w:rPr>
                      <w:spacing w:val="-6"/>
                      <w:szCs w:val="21"/>
                    </w:rPr>
                    <w:t>天然气燃烧</w:t>
                  </w:r>
                </w:p>
              </w:tc>
              <w:tc>
                <w:tcPr>
                  <w:tcW w:w="1701" w:type="dxa"/>
                  <w:tcBorders>
                    <w:tl2br w:val="nil"/>
                    <w:tr2bl w:val="nil"/>
                  </w:tcBorders>
                  <w:vAlign w:val="center"/>
                </w:tcPr>
                <w:p>
                  <w:pPr>
                    <w:pStyle w:val="96"/>
                    <w:spacing w:line="280" w:lineRule="exact"/>
                    <w:rPr>
                      <w:spacing w:val="-6"/>
                      <w:szCs w:val="21"/>
                    </w:rPr>
                  </w:pPr>
                  <w:r>
                    <w:rPr>
                      <w:rFonts w:hint="eastAsia"/>
                      <w:spacing w:val="-6"/>
                      <w:szCs w:val="21"/>
                    </w:rPr>
                    <w:t>烟尘</w:t>
                  </w:r>
                  <w:r>
                    <w:rPr>
                      <w:spacing w:val="-6"/>
                      <w:szCs w:val="21"/>
                    </w:rPr>
                    <w:t>、SO</w:t>
                  </w:r>
                  <w:r>
                    <w:rPr>
                      <w:spacing w:val="-6"/>
                      <w:szCs w:val="21"/>
                      <w:vertAlign w:val="subscript"/>
                    </w:rPr>
                    <w:t>2</w:t>
                  </w:r>
                  <w:r>
                    <w:rPr>
                      <w:spacing w:val="-6"/>
                      <w:szCs w:val="21"/>
                    </w:rPr>
                    <w:t>、NO</w:t>
                  </w:r>
                  <w:r>
                    <w:rPr>
                      <w:spacing w:val="-6"/>
                      <w:szCs w:val="21"/>
                      <w:vertAlign w:val="subscript"/>
                    </w:rPr>
                    <w:t>X</w:t>
                  </w:r>
                </w:p>
              </w:tc>
              <w:tc>
                <w:tcPr>
                  <w:tcW w:w="1195" w:type="dxa"/>
                  <w:tcBorders>
                    <w:tl2br w:val="nil"/>
                    <w:tr2bl w:val="nil"/>
                  </w:tcBorders>
                  <w:vAlign w:val="center"/>
                </w:tcPr>
                <w:p>
                  <w:pPr>
                    <w:pStyle w:val="96"/>
                    <w:spacing w:line="280" w:lineRule="exact"/>
                    <w:rPr>
                      <w:spacing w:val="-6"/>
                      <w:szCs w:val="21"/>
                    </w:rPr>
                  </w:pPr>
                  <w:r>
                    <w:rPr>
                      <w:spacing w:val="-6"/>
                      <w:szCs w:val="21"/>
                    </w:rPr>
                    <w:t>连续，有组织排放</w:t>
                  </w:r>
                </w:p>
              </w:tc>
              <w:tc>
                <w:tcPr>
                  <w:tcW w:w="2021" w:type="dxa"/>
                  <w:tcBorders>
                    <w:tl2br w:val="nil"/>
                    <w:tr2bl w:val="nil"/>
                  </w:tcBorders>
                  <w:vAlign w:val="center"/>
                </w:tcPr>
                <w:p>
                  <w:pPr>
                    <w:pStyle w:val="96"/>
                    <w:spacing w:line="280" w:lineRule="exact"/>
                    <w:rPr>
                      <w:spacing w:val="-6"/>
                      <w:szCs w:val="21"/>
                    </w:rPr>
                  </w:pPr>
                  <w:r>
                    <w:rPr>
                      <w:rFonts w:hint="eastAsia"/>
                      <w:spacing w:val="-6"/>
                      <w:szCs w:val="21"/>
                    </w:rPr>
                    <w:t>/</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Ex>
              <w:trPr>
                <w:trHeight w:val="19" w:hRule="atLeast"/>
                <w:jc w:val="center"/>
              </w:trPr>
              <w:tc>
                <w:tcPr>
                  <w:tcW w:w="556" w:type="dxa"/>
                  <w:vMerge w:val="continue"/>
                  <w:tcBorders>
                    <w:tl2br w:val="nil"/>
                    <w:tr2bl w:val="nil"/>
                  </w:tcBorders>
                  <w:vAlign w:val="center"/>
                </w:tcPr>
                <w:p>
                  <w:pPr>
                    <w:pStyle w:val="96"/>
                    <w:spacing w:line="280" w:lineRule="exact"/>
                    <w:rPr>
                      <w:spacing w:val="-6"/>
                      <w:szCs w:val="21"/>
                    </w:rPr>
                  </w:pPr>
                </w:p>
              </w:tc>
              <w:tc>
                <w:tcPr>
                  <w:tcW w:w="814" w:type="dxa"/>
                  <w:vMerge w:val="restart"/>
                  <w:tcBorders>
                    <w:tl2br w:val="nil"/>
                    <w:tr2bl w:val="nil"/>
                  </w:tcBorders>
                  <w:vAlign w:val="center"/>
                </w:tcPr>
                <w:p>
                  <w:pPr>
                    <w:pStyle w:val="96"/>
                    <w:spacing w:line="280" w:lineRule="exact"/>
                    <w:rPr>
                      <w:spacing w:val="-6"/>
                      <w:szCs w:val="21"/>
                    </w:rPr>
                  </w:pPr>
                  <w:r>
                    <w:rPr>
                      <w:rFonts w:hint="eastAsia"/>
                      <w:spacing w:val="-6"/>
                      <w:szCs w:val="21"/>
                    </w:rPr>
                    <w:t>G3</w:t>
                  </w:r>
                </w:p>
              </w:tc>
              <w:tc>
                <w:tcPr>
                  <w:tcW w:w="1940" w:type="dxa"/>
                  <w:vMerge w:val="restart"/>
                  <w:tcBorders>
                    <w:tl2br w:val="nil"/>
                    <w:tr2bl w:val="nil"/>
                  </w:tcBorders>
                  <w:vAlign w:val="center"/>
                </w:tcPr>
                <w:p>
                  <w:pPr>
                    <w:pStyle w:val="96"/>
                    <w:spacing w:line="280" w:lineRule="exact"/>
                    <w:rPr>
                      <w:spacing w:val="-6"/>
                      <w:szCs w:val="21"/>
                    </w:rPr>
                  </w:pPr>
                  <w:r>
                    <w:rPr>
                      <w:spacing w:val="-6"/>
                      <w:szCs w:val="21"/>
                    </w:rPr>
                    <w:t>烘干工序</w:t>
                  </w:r>
                </w:p>
              </w:tc>
              <w:tc>
                <w:tcPr>
                  <w:tcW w:w="1701" w:type="dxa"/>
                  <w:vMerge w:val="restart"/>
                  <w:tcBorders>
                    <w:tl2br w:val="nil"/>
                    <w:tr2bl w:val="nil"/>
                  </w:tcBorders>
                  <w:vAlign w:val="center"/>
                </w:tcPr>
                <w:p>
                  <w:pPr>
                    <w:pStyle w:val="96"/>
                    <w:spacing w:line="280" w:lineRule="exact"/>
                    <w:rPr>
                      <w:spacing w:val="-6"/>
                      <w:szCs w:val="21"/>
                    </w:rPr>
                  </w:pPr>
                  <w:r>
                    <w:rPr>
                      <w:spacing w:val="-6"/>
                      <w:szCs w:val="21"/>
                    </w:rPr>
                    <w:t>粉尘（硅粉颗粒）</w:t>
                  </w:r>
                </w:p>
              </w:tc>
              <w:tc>
                <w:tcPr>
                  <w:tcW w:w="1195" w:type="dxa"/>
                  <w:tcBorders>
                    <w:tl2br w:val="nil"/>
                    <w:tr2bl w:val="nil"/>
                  </w:tcBorders>
                  <w:vAlign w:val="center"/>
                </w:tcPr>
                <w:p>
                  <w:pPr>
                    <w:pStyle w:val="96"/>
                    <w:spacing w:line="280" w:lineRule="exact"/>
                    <w:rPr>
                      <w:spacing w:val="-6"/>
                      <w:szCs w:val="21"/>
                    </w:rPr>
                  </w:pPr>
                  <w:r>
                    <w:rPr>
                      <w:spacing w:val="-6"/>
                      <w:szCs w:val="21"/>
                    </w:rPr>
                    <w:t>连续，无组织排放</w:t>
                  </w:r>
                </w:p>
              </w:tc>
              <w:tc>
                <w:tcPr>
                  <w:tcW w:w="2021" w:type="dxa"/>
                  <w:tcBorders>
                    <w:tl2br w:val="nil"/>
                    <w:tr2bl w:val="nil"/>
                  </w:tcBorders>
                  <w:vAlign w:val="center"/>
                </w:tcPr>
                <w:p>
                  <w:pPr>
                    <w:pStyle w:val="96"/>
                    <w:spacing w:line="280" w:lineRule="exact"/>
                    <w:rPr>
                      <w:spacing w:val="-6"/>
                      <w:szCs w:val="21"/>
                    </w:rPr>
                  </w:pPr>
                  <w:r>
                    <w:rPr>
                      <w:rFonts w:hint="eastAsia"/>
                      <w:spacing w:val="-6"/>
                      <w:szCs w:val="21"/>
                    </w:rPr>
                    <w:t>集气罩+喷淋装置+折流板式除雾器</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Ex>
              <w:trPr>
                <w:trHeight w:val="19" w:hRule="atLeast"/>
                <w:jc w:val="center"/>
              </w:trPr>
              <w:tc>
                <w:tcPr>
                  <w:tcW w:w="556" w:type="dxa"/>
                  <w:vMerge w:val="continue"/>
                  <w:tcBorders>
                    <w:tl2br w:val="nil"/>
                    <w:tr2bl w:val="nil"/>
                  </w:tcBorders>
                  <w:vAlign w:val="center"/>
                </w:tcPr>
                <w:p>
                  <w:pPr>
                    <w:pStyle w:val="96"/>
                    <w:spacing w:line="280" w:lineRule="exact"/>
                    <w:rPr>
                      <w:spacing w:val="-6"/>
                      <w:szCs w:val="21"/>
                    </w:rPr>
                  </w:pPr>
                </w:p>
              </w:tc>
              <w:tc>
                <w:tcPr>
                  <w:tcW w:w="814" w:type="dxa"/>
                  <w:vMerge w:val="continue"/>
                  <w:tcBorders>
                    <w:tl2br w:val="nil"/>
                    <w:tr2bl w:val="nil"/>
                  </w:tcBorders>
                  <w:vAlign w:val="center"/>
                </w:tcPr>
                <w:p>
                  <w:pPr>
                    <w:pStyle w:val="96"/>
                    <w:spacing w:line="280" w:lineRule="exact"/>
                    <w:rPr>
                      <w:spacing w:val="-6"/>
                      <w:szCs w:val="21"/>
                    </w:rPr>
                  </w:pPr>
                </w:p>
              </w:tc>
              <w:tc>
                <w:tcPr>
                  <w:tcW w:w="1940" w:type="dxa"/>
                  <w:vMerge w:val="continue"/>
                  <w:tcBorders>
                    <w:tl2br w:val="nil"/>
                    <w:tr2bl w:val="nil"/>
                  </w:tcBorders>
                  <w:vAlign w:val="center"/>
                </w:tcPr>
                <w:p>
                  <w:pPr>
                    <w:pStyle w:val="96"/>
                    <w:spacing w:line="280" w:lineRule="exact"/>
                    <w:rPr>
                      <w:spacing w:val="-6"/>
                      <w:szCs w:val="21"/>
                    </w:rPr>
                  </w:pPr>
                </w:p>
              </w:tc>
              <w:tc>
                <w:tcPr>
                  <w:tcW w:w="1701" w:type="dxa"/>
                  <w:vMerge w:val="continue"/>
                  <w:tcBorders>
                    <w:tl2br w:val="nil"/>
                    <w:tr2bl w:val="nil"/>
                  </w:tcBorders>
                  <w:vAlign w:val="center"/>
                </w:tcPr>
                <w:p>
                  <w:pPr>
                    <w:pStyle w:val="96"/>
                    <w:spacing w:line="280" w:lineRule="exact"/>
                    <w:rPr>
                      <w:spacing w:val="-6"/>
                      <w:szCs w:val="21"/>
                    </w:rPr>
                  </w:pPr>
                </w:p>
              </w:tc>
              <w:tc>
                <w:tcPr>
                  <w:tcW w:w="1195" w:type="dxa"/>
                  <w:tcBorders>
                    <w:tl2br w:val="nil"/>
                    <w:tr2bl w:val="nil"/>
                  </w:tcBorders>
                  <w:vAlign w:val="center"/>
                </w:tcPr>
                <w:p>
                  <w:pPr>
                    <w:pStyle w:val="96"/>
                    <w:spacing w:line="280" w:lineRule="exact"/>
                    <w:rPr>
                      <w:spacing w:val="-6"/>
                      <w:szCs w:val="21"/>
                    </w:rPr>
                  </w:pPr>
                  <w:r>
                    <w:rPr>
                      <w:spacing w:val="-6"/>
                      <w:szCs w:val="21"/>
                    </w:rPr>
                    <w:t>间断，无组织排放</w:t>
                  </w:r>
                </w:p>
              </w:tc>
              <w:tc>
                <w:tcPr>
                  <w:tcW w:w="2021" w:type="dxa"/>
                  <w:tcBorders>
                    <w:tl2br w:val="nil"/>
                    <w:tr2bl w:val="nil"/>
                  </w:tcBorders>
                  <w:vAlign w:val="center"/>
                </w:tcPr>
                <w:p>
                  <w:pPr>
                    <w:pStyle w:val="96"/>
                    <w:spacing w:line="280" w:lineRule="exact"/>
                    <w:rPr>
                      <w:spacing w:val="-6"/>
                      <w:szCs w:val="21"/>
                    </w:rPr>
                  </w:pPr>
                  <w:r>
                    <w:rPr>
                      <w:spacing w:val="-6"/>
                      <w:szCs w:val="21"/>
                    </w:rPr>
                    <w:t>车间无组织</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Ex>
              <w:trPr>
                <w:trHeight w:val="19" w:hRule="atLeast"/>
                <w:jc w:val="center"/>
              </w:trPr>
              <w:tc>
                <w:tcPr>
                  <w:tcW w:w="556" w:type="dxa"/>
                  <w:vMerge w:val="continue"/>
                  <w:tcBorders>
                    <w:tl2br w:val="nil"/>
                    <w:tr2bl w:val="nil"/>
                  </w:tcBorders>
                  <w:vAlign w:val="center"/>
                </w:tcPr>
                <w:p>
                  <w:pPr>
                    <w:pStyle w:val="96"/>
                    <w:spacing w:line="280" w:lineRule="exact"/>
                    <w:rPr>
                      <w:spacing w:val="-6"/>
                      <w:szCs w:val="21"/>
                    </w:rPr>
                  </w:pPr>
                </w:p>
              </w:tc>
              <w:tc>
                <w:tcPr>
                  <w:tcW w:w="814" w:type="dxa"/>
                  <w:vMerge w:val="restart"/>
                  <w:tcBorders>
                    <w:tl2br w:val="nil"/>
                    <w:tr2bl w:val="nil"/>
                  </w:tcBorders>
                  <w:vAlign w:val="center"/>
                </w:tcPr>
                <w:p>
                  <w:pPr>
                    <w:pStyle w:val="96"/>
                    <w:spacing w:line="280" w:lineRule="exact"/>
                    <w:rPr>
                      <w:spacing w:val="-6"/>
                      <w:szCs w:val="21"/>
                    </w:rPr>
                  </w:pPr>
                  <w:r>
                    <w:rPr>
                      <w:spacing w:val="-6"/>
                      <w:szCs w:val="21"/>
                    </w:rPr>
                    <w:t>G</w:t>
                  </w:r>
                  <w:r>
                    <w:rPr>
                      <w:rFonts w:hint="eastAsia"/>
                      <w:spacing w:val="-6"/>
                      <w:szCs w:val="21"/>
                    </w:rPr>
                    <w:t>4</w:t>
                  </w:r>
                </w:p>
              </w:tc>
              <w:tc>
                <w:tcPr>
                  <w:tcW w:w="1940" w:type="dxa"/>
                  <w:vMerge w:val="restart"/>
                  <w:tcBorders>
                    <w:tl2br w:val="nil"/>
                    <w:tr2bl w:val="nil"/>
                  </w:tcBorders>
                  <w:vAlign w:val="center"/>
                </w:tcPr>
                <w:p>
                  <w:pPr>
                    <w:pStyle w:val="96"/>
                    <w:spacing w:line="280" w:lineRule="exact"/>
                    <w:rPr>
                      <w:spacing w:val="-6"/>
                      <w:szCs w:val="21"/>
                    </w:rPr>
                  </w:pPr>
                  <w:r>
                    <w:rPr>
                      <w:spacing w:val="-6"/>
                      <w:szCs w:val="21"/>
                    </w:rPr>
                    <w:t>熔融工序</w:t>
                  </w:r>
                </w:p>
              </w:tc>
              <w:tc>
                <w:tcPr>
                  <w:tcW w:w="1701" w:type="dxa"/>
                  <w:vMerge w:val="restart"/>
                  <w:tcBorders>
                    <w:tl2br w:val="nil"/>
                    <w:tr2bl w:val="nil"/>
                  </w:tcBorders>
                  <w:vAlign w:val="center"/>
                </w:tcPr>
                <w:p>
                  <w:pPr>
                    <w:pStyle w:val="96"/>
                    <w:spacing w:line="280" w:lineRule="exact"/>
                    <w:rPr>
                      <w:spacing w:val="-6"/>
                      <w:szCs w:val="21"/>
                    </w:rPr>
                  </w:pPr>
                  <w:r>
                    <w:rPr>
                      <w:spacing w:val="-6"/>
                      <w:szCs w:val="21"/>
                    </w:rPr>
                    <w:t>粉尘（硅粉颗粒）</w:t>
                  </w:r>
                </w:p>
              </w:tc>
              <w:tc>
                <w:tcPr>
                  <w:tcW w:w="1195" w:type="dxa"/>
                  <w:tcBorders>
                    <w:tl2br w:val="nil"/>
                    <w:tr2bl w:val="nil"/>
                  </w:tcBorders>
                  <w:vAlign w:val="center"/>
                </w:tcPr>
                <w:p>
                  <w:pPr>
                    <w:pStyle w:val="96"/>
                    <w:spacing w:line="280" w:lineRule="exact"/>
                    <w:rPr>
                      <w:spacing w:val="-6"/>
                      <w:szCs w:val="21"/>
                    </w:rPr>
                  </w:pPr>
                  <w:r>
                    <w:rPr>
                      <w:spacing w:val="-6"/>
                      <w:szCs w:val="21"/>
                    </w:rPr>
                    <w:t>间断，有组织排放</w:t>
                  </w:r>
                </w:p>
              </w:tc>
              <w:tc>
                <w:tcPr>
                  <w:tcW w:w="2021" w:type="dxa"/>
                  <w:tcBorders>
                    <w:tl2br w:val="nil"/>
                    <w:tr2bl w:val="nil"/>
                  </w:tcBorders>
                  <w:vAlign w:val="center"/>
                </w:tcPr>
                <w:p>
                  <w:pPr>
                    <w:pStyle w:val="96"/>
                    <w:spacing w:line="280" w:lineRule="exact"/>
                    <w:rPr>
                      <w:spacing w:val="-6"/>
                      <w:szCs w:val="21"/>
                    </w:rPr>
                  </w:pPr>
                  <w:r>
                    <w:rPr>
                      <w:rFonts w:hint="eastAsia"/>
                      <w:spacing w:val="-6"/>
                      <w:szCs w:val="21"/>
                    </w:rPr>
                    <w:t>集气罩+防火软帘+布袋除尘器</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Ex>
              <w:trPr>
                <w:trHeight w:val="19" w:hRule="atLeast"/>
                <w:jc w:val="center"/>
              </w:trPr>
              <w:tc>
                <w:tcPr>
                  <w:tcW w:w="556" w:type="dxa"/>
                  <w:vMerge w:val="continue"/>
                  <w:tcBorders>
                    <w:tl2br w:val="nil"/>
                    <w:tr2bl w:val="nil"/>
                  </w:tcBorders>
                  <w:vAlign w:val="center"/>
                </w:tcPr>
                <w:p>
                  <w:pPr>
                    <w:pStyle w:val="96"/>
                    <w:spacing w:line="280" w:lineRule="exact"/>
                    <w:rPr>
                      <w:spacing w:val="-6"/>
                      <w:szCs w:val="21"/>
                    </w:rPr>
                  </w:pPr>
                </w:p>
              </w:tc>
              <w:tc>
                <w:tcPr>
                  <w:tcW w:w="814" w:type="dxa"/>
                  <w:vMerge w:val="continue"/>
                  <w:tcBorders>
                    <w:tl2br w:val="nil"/>
                    <w:tr2bl w:val="nil"/>
                  </w:tcBorders>
                  <w:vAlign w:val="center"/>
                </w:tcPr>
                <w:p>
                  <w:pPr>
                    <w:pStyle w:val="96"/>
                    <w:spacing w:line="280" w:lineRule="exact"/>
                    <w:rPr>
                      <w:spacing w:val="-6"/>
                      <w:szCs w:val="21"/>
                    </w:rPr>
                  </w:pPr>
                </w:p>
              </w:tc>
              <w:tc>
                <w:tcPr>
                  <w:tcW w:w="1940" w:type="dxa"/>
                  <w:vMerge w:val="continue"/>
                  <w:tcBorders>
                    <w:tl2br w:val="nil"/>
                    <w:tr2bl w:val="nil"/>
                  </w:tcBorders>
                  <w:vAlign w:val="center"/>
                </w:tcPr>
                <w:p>
                  <w:pPr>
                    <w:pStyle w:val="96"/>
                    <w:spacing w:line="280" w:lineRule="exact"/>
                    <w:rPr>
                      <w:spacing w:val="-6"/>
                      <w:szCs w:val="21"/>
                    </w:rPr>
                  </w:pPr>
                </w:p>
              </w:tc>
              <w:tc>
                <w:tcPr>
                  <w:tcW w:w="1701" w:type="dxa"/>
                  <w:vMerge w:val="continue"/>
                  <w:tcBorders>
                    <w:tl2br w:val="nil"/>
                    <w:tr2bl w:val="nil"/>
                  </w:tcBorders>
                  <w:vAlign w:val="center"/>
                </w:tcPr>
                <w:p>
                  <w:pPr>
                    <w:pStyle w:val="96"/>
                    <w:spacing w:line="280" w:lineRule="exact"/>
                    <w:rPr>
                      <w:spacing w:val="-6"/>
                      <w:szCs w:val="21"/>
                    </w:rPr>
                  </w:pPr>
                </w:p>
              </w:tc>
              <w:tc>
                <w:tcPr>
                  <w:tcW w:w="1195" w:type="dxa"/>
                  <w:tcBorders>
                    <w:tl2br w:val="nil"/>
                    <w:tr2bl w:val="nil"/>
                  </w:tcBorders>
                  <w:vAlign w:val="center"/>
                </w:tcPr>
                <w:p>
                  <w:pPr>
                    <w:pStyle w:val="96"/>
                    <w:spacing w:line="280" w:lineRule="exact"/>
                    <w:rPr>
                      <w:spacing w:val="-6"/>
                      <w:szCs w:val="21"/>
                    </w:rPr>
                  </w:pPr>
                  <w:r>
                    <w:rPr>
                      <w:spacing w:val="-6"/>
                      <w:szCs w:val="21"/>
                    </w:rPr>
                    <w:t>间断，无组织排放</w:t>
                  </w:r>
                </w:p>
              </w:tc>
              <w:tc>
                <w:tcPr>
                  <w:tcW w:w="2021" w:type="dxa"/>
                  <w:tcBorders>
                    <w:tl2br w:val="nil"/>
                    <w:tr2bl w:val="nil"/>
                  </w:tcBorders>
                  <w:vAlign w:val="center"/>
                </w:tcPr>
                <w:p>
                  <w:pPr>
                    <w:pStyle w:val="96"/>
                    <w:spacing w:line="280" w:lineRule="exact"/>
                    <w:rPr>
                      <w:spacing w:val="-6"/>
                      <w:szCs w:val="21"/>
                    </w:rPr>
                  </w:pPr>
                  <w:r>
                    <w:rPr>
                      <w:spacing w:val="-6"/>
                      <w:szCs w:val="21"/>
                    </w:rPr>
                    <w:t>车间无组织</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Ex>
              <w:trPr>
                <w:trHeight w:val="19" w:hRule="atLeast"/>
                <w:jc w:val="center"/>
              </w:trPr>
              <w:tc>
                <w:tcPr>
                  <w:tcW w:w="556" w:type="dxa"/>
                  <w:vMerge w:val="restart"/>
                  <w:tcBorders>
                    <w:tl2br w:val="nil"/>
                    <w:tr2bl w:val="nil"/>
                  </w:tcBorders>
                  <w:vAlign w:val="center"/>
                </w:tcPr>
                <w:p>
                  <w:pPr>
                    <w:pStyle w:val="96"/>
                    <w:spacing w:line="280" w:lineRule="exact"/>
                    <w:rPr>
                      <w:spacing w:val="-6"/>
                      <w:szCs w:val="21"/>
                    </w:rPr>
                  </w:pPr>
                  <w:r>
                    <w:rPr>
                      <w:spacing w:val="-6"/>
                      <w:szCs w:val="21"/>
                    </w:rPr>
                    <w:t>废水</w:t>
                  </w:r>
                </w:p>
              </w:tc>
              <w:tc>
                <w:tcPr>
                  <w:tcW w:w="814" w:type="dxa"/>
                  <w:tcBorders>
                    <w:tl2br w:val="nil"/>
                    <w:tr2bl w:val="nil"/>
                  </w:tcBorders>
                  <w:vAlign w:val="center"/>
                </w:tcPr>
                <w:p>
                  <w:pPr>
                    <w:pStyle w:val="96"/>
                    <w:spacing w:line="280" w:lineRule="exact"/>
                    <w:rPr>
                      <w:spacing w:val="-6"/>
                      <w:szCs w:val="21"/>
                    </w:rPr>
                  </w:pPr>
                  <w:r>
                    <w:rPr>
                      <w:spacing w:val="-6"/>
                      <w:szCs w:val="21"/>
                    </w:rPr>
                    <w:t>W1</w:t>
                  </w:r>
                </w:p>
              </w:tc>
              <w:tc>
                <w:tcPr>
                  <w:tcW w:w="1940" w:type="dxa"/>
                  <w:tcBorders>
                    <w:tl2br w:val="nil"/>
                    <w:tr2bl w:val="nil"/>
                  </w:tcBorders>
                  <w:vAlign w:val="center"/>
                </w:tcPr>
                <w:p>
                  <w:pPr>
                    <w:pStyle w:val="96"/>
                    <w:spacing w:line="280" w:lineRule="exact"/>
                    <w:rPr>
                      <w:spacing w:val="-6"/>
                      <w:szCs w:val="21"/>
                    </w:rPr>
                  </w:pPr>
                  <w:r>
                    <w:rPr>
                      <w:spacing w:val="-6"/>
                      <w:szCs w:val="21"/>
                    </w:rPr>
                    <w:t>循环水冷系统产生的间接冷却水</w:t>
                  </w:r>
                </w:p>
              </w:tc>
              <w:tc>
                <w:tcPr>
                  <w:tcW w:w="1701" w:type="dxa"/>
                  <w:tcBorders>
                    <w:tl2br w:val="nil"/>
                    <w:tr2bl w:val="nil"/>
                  </w:tcBorders>
                  <w:vAlign w:val="center"/>
                </w:tcPr>
                <w:p>
                  <w:pPr>
                    <w:pStyle w:val="96"/>
                    <w:spacing w:line="280" w:lineRule="exact"/>
                    <w:rPr>
                      <w:spacing w:val="-6"/>
                      <w:szCs w:val="21"/>
                    </w:rPr>
                  </w:pPr>
                  <w:r>
                    <w:rPr>
                      <w:spacing w:val="-6"/>
                      <w:szCs w:val="21"/>
                    </w:rPr>
                    <w:t>COD、SS</w:t>
                  </w:r>
                </w:p>
              </w:tc>
              <w:tc>
                <w:tcPr>
                  <w:tcW w:w="1195" w:type="dxa"/>
                  <w:tcBorders>
                    <w:tl2br w:val="nil"/>
                    <w:tr2bl w:val="nil"/>
                  </w:tcBorders>
                  <w:vAlign w:val="center"/>
                </w:tcPr>
                <w:p>
                  <w:pPr>
                    <w:pStyle w:val="96"/>
                    <w:spacing w:line="280" w:lineRule="exact"/>
                    <w:rPr>
                      <w:spacing w:val="-6"/>
                      <w:szCs w:val="21"/>
                    </w:rPr>
                  </w:pPr>
                  <w:r>
                    <w:rPr>
                      <w:spacing w:val="-6"/>
                      <w:szCs w:val="21"/>
                    </w:rPr>
                    <w:t>连续</w:t>
                  </w:r>
                </w:p>
              </w:tc>
              <w:tc>
                <w:tcPr>
                  <w:tcW w:w="2021" w:type="dxa"/>
                  <w:tcBorders>
                    <w:tl2br w:val="nil"/>
                    <w:tr2bl w:val="nil"/>
                  </w:tcBorders>
                  <w:vAlign w:val="center"/>
                </w:tcPr>
                <w:p>
                  <w:pPr>
                    <w:pStyle w:val="96"/>
                    <w:spacing w:line="280" w:lineRule="exact"/>
                    <w:rPr>
                      <w:spacing w:val="-6"/>
                      <w:szCs w:val="21"/>
                    </w:rPr>
                  </w:pPr>
                  <w:r>
                    <w:rPr>
                      <w:spacing w:val="-6"/>
                      <w:szCs w:val="21"/>
                    </w:rPr>
                    <w:t>循环使用，不外排</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Ex>
              <w:trPr>
                <w:trHeight w:val="19" w:hRule="atLeast"/>
                <w:jc w:val="center"/>
              </w:trPr>
              <w:tc>
                <w:tcPr>
                  <w:tcW w:w="556" w:type="dxa"/>
                  <w:vMerge w:val="continue"/>
                  <w:tcBorders>
                    <w:tl2br w:val="nil"/>
                    <w:tr2bl w:val="nil"/>
                  </w:tcBorders>
                  <w:vAlign w:val="center"/>
                </w:tcPr>
                <w:p>
                  <w:pPr>
                    <w:pStyle w:val="96"/>
                    <w:spacing w:line="280" w:lineRule="exact"/>
                    <w:rPr>
                      <w:spacing w:val="-6"/>
                      <w:szCs w:val="21"/>
                    </w:rPr>
                  </w:pPr>
                </w:p>
              </w:tc>
              <w:tc>
                <w:tcPr>
                  <w:tcW w:w="814" w:type="dxa"/>
                  <w:tcBorders>
                    <w:tl2br w:val="nil"/>
                    <w:tr2bl w:val="nil"/>
                  </w:tcBorders>
                  <w:vAlign w:val="center"/>
                </w:tcPr>
                <w:p>
                  <w:pPr>
                    <w:pStyle w:val="96"/>
                    <w:spacing w:line="280" w:lineRule="exact"/>
                    <w:rPr>
                      <w:spacing w:val="-6"/>
                      <w:szCs w:val="21"/>
                    </w:rPr>
                  </w:pPr>
                  <w:r>
                    <w:rPr>
                      <w:spacing w:val="-6"/>
                      <w:szCs w:val="21"/>
                    </w:rPr>
                    <w:t>W</w:t>
                  </w:r>
                  <w:r>
                    <w:rPr>
                      <w:rFonts w:hint="eastAsia"/>
                      <w:spacing w:val="-6"/>
                      <w:szCs w:val="21"/>
                    </w:rPr>
                    <w:t>2</w:t>
                  </w:r>
                </w:p>
              </w:tc>
              <w:tc>
                <w:tcPr>
                  <w:tcW w:w="1940" w:type="dxa"/>
                  <w:tcBorders>
                    <w:tl2br w:val="nil"/>
                    <w:tr2bl w:val="nil"/>
                  </w:tcBorders>
                  <w:vAlign w:val="center"/>
                </w:tcPr>
                <w:p>
                  <w:pPr>
                    <w:pStyle w:val="96"/>
                    <w:spacing w:line="280" w:lineRule="exact"/>
                    <w:rPr>
                      <w:spacing w:val="-6"/>
                      <w:szCs w:val="21"/>
                    </w:rPr>
                  </w:pPr>
                  <w:r>
                    <w:rPr>
                      <w:rFonts w:hint="eastAsia"/>
                      <w:spacing w:val="-6"/>
                      <w:szCs w:val="21"/>
                    </w:rPr>
                    <w:t>喷淋用水</w:t>
                  </w:r>
                </w:p>
              </w:tc>
              <w:tc>
                <w:tcPr>
                  <w:tcW w:w="1701" w:type="dxa"/>
                  <w:tcBorders>
                    <w:tl2br w:val="nil"/>
                    <w:tr2bl w:val="nil"/>
                  </w:tcBorders>
                  <w:vAlign w:val="center"/>
                </w:tcPr>
                <w:p>
                  <w:pPr>
                    <w:pStyle w:val="96"/>
                    <w:spacing w:line="280" w:lineRule="exact"/>
                    <w:rPr>
                      <w:spacing w:val="-6"/>
                      <w:szCs w:val="21"/>
                    </w:rPr>
                  </w:pPr>
                  <w:r>
                    <w:rPr>
                      <w:spacing w:val="-6"/>
                      <w:szCs w:val="21"/>
                    </w:rPr>
                    <w:t>COD、SS</w:t>
                  </w:r>
                </w:p>
              </w:tc>
              <w:tc>
                <w:tcPr>
                  <w:tcW w:w="1195" w:type="dxa"/>
                  <w:tcBorders>
                    <w:tl2br w:val="nil"/>
                    <w:tr2bl w:val="nil"/>
                  </w:tcBorders>
                  <w:vAlign w:val="center"/>
                </w:tcPr>
                <w:p>
                  <w:pPr>
                    <w:pStyle w:val="96"/>
                    <w:spacing w:line="280" w:lineRule="exact"/>
                    <w:rPr>
                      <w:spacing w:val="-6"/>
                      <w:szCs w:val="21"/>
                    </w:rPr>
                  </w:pPr>
                  <w:r>
                    <w:rPr>
                      <w:spacing w:val="-6"/>
                      <w:szCs w:val="21"/>
                    </w:rPr>
                    <w:t>连续</w:t>
                  </w:r>
                </w:p>
              </w:tc>
              <w:tc>
                <w:tcPr>
                  <w:tcW w:w="2021" w:type="dxa"/>
                  <w:tcBorders>
                    <w:tl2br w:val="nil"/>
                    <w:tr2bl w:val="nil"/>
                  </w:tcBorders>
                  <w:vAlign w:val="center"/>
                </w:tcPr>
                <w:p>
                  <w:pPr>
                    <w:pStyle w:val="96"/>
                    <w:spacing w:line="280" w:lineRule="exact"/>
                    <w:rPr>
                      <w:spacing w:val="-6"/>
                      <w:szCs w:val="21"/>
                    </w:rPr>
                  </w:pPr>
                  <w:r>
                    <w:rPr>
                      <w:spacing w:val="-6"/>
                      <w:szCs w:val="21"/>
                    </w:rPr>
                    <w:t>循环使用，不外排</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Ex>
              <w:trPr>
                <w:trHeight w:val="19" w:hRule="atLeast"/>
                <w:jc w:val="center"/>
              </w:trPr>
              <w:tc>
                <w:tcPr>
                  <w:tcW w:w="556" w:type="dxa"/>
                  <w:vMerge w:val="restart"/>
                  <w:tcBorders>
                    <w:tl2br w:val="nil"/>
                    <w:tr2bl w:val="nil"/>
                  </w:tcBorders>
                  <w:vAlign w:val="center"/>
                </w:tcPr>
                <w:p>
                  <w:pPr>
                    <w:pStyle w:val="96"/>
                    <w:spacing w:line="280" w:lineRule="exact"/>
                    <w:rPr>
                      <w:spacing w:val="-6"/>
                      <w:szCs w:val="21"/>
                    </w:rPr>
                  </w:pPr>
                  <w:r>
                    <w:rPr>
                      <w:spacing w:val="-6"/>
                      <w:szCs w:val="21"/>
                    </w:rPr>
                    <w:t>固体废物</w:t>
                  </w:r>
                </w:p>
              </w:tc>
              <w:tc>
                <w:tcPr>
                  <w:tcW w:w="814" w:type="dxa"/>
                  <w:tcBorders>
                    <w:tl2br w:val="nil"/>
                    <w:tr2bl w:val="nil"/>
                  </w:tcBorders>
                  <w:vAlign w:val="center"/>
                </w:tcPr>
                <w:p>
                  <w:pPr>
                    <w:pStyle w:val="96"/>
                    <w:spacing w:line="280" w:lineRule="exact"/>
                    <w:rPr>
                      <w:spacing w:val="-6"/>
                      <w:szCs w:val="21"/>
                    </w:rPr>
                  </w:pPr>
                  <w:r>
                    <w:rPr>
                      <w:spacing w:val="-6"/>
                      <w:szCs w:val="21"/>
                    </w:rPr>
                    <w:t>S1</w:t>
                  </w:r>
                </w:p>
              </w:tc>
              <w:tc>
                <w:tcPr>
                  <w:tcW w:w="1940" w:type="dxa"/>
                  <w:tcBorders>
                    <w:tl2br w:val="nil"/>
                    <w:tr2bl w:val="nil"/>
                  </w:tcBorders>
                  <w:vAlign w:val="center"/>
                </w:tcPr>
                <w:p>
                  <w:pPr>
                    <w:pStyle w:val="96"/>
                    <w:spacing w:line="280" w:lineRule="exact"/>
                    <w:rPr>
                      <w:spacing w:val="-6"/>
                      <w:szCs w:val="21"/>
                    </w:rPr>
                  </w:pPr>
                  <w:r>
                    <w:rPr>
                      <w:spacing w:val="-6"/>
                      <w:szCs w:val="21"/>
                    </w:rPr>
                    <w:t>熔融工序</w:t>
                  </w:r>
                </w:p>
              </w:tc>
              <w:tc>
                <w:tcPr>
                  <w:tcW w:w="1701" w:type="dxa"/>
                  <w:tcBorders>
                    <w:tl2br w:val="nil"/>
                    <w:tr2bl w:val="nil"/>
                  </w:tcBorders>
                  <w:vAlign w:val="center"/>
                </w:tcPr>
                <w:p>
                  <w:pPr>
                    <w:pStyle w:val="96"/>
                    <w:spacing w:line="280" w:lineRule="exact"/>
                    <w:rPr>
                      <w:spacing w:val="-6"/>
                      <w:szCs w:val="21"/>
                    </w:rPr>
                  </w:pPr>
                  <w:r>
                    <w:rPr>
                      <w:spacing w:val="-6"/>
                      <w:szCs w:val="21"/>
                    </w:rPr>
                    <w:t>炉渣</w:t>
                  </w:r>
                </w:p>
              </w:tc>
              <w:tc>
                <w:tcPr>
                  <w:tcW w:w="1195" w:type="dxa"/>
                  <w:tcBorders>
                    <w:tl2br w:val="nil"/>
                    <w:tr2bl w:val="nil"/>
                  </w:tcBorders>
                  <w:vAlign w:val="center"/>
                </w:tcPr>
                <w:p>
                  <w:pPr>
                    <w:pStyle w:val="96"/>
                    <w:spacing w:line="280" w:lineRule="exact"/>
                    <w:rPr>
                      <w:spacing w:val="-6"/>
                      <w:szCs w:val="21"/>
                    </w:rPr>
                  </w:pPr>
                  <w:r>
                    <w:rPr>
                      <w:spacing w:val="-6"/>
                      <w:szCs w:val="21"/>
                    </w:rPr>
                    <w:t>间断</w:t>
                  </w:r>
                </w:p>
              </w:tc>
              <w:tc>
                <w:tcPr>
                  <w:tcW w:w="2021" w:type="dxa"/>
                  <w:tcBorders>
                    <w:tl2br w:val="nil"/>
                    <w:tr2bl w:val="nil"/>
                  </w:tcBorders>
                  <w:vAlign w:val="center"/>
                </w:tcPr>
                <w:p>
                  <w:pPr>
                    <w:pStyle w:val="96"/>
                    <w:spacing w:line="280" w:lineRule="exact"/>
                    <w:rPr>
                      <w:spacing w:val="-6"/>
                      <w:szCs w:val="21"/>
                    </w:rPr>
                  </w:pPr>
                  <w:r>
                    <w:rPr>
                      <w:spacing w:val="-6"/>
                      <w:szCs w:val="21"/>
                    </w:rPr>
                    <w:t>外售作硅合金原料</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Ex>
              <w:trPr>
                <w:trHeight w:val="19" w:hRule="atLeast"/>
                <w:jc w:val="center"/>
              </w:trPr>
              <w:tc>
                <w:tcPr>
                  <w:tcW w:w="556" w:type="dxa"/>
                  <w:vMerge w:val="continue"/>
                  <w:tcBorders>
                    <w:tl2br w:val="nil"/>
                    <w:tr2bl w:val="nil"/>
                  </w:tcBorders>
                  <w:vAlign w:val="center"/>
                </w:tcPr>
                <w:p>
                  <w:pPr>
                    <w:pStyle w:val="96"/>
                    <w:spacing w:line="280" w:lineRule="exact"/>
                    <w:rPr>
                      <w:spacing w:val="-6"/>
                      <w:szCs w:val="21"/>
                    </w:rPr>
                  </w:pPr>
                </w:p>
              </w:tc>
              <w:tc>
                <w:tcPr>
                  <w:tcW w:w="814" w:type="dxa"/>
                  <w:tcBorders>
                    <w:tl2br w:val="nil"/>
                    <w:tr2bl w:val="nil"/>
                  </w:tcBorders>
                  <w:vAlign w:val="center"/>
                </w:tcPr>
                <w:p>
                  <w:pPr>
                    <w:pStyle w:val="96"/>
                    <w:spacing w:line="280" w:lineRule="exact"/>
                    <w:rPr>
                      <w:spacing w:val="-6"/>
                      <w:szCs w:val="21"/>
                    </w:rPr>
                  </w:pPr>
                  <w:r>
                    <w:rPr>
                      <w:spacing w:val="-6"/>
                      <w:szCs w:val="21"/>
                    </w:rPr>
                    <w:t>S</w:t>
                  </w:r>
                  <w:r>
                    <w:rPr>
                      <w:rFonts w:hint="eastAsia"/>
                      <w:spacing w:val="-6"/>
                      <w:szCs w:val="21"/>
                    </w:rPr>
                    <w:t>2</w:t>
                  </w:r>
                </w:p>
              </w:tc>
              <w:tc>
                <w:tcPr>
                  <w:tcW w:w="1940" w:type="dxa"/>
                  <w:tcBorders>
                    <w:tl2br w:val="nil"/>
                    <w:tr2bl w:val="nil"/>
                  </w:tcBorders>
                  <w:vAlign w:val="center"/>
                </w:tcPr>
                <w:p>
                  <w:pPr>
                    <w:pStyle w:val="96"/>
                    <w:spacing w:line="280" w:lineRule="exact"/>
                    <w:rPr>
                      <w:spacing w:val="-6"/>
                      <w:szCs w:val="21"/>
                    </w:rPr>
                  </w:pPr>
                  <w:r>
                    <w:rPr>
                      <w:spacing w:val="-6"/>
                      <w:szCs w:val="21"/>
                    </w:rPr>
                    <w:t>废气处理系统</w:t>
                  </w:r>
                </w:p>
              </w:tc>
              <w:tc>
                <w:tcPr>
                  <w:tcW w:w="1701" w:type="dxa"/>
                  <w:tcBorders>
                    <w:tl2br w:val="nil"/>
                    <w:tr2bl w:val="nil"/>
                  </w:tcBorders>
                  <w:vAlign w:val="center"/>
                </w:tcPr>
                <w:p>
                  <w:pPr>
                    <w:pStyle w:val="96"/>
                    <w:spacing w:line="280" w:lineRule="exact"/>
                    <w:rPr>
                      <w:spacing w:val="-6"/>
                      <w:szCs w:val="21"/>
                    </w:rPr>
                  </w:pPr>
                  <w:r>
                    <w:rPr>
                      <w:spacing w:val="-6"/>
                      <w:szCs w:val="21"/>
                    </w:rPr>
                    <w:t>除尘灰</w:t>
                  </w:r>
                  <w:r>
                    <w:rPr>
                      <w:rFonts w:hint="eastAsia"/>
                      <w:spacing w:val="-6"/>
                      <w:szCs w:val="21"/>
                    </w:rPr>
                    <w:t>及地面粉尘</w:t>
                  </w:r>
                  <w:r>
                    <w:rPr>
                      <w:spacing w:val="-6"/>
                      <w:szCs w:val="21"/>
                    </w:rPr>
                    <w:t>（主要成分为SiO</w:t>
                  </w:r>
                  <w:r>
                    <w:rPr>
                      <w:spacing w:val="-6"/>
                      <w:szCs w:val="21"/>
                      <w:vertAlign w:val="subscript"/>
                    </w:rPr>
                    <w:t>2</w:t>
                  </w:r>
                  <w:r>
                    <w:rPr>
                      <w:spacing w:val="-6"/>
                      <w:szCs w:val="21"/>
                    </w:rPr>
                    <w:t>）</w:t>
                  </w:r>
                </w:p>
              </w:tc>
              <w:tc>
                <w:tcPr>
                  <w:tcW w:w="1195" w:type="dxa"/>
                  <w:tcBorders>
                    <w:tl2br w:val="nil"/>
                    <w:tr2bl w:val="nil"/>
                  </w:tcBorders>
                  <w:vAlign w:val="center"/>
                </w:tcPr>
                <w:p>
                  <w:pPr>
                    <w:pStyle w:val="96"/>
                    <w:spacing w:line="280" w:lineRule="exact"/>
                    <w:rPr>
                      <w:spacing w:val="-6"/>
                      <w:szCs w:val="21"/>
                    </w:rPr>
                  </w:pPr>
                  <w:r>
                    <w:rPr>
                      <w:spacing w:val="-6"/>
                      <w:szCs w:val="21"/>
                    </w:rPr>
                    <w:t>间断</w:t>
                  </w:r>
                </w:p>
              </w:tc>
              <w:tc>
                <w:tcPr>
                  <w:tcW w:w="2021" w:type="dxa"/>
                  <w:tcBorders>
                    <w:tl2br w:val="nil"/>
                    <w:tr2bl w:val="nil"/>
                  </w:tcBorders>
                  <w:vAlign w:val="center"/>
                </w:tcPr>
                <w:p>
                  <w:pPr>
                    <w:pStyle w:val="96"/>
                    <w:spacing w:line="280" w:lineRule="exact"/>
                    <w:rPr>
                      <w:spacing w:val="-6"/>
                      <w:szCs w:val="21"/>
                    </w:rPr>
                  </w:pPr>
                  <w:r>
                    <w:rPr>
                      <w:spacing w:val="-6"/>
                      <w:szCs w:val="21"/>
                    </w:rPr>
                    <w:t>全部回用于制粒</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Ex>
              <w:trPr>
                <w:trHeight w:val="19" w:hRule="atLeast"/>
                <w:jc w:val="center"/>
              </w:trPr>
              <w:tc>
                <w:tcPr>
                  <w:tcW w:w="556" w:type="dxa"/>
                  <w:vMerge w:val="continue"/>
                  <w:tcBorders>
                    <w:tl2br w:val="nil"/>
                    <w:tr2bl w:val="nil"/>
                  </w:tcBorders>
                  <w:vAlign w:val="center"/>
                </w:tcPr>
                <w:p>
                  <w:pPr>
                    <w:pStyle w:val="96"/>
                    <w:spacing w:line="280" w:lineRule="exact"/>
                    <w:rPr>
                      <w:spacing w:val="-6"/>
                      <w:szCs w:val="21"/>
                    </w:rPr>
                  </w:pPr>
                </w:p>
              </w:tc>
              <w:tc>
                <w:tcPr>
                  <w:tcW w:w="814" w:type="dxa"/>
                  <w:tcBorders>
                    <w:tl2br w:val="nil"/>
                    <w:tr2bl w:val="nil"/>
                  </w:tcBorders>
                  <w:vAlign w:val="center"/>
                </w:tcPr>
                <w:p>
                  <w:pPr>
                    <w:pStyle w:val="96"/>
                    <w:spacing w:line="280" w:lineRule="exact"/>
                    <w:rPr>
                      <w:spacing w:val="-6"/>
                      <w:szCs w:val="21"/>
                    </w:rPr>
                  </w:pPr>
                  <w:r>
                    <w:rPr>
                      <w:spacing w:val="-6"/>
                      <w:szCs w:val="21"/>
                    </w:rPr>
                    <w:t>S</w:t>
                  </w:r>
                  <w:r>
                    <w:rPr>
                      <w:rFonts w:hint="eastAsia"/>
                      <w:spacing w:val="-6"/>
                      <w:szCs w:val="21"/>
                    </w:rPr>
                    <w:t>3</w:t>
                  </w:r>
                </w:p>
              </w:tc>
              <w:tc>
                <w:tcPr>
                  <w:tcW w:w="1940" w:type="dxa"/>
                  <w:tcBorders>
                    <w:tl2br w:val="nil"/>
                    <w:tr2bl w:val="nil"/>
                  </w:tcBorders>
                  <w:vAlign w:val="center"/>
                </w:tcPr>
                <w:p>
                  <w:pPr>
                    <w:pStyle w:val="96"/>
                    <w:spacing w:line="280" w:lineRule="exact"/>
                    <w:rPr>
                      <w:spacing w:val="-6"/>
                      <w:szCs w:val="21"/>
                    </w:rPr>
                  </w:pPr>
                  <w:r>
                    <w:rPr>
                      <w:spacing w:val="-6"/>
                      <w:szCs w:val="21"/>
                    </w:rPr>
                    <w:t>原料包装过程</w:t>
                  </w:r>
                </w:p>
              </w:tc>
              <w:tc>
                <w:tcPr>
                  <w:tcW w:w="1701" w:type="dxa"/>
                  <w:tcBorders>
                    <w:tl2br w:val="nil"/>
                    <w:tr2bl w:val="nil"/>
                  </w:tcBorders>
                  <w:vAlign w:val="center"/>
                </w:tcPr>
                <w:p>
                  <w:pPr>
                    <w:pStyle w:val="96"/>
                    <w:spacing w:line="280" w:lineRule="exact"/>
                    <w:rPr>
                      <w:spacing w:val="-6"/>
                      <w:szCs w:val="21"/>
                    </w:rPr>
                  </w:pPr>
                  <w:r>
                    <w:rPr>
                      <w:spacing w:val="-6"/>
                      <w:szCs w:val="21"/>
                    </w:rPr>
                    <w:t>废原料包装材料</w:t>
                  </w:r>
                </w:p>
              </w:tc>
              <w:tc>
                <w:tcPr>
                  <w:tcW w:w="1195" w:type="dxa"/>
                  <w:tcBorders>
                    <w:tl2br w:val="nil"/>
                    <w:tr2bl w:val="nil"/>
                  </w:tcBorders>
                  <w:vAlign w:val="center"/>
                </w:tcPr>
                <w:p>
                  <w:pPr>
                    <w:pStyle w:val="96"/>
                    <w:spacing w:line="280" w:lineRule="exact"/>
                    <w:rPr>
                      <w:spacing w:val="-6"/>
                      <w:szCs w:val="21"/>
                    </w:rPr>
                  </w:pPr>
                  <w:r>
                    <w:rPr>
                      <w:spacing w:val="-6"/>
                      <w:szCs w:val="21"/>
                    </w:rPr>
                    <w:t>间断</w:t>
                  </w:r>
                </w:p>
              </w:tc>
              <w:tc>
                <w:tcPr>
                  <w:tcW w:w="2021" w:type="dxa"/>
                  <w:tcBorders>
                    <w:tl2br w:val="nil"/>
                    <w:tr2bl w:val="nil"/>
                  </w:tcBorders>
                  <w:vAlign w:val="center"/>
                </w:tcPr>
                <w:p>
                  <w:pPr>
                    <w:pStyle w:val="96"/>
                    <w:spacing w:line="280" w:lineRule="exact"/>
                    <w:rPr>
                      <w:spacing w:val="-6"/>
                      <w:szCs w:val="21"/>
                    </w:rPr>
                  </w:pPr>
                  <w:r>
                    <w:rPr>
                      <w:spacing w:val="-6"/>
                      <w:szCs w:val="21"/>
                    </w:rPr>
                    <w:t>厂家回收利用</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Ex>
              <w:trPr>
                <w:trHeight w:val="19" w:hRule="atLeast"/>
                <w:jc w:val="center"/>
              </w:trPr>
              <w:tc>
                <w:tcPr>
                  <w:tcW w:w="556" w:type="dxa"/>
                  <w:vMerge w:val="continue"/>
                  <w:tcBorders>
                    <w:tl2br w:val="nil"/>
                    <w:tr2bl w:val="nil"/>
                  </w:tcBorders>
                  <w:vAlign w:val="center"/>
                </w:tcPr>
                <w:p>
                  <w:pPr>
                    <w:pStyle w:val="96"/>
                    <w:spacing w:line="280" w:lineRule="exact"/>
                    <w:rPr>
                      <w:spacing w:val="-6"/>
                      <w:szCs w:val="21"/>
                    </w:rPr>
                  </w:pPr>
                </w:p>
              </w:tc>
              <w:tc>
                <w:tcPr>
                  <w:tcW w:w="814" w:type="dxa"/>
                  <w:tcBorders>
                    <w:tl2br w:val="nil"/>
                    <w:tr2bl w:val="nil"/>
                  </w:tcBorders>
                  <w:vAlign w:val="center"/>
                </w:tcPr>
                <w:p>
                  <w:pPr>
                    <w:pStyle w:val="96"/>
                    <w:spacing w:line="280" w:lineRule="exact"/>
                    <w:rPr>
                      <w:spacing w:val="-6"/>
                      <w:szCs w:val="21"/>
                    </w:rPr>
                  </w:pPr>
                  <w:r>
                    <w:rPr>
                      <w:spacing w:val="-6"/>
                      <w:szCs w:val="21"/>
                    </w:rPr>
                    <w:t>S</w:t>
                  </w:r>
                  <w:r>
                    <w:rPr>
                      <w:rFonts w:hint="eastAsia"/>
                      <w:spacing w:val="-6"/>
                      <w:szCs w:val="21"/>
                    </w:rPr>
                    <w:t>4</w:t>
                  </w:r>
                </w:p>
              </w:tc>
              <w:tc>
                <w:tcPr>
                  <w:tcW w:w="1940" w:type="dxa"/>
                  <w:tcBorders>
                    <w:tl2br w:val="nil"/>
                    <w:tr2bl w:val="nil"/>
                  </w:tcBorders>
                  <w:vAlign w:val="center"/>
                </w:tcPr>
                <w:p>
                  <w:pPr>
                    <w:pStyle w:val="96"/>
                    <w:spacing w:line="280" w:lineRule="exact"/>
                    <w:rPr>
                      <w:spacing w:val="-6"/>
                      <w:szCs w:val="21"/>
                    </w:rPr>
                  </w:pPr>
                  <w:r>
                    <w:rPr>
                      <w:spacing w:val="-6"/>
                      <w:szCs w:val="21"/>
                    </w:rPr>
                    <w:t>设备维修保养过程</w:t>
                  </w:r>
                </w:p>
              </w:tc>
              <w:tc>
                <w:tcPr>
                  <w:tcW w:w="1701" w:type="dxa"/>
                  <w:tcBorders>
                    <w:tl2br w:val="nil"/>
                    <w:tr2bl w:val="nil"/>
                  </w:tcBorders>
                  <w:vAlign w:val="center"/>
                </w:tcPr>
                <w:p>
                  <w:pPr>
                    <w:pStyle w:val="96"/>
                    <w:spacing w:line="280" w:lineRule="exact"/>
                    <w:rPr>
                      <w:spacing w:val="-6"/>
                      <w:szCs w:val="21"/>
                    </w:rPr>
                  </w:pPr>
                  <w:r>
                    <w:rPr>
                      <w:spacing w:val="-6"/>
                      <w:szCs w:val="21"/>
                    </w:rPr>
                    <w:t>废机油</w:t>
                  </w:r>
                </w:p>
              </w:tc>
              <w:tc>
                <w:tcPr>
                  <w:tcW w:w="1195" w:type="dxa"/>
                  <w:tcBorders>
                    <w:tl2br w:val="nil"/>
                    <w:tr2bl w:val="nil"/>
                  </w:tcBorders>
                  <w:vAlign w:val="center"/>
                </w:tcPr>
                <w:p>
                  <w:pPr>
                    <w:pStyle w:val="96"/>
                    <w:spacing w:line="280" w:lineRule="exact"/>
                    <w:rPr>
                      <w:spacing w:val="-6"/>
                      <w:szCs w:val="21"/>
                    </w:rPr>
                  </w:pPr>
                  <w:r>
                    <w:rPr>
                      <w:spacing w:val="-6"/>
                      <w:szCs w:val="21"/>
                    </w:rPr>
                    <w:t>间断</w:t>
                  </w:r>
                </w:p>
              </w:tc>
              <w:tc>
                <w:tcPr>
                  <w:tcW w:w="2021" w:type="dxa"/>
                  <w:tcBorders>
                    <w:tl2br w:val="nil"/>
                    <w:tr2bl w:val="nil"/>
                  </w:tcBorders>
                  <w:vAlign w:val="center"/>
                </w:tcPr>
                <w:p>
                  <w:pPr>
                    <w:pStyle w:val="96"/>
                    <w:spacing w:line="280" w:lineRule="exact"/>
                    <w:rPr>
                      <w:spacing w:val="-6"/>
                      <w:szCs w:val="21"/>
                    </w:rPr>
                  </w:pPr>
                  <w:r>
                    <w:rPr>
                      <w:spacing w:val="-6"/>
                      <w:szCs w:val="21"/>
                    </w:rPr>
                    <w:t>委托有资质单位处置</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Ex>
              <w:trPr>
                <w:trHeight w:val="19" w:hRule="atLeast"/>
                <w:jc w:val="center"/>
              </w:trPr>
              <w:tc>
                <w:tcPr>
                  <w:tcW w:w="556" w:type="dxa"/>
                  <w:vMerge w:val="continue"/>
                  <w:tcBorders>
                    <w:tl2br w:val="nil"/>
                    <w:tr2bl w:val="nil"/>
                  </w:tcBorders>
                  <w:vAlign w:val="center"/>
                </w:tcPr>
                <w:p>
                  <w:pPr>
                    <w:pStyle w:val="96"/>
                    <w:spacing w:line="280" w:lineRule="exact"/>
                    <w:rPr>
                      <w:spacing w:val="-6"/>
                      <w:szCs w:val="21"/>
                    </w:rPr>
                  </w:pPr>
                </w:p>
              </w:tc>
              <w:tc>
                <w:tcPr>
                  <w:tcW w:w="814" w:type="dxa"/>
                  <w:tcBorders>
                    <w:tl2br w:val="nil"/>
                    <w:tr2bl w:val="nil"/>
                  </w:tcBorders>
                  <w:vAlign w:val="center"/>
                </w:tcPr>
                <w:p>
                  <w:pPr>
                    <w:pStyle w:val="96"/>
                    <w:spacing w:line="280" w:lineRule="exact"/>
                    <w:rPr>
                      <w:spacing w:val="-6"/>
                      <w:szCs w:val="21"/>
                    </w:rPr>
                  </w:pPr>
                  <w:r>
                    <w:rPr>
                      <w:rFonts w:hint="eastAsia"/>
                      <w:spacing w:val="-6"/>
                      <w:szCs w:val="21"/>
                    </w:rPr>
                    <w:t>S5</w:t>
                  </w:r>
                </w:p>
              </w:tc>
              <w:tc>
                <w:tcPr>
                  <w:tcW w:w="1940" w:type="dxa"/>
                  <w:tcBorders>
                    <w:tl2br w:val="nil"/>
                    <w:tr2bl w:val="nil"/>
                  </w:tcBorders>
                  <w:vAlign w:val="center"/>
                </w:tcPr>
                <w:p>
                  <w:pPr>
                    <w:pStyle w:val="96"/>
                    <w:spacing w:line="280" w:lineRule="exact"/>
                    <w:rPr>
                      <w:spacing w:val="-6"/>
                      <w:szCs w:val="21"/>
                    </w:rPr>
                  </w:pPr>
                  <w:r>
                    <w:rPr>
                      <w:rFonts w:hint="eastAsia"/>
                      <w:spacing w:val="-6"/>
                      <w:szCs w:val="21"/>
                    </w:rPr>
                    <w:t>喷淋除尘装置</w:t>
                  </w:r>
                </w:p>
              </w:tc>
              <w:tc>
                <w:tcPr>
                  <w:tcW w:w="1701" w:type="dxa"/>
                  <w:tcBorders>
                    <w:tl2br w:val="nil"/>
                    <w:tr2bl w:val="nil"/>
                  </w:tcBorders>
                  <w:vAlign w:val="center"/>
                </w:tcPr>
                <w:p>
                  <w:pPr>
                    <w:pStyle w:val="96"/>
                    <w:spacing w:line="280" w:lineRule="exact"/>
                    <w:rPr>
                      <w:spacing w:val="-6"/>
                      <w:szCs w:val="21"/>
                    </w:rPr>
                  </w:pPr>
                  <w:r>
                    <w:rPr>
                      <w:rFonts w:hint="eastAsia"/>
                      <w:spacing w:val="-6"/>
                      <w:szCs w:val="21"/>
                    </w:rPr>
                    <w:t>除尘渣</w:t>
                  </w:r>
                </w:p>
              </w:tc>
              <w:tc>
                <w:tcPr>
                  <w:tcW w:w="1195" w:type="dxa"/>
                  <w:tcBorders>
                    <w:tl2br w:val="nil"/>
                    <w:tr2bl w:val="nil"/>
                  </w:tcBorders>
                  <w:vAlign w:val="center"/>
                </w:tcPr>
                <w:p>
                  <w:pPr>
                    <w:pStyle w:val="96"/>
                    <w:spacing w:line="280" w:lineRule="exact"/>
                    <w:rPr>
                      <w:spacing w:val="-6"/>
                      <w:szCs w:val="21"/>
                    </w:rPr>
                  </w:pPr>
                  <w:r>
                    <w:rPr>
                      <w:spacing w:val="-6"/>
                      <w:szCs w:val="21"/>
                    </w:rPr>
                    <w:t>间断</w:t>
                  </w:r>
                </w:p>
              </w:tc>
              <w:tc>
                <w:tcPr>
                  <w:tcW w:w="2021" w:type="dxa"/>
                  <w:tcBorders>
                    <w:tl2br w:val="nil"/>
                    <w:tr2bl w:val="nil"/>
                  </w:tcBorders>
                  <w:vAlign w:val="center"/>
                </w:tcPr>
                <w:p>
                  <w:pPr>
                    <w:pStyle w:val="96"/>
                    <w:spacing w:line="280" w:lineRule="exact"/>
                    <w:rPr>
                      <w:spacing w:val="-6"/>
                      <w:szCs w:val="21"/>
                    </w:rPr>
                  </w:pPr>
                  <w:r>
                    <w:rPr>
                      <w:rFonts w:hint="eastAsia"/>
                      <w:spacing w:val="-6"/>
                      <w:szCs w:val="21"/>
                    </w:rPr>
                    <w:t>经压滤机处理后回用于制粒工序</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Ex>
              <w:trPr>
                <w:trHeight w:val="19" w:hRule="atLeast"/>
                <w:jc w:val="center"/>
              </w:trPr>
              <w:tc>
                <w:tcPr>
                  <w:tcW w:w="556" w:type="dxa"/>
                  <w:tcBorders>
                    <w:tl2br w:val="nil"/>
                    <w:tr2bl w:val="nil"/>
                  </w:tcBorders>
                  <w:vAlign w:val="center"/>
                </w:tcPr>
                <w:p>
                  <w:pPr>
                    <w:pStyle w:val="96"/>
                    <w:spacing w:line="280" w:lineRule="exact"/>
                    <w:rPr>
                      <w:spacing w:val="-6"/>
                      <w:szCs w:val="21"/>
                    </w:rPr>
                  </w:pPr>
                  <w:r>
                    <w:rPr>
                      <w:spacing w:val="-6"/>
                      <w:szCs w:val="21"/>
                    </w:rPr>
                    <w:t>噪声</w:t>
                  </w:r>
                </w:p>
              </w:tc>
              <w:tc>
                <w:tcPr>
                  <w:tcW w:w="814" w:type="dxa"/>
                  <w:tcBorders>
                    <w:tl2br w:val="nil"/>
                    <w:tr2bl w:val="nil"/>
                  </w:tcBorders>
                  <w:vAlign w:val="center"/>
                </w:tcPr>
                <w:p>
                  <w:pPr>
                    <w:pStyle w:val="96"/>
                    <w:spacing w:line="280" w:lineRule="exact"/>
                    <w:rPr>
                      <w:spacing w:val="-6"/>
                      <w:szCs w:val="21"/>
                    </w:rPr>
                  </w:pPr>
                  <w:r>
                    <w:rPr>
                      <w:spacing w:val="-6"/>
                      <w:szCs w:val="21"/>
                    </w:rPr>
                    <w:t>N</w:t>
                  </w:r>
                </w:p>
              </w:tc>
              <w:tc>
                <w:tcPr>
                  <w:tcW w:w="1940" w:type="dxa"/>
                  <w:tcBorders>
                    <w:tl2br w:val="nil"/>
                    <w:tr2bl w:val="nil"/>
                  </w:tcBorders>
                  <w:vAlign w:val="center"/>
                </w:tcPr>
                <w:p>
                  <w:pPr>
                    <w:pStyle w:val="96"/>
                    <w:spacing w:line="280" w:lineRule="exact"/>
                    <w:rPr>
                      <w:spacing w:val="-6"/>
                      <w:szCs w:val="21"/>
                    </w:rPr>
                  </w:pPr>
                  <w:r>
                    <w:rPr>
                      <w:spacing w:val="-6"/>
                      <w:szCs w:val="21"/>
                    </w:rPr>
                    <w:t>烘干机、风机、</w:t>
                  </w:r>
                  <w:r>
                    <w:rPr>
                      <w:rFonts w:hint="eastAsia"/>
                      <w:spacing w:val="-6"/>
                      <w:szCs w:val="21"/>
                    </w:rPr>
                    <w:t>制粒机</w:t>
                  </w:r>
                  <w:r>
                    <w:rPr>
                      <w:spacing w:val="-6"/>
                      <w:szCs w:val="21"/>
                    </w:rPr>
                    <w:t>等设备运行噪声</w:t>
                  </w:r>
                </w:p>
              </w:tc>
              <w:tc>
                <w:tcPr>
                  <w:tcW w:w="1701" w:type="dxa"/>
                  <w:tcBorders>
                    <w:tl2br w:val="nil"/>
                    <w:tr2bl w:val="nil"/>
                  </w:tcBorders>
                  <w:vAlign w:val="center"/>
                </w:tcPr>
                <w:p>
                  <w:pPr>
                    <w:pStyle w:val="96"/>
                    <w:spacing w:line="280" w:lineRule="exact"/>
                    <w:rPr>
                      <w:spacing w:val="-6"/>
                      <w:szCs w:val="21"/>
                    </w:rPr>
                  </w:pPr>
                  <w:r>
                    <w:rPr>
                      <w:spacing w:val="-6"/>
                      <w:szCs w:val="21"/>
                    </w:rPr>
                    <w:t>噪声</w:t>
                  </w:r>
                </w:p>
              </w:tc>
              <w:tc>
                <w:tcPr>
                  <w:tcW w:w="1195" w:type="dxa"/>
                  <w:tcBorders>
                    <w:tl2br w:val="nil"/>
                    <w:tr2bl w:val="nil"/>
                  </w:tcBorders>
                  <w:vAlign w:val="center"/>
                </w:tcPr>
                <w:p>
                  <w:pPr>
                    <w:pStyle w:val="96"/>
                    <w:spacing w:line="280" w:lineRule="exact"/>
                    <w:rPr>
                      <w:spacing w:val="-6"/>
                      <w:szCs w:val="21"/>
                    </w:rPr>
                  </w:pPr>
                  <w:r>
                    <w:rPr>
                      <w:spacing w:val="-6"/>
                      <w:szCs w:val="21"/>
                    </w:rPr>
                    <w:t>连续</w:t>
                  </w:r>
                </w:p>
              </w:tc>
              <w:tc>
                <w:tcPr>
                  <w:tcW w:w="2021" w:type="dxa"/>
                  <w:tcBorders>
                    <w:tl2br w:val="nil"/>
                    <w:tr2bl w:val="nil"/>
                  </w:tcBorders>
                  <w:vAlign w:val="center"/>
                </w:tcPr>
                <w:p>
                  <w:pPr>
                    <w:pStyle w:val="96"/>
                    <w:spacing w:line="280" w:lineRule="exact"/>
                    <w:rPr>
                      <w:spacing w:val="-6"/>
                      <w:szCs w:val="21"/>
                    </w:rPr>
                  </w:pPr>
                  <w:r>
                    <w:rPr>
                      <w:spacing w:val="-6"/>
                      <w:szCs w:val="21"/>
                    </w:rPr>
                    <w:t>置于室内，合理布局，采取相应的隔声、减振、消声措施</w:t>
                  </w:r>
                </w:p>
              </w:tc>
            </w:tr>
          </w:tbl>
          <w:p>
            <w:pPr>
              <w:pStyle w:val="52"/>
              <w:snapToGrid w:val="0"/>
              <w:spacing w:line="360" w:lineRule="auto"/>
              <w:ind w:firstLine="480"/>
            </w:pPr>
          </w:p>
          <w:p>
            <w:pPr>
              <w:ind w:firstLine="480"/>
              <w:rPr>
                <w:szCs w:val="22"/>
              </w:rPr>
            </w:pPr>
            <w:r>
              <w:rPr>
                <w:rFonts w:hint="eastAsia"/>
                <w:szCs w:val="22"/>
              </w:rPr>
              <w:t>4、物料平衡</w:t>
            </w:r>
          </w:p>
          <w:p>
            <w:pPr>
              <w:ind w:left="480" w:leftChars="200" w:firstLine="0" w:firstLineChars="0"/>
            </w:pPr>
            <w:r>
              <w:t>本项</w:t>
            </w:r>
            <w:r>
              <w:rPr>
                <w:rFonts w:hint="eastAsia"/>
              </w:rPr>
              <w:t>目物料平衡情况见</w:t>
            </w:r>
            <w:r>
              <w:t>表2</w:t>
            </w:r>
            <w:r>
              <w:rPr>
                <w:rFonts w:hint="eastAsia"/>
              </w:rPr>
              <w:t>-7、图见2-4</w:t>
            </w:r>
            <w:r>
              <w:t>。</w:t>
            </w:r>
          </w:p>
          <w:p>
            <w:pPr>
              <w:pStyle w:val="85"/>
              <w:rPr>
                <w:color w:val="auto"/>
              </w:rPr>
            </w:pPr>
            <w:r>
              <w:rPr>
                <w:rFonts w:hint="eastAsia"/>
                <w:color w:val="auto"/>
              </w:rPr>
              <w:t>表2-8本项目物料平衡一览表（t/a）</w:t>
            </w:r>
          </w:p>
          <w:tbl>
            <w:tblPr>
              <w:tblStyle w:val="37"/>
              <w:tblW w:w="82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6"/>
              <w:gridCol w:w="1790"/>
              <w:gridCol w:w="2448"/>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56" w:type="dxa"/>
                  <w:gridSpan w:val="2"/>
                </w:tcPr>
                <w:p>
                  <w:pPr>
                    <w:pStyle w:val="91"/>
                  </w:pPr>
                  <w:r>
                    <w:rPr>
                      <w:rFonts w:hint="eastAsia"/>
                    </w:rPr>
                    <w:t>进料</w:t>
                  </w:r>
                </w:p>
              </w:tc>
              <w:tc>
                <w:tcPr>
                  <w:tcW w:w="4220" w:type="dxa"/>
                  <w:gridSpan w:val="2"/>
                </w:tcPr>
                <w:p>
                  <w:pPr>
                    <w:pStyle w:val="91"/>
                  </w:pPr>
                  <w:r>
                    <w:rPr>
                      <w:rFonts w:hint="eastAsia"/>
                    </w:rPr>
                    <w:t>出料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6" w:type="dxa"/>
                </w:tcPr>
                <w:p>
                  <w:pPr>
                    <w:pStyle w:val="91"/>
                  </w:pPr>
                  <w:r>
                    <w:rPr>
                      <w:rFonts w:hint="eastAsia"/>
                    </w:rPr>
                    <w:t>硅泥（含水率50%）</w:t>
                  </w:r>
                </w:p>
              </w:tc>
              <w:tc>
                <w:tcPr>
                  <w:tcW w:w="1790" w:type="dxa"/>
                  <w:vAlign w:val="center"/>
                </w:tcPr>
                <w:p>
                  <w:pPr>
                    <w:pStyle w:val="91"/>
                  </w:pPr>
                  <w:r>
                    <w:rPr>
                      <w:rFonts w:hint="eastAsia"/>
                    </w:rPr>
                    <w:t>16600</w:t>
                  </w:r>
                </w:p>
              </w:tc>
              <w:tc>
                <w:tcPr>
                  <w:tcW w:w="2448" w:type="dxa"/>
                </w:tcPr>
                <w:p>
                  <w:pPr>
                    <w:pStyle w:val="91"/>
                  </w:pPr>
                  <w:r>
                    <w:rPr>
                      <w:rFonts w:hint="eastAsia"/>
                    </w:rPr>
                    <w:t>高纯硅（含水约2%）</w:t>
                  </w:r>
                </w:p>
              </w:tc>
              <w:tc>
                <w:tcPr>
                  <w:tcW w:w="1772" w:type="dxa"/>
                </w:tcPr>
                <w:p>
                  <w:pPr>
                    <w:pStyle w:val="91"/>
                  </w:pPr>
                  <w:r>
                    <w:rPr>
                      <w:rFonts w:hint="eastAsia"/>
                    </w:rPr>
                    <w:t>19954.72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 w:hRule="atLeast"/>
              </w:trPr>
              <w:tc>
                <w:tcPr>
                  <w:tcW w:w="2266" w:type="dxa"/>
                </w:tcPr>
                <w:p>
                  <w:pPr>
                    <w:pStyle w:val="91"/>
                  </w:pPr>
                  <w:r>
                    <w:rPr>
                      <w:rFonts w:hint="eastAsia"/>
                    </w:rPr>
                    <w:t>硅粉（含水率30%）</w:t>
                  </w:r>
                </w:p>
              </w:tc>
              <w:tc>
                <w:tcPr>
                  <w:tcW w:w="1790" w:type="dxa"/>
                  <w:vAlign w:val="center"/>
                </w:tcPr>
                <w:p>
                  <w:pPr>
                    <w:pStyle w:val="91"/>
                  </w:pPr>
                  <w:r>
                    <w:rPr>
                      <w:rFonts w:hint="eastAsia"/>
                    </w:rPr>
                    <w:t>16500</w:t>
                  </w:r>
                </w:p>
              </w:tc>
              <w:tc>
                <w:tcPr>
                  <w:tcW w:w="2448" w:type="dxa"/>
                </w:tcPr>
                <w:p>
                  <w:pPr>
                    <w:pStyle w:val="91"/>
                  </w:pPr>
                  <w:r>
                    <w:rPr>
                      <w:rFonts w:hint="eastAsia"/>
                    </w:rPr>
                    <w:t>水分散失</w:t>
                  </w:r>
                </w:p>
              </w:tc>
              <w:tc>
                <w:tcPr>
                  <w:tcW w:w="1772" w:type="dxa"/>
                </w:tcPr>
                <w:p>
                  <w:pPr>
                    <w:pStyle w:val="91"/>
                  </w:pPr>
                  <w:r>
                    <w:rPr>
                      <w:rFonts w:hint="eastAsia"/>
                    </w:rPr>
                    <w:t>12588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6" w:type="dxa"/>
                </w:tcPr>
                <w:p>
                  <w:pPr>
                    <w:pStyle w:val="91"/>
                  </w:pPr>
                  <w:r>
                    <w:rPr>
                      <w:rFonts w:hint="eastAsia"/>
                    </w:rPr>
                    <w:t>钙粉</w:t>
                  </w:r>
                </w:p>
              </w:tc>
              <w:tc>
                <w:tcPr>
                  <w:tcW w:w="1790" w:type="dxa"/>
                  <w:vAlign w:val="center"/>
                </w:tcPr>
                <w:p>
                  <w:pPr>
                    <w:pStyle w:val="91"/>
                  </w:pPr>
                  <w:r>
                    <w:rPr>
                      <w:rFonts w:hint="eastAsia"/>
                    </w:rPr>
                    <w:t>150</w:t>
                  </w:r>
                </w:p>
              </w:tc>
              <w:tc>
                <w:tcPr>
                  <w:tcW w:w="2448" w:type="dxa"/>
                </w:tcPr>
                <w:p>
                  <w:pPr>
                    <w:pStyle w:val="91"/>
                  </w:pPr>
                  <w:r>
                    <w:rPr>
                      <w:rFonts w:hint="eastAsia"/>
                    </w:rPr>
                    <w:t>除尘灰</w:t>
                  </w:r>
                </w:p>
              </w:tc>
              <w:tc>
                <w:tcPr>
                  <w:tcW w:w="1772" w:type="dxa"/>
                </w:tcPr>
                <w:p>
                  <w:pPr>
                    <w:pStyle w:val="91"/>
                  </w:pPr>
                  <w:r>
                    <w:t>128.24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56" w:type="dxa"/>
                  <w:gridSpan w:val="2"/>
                </w:tcPr>
                <w:p>
                  <w:pPr>
                    <w:pStyle w:val="91"/>
                  </w:pPr>
                </w:p>
              </w:tc>
              <w:tc>
                <w:tcPr>
                  <w:tcW w:w="2448" w:type="dxa"/>
                </w:tcPr>
                <w:p>
                  <w:pPr>
                    <w:pStyle w:val="91"/>
                  </w:pPr>
                  <w:r>
                    <w:rPr>
                      <w:rFonts w:hint="eastAsia"/>
                    </w:rPr>
                    <w:t>地面粉尘</w:t>
                  </w:r>
                </w:p>
              </w:tc>
              <w:tc>
                <w:tcPr>
                  <w:tcW w:w="1772" w:type="dxa"/>
                </w:tcPr>
                <w:p>
                  <w:pPr>
                    <w:pStyle w:val="91"/>
                  </w:pPr>
                  <w:r>
                    <w:t>33.25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56" w:type="dxa"/>
                  <w:gridSpan w:val="2"/>
                </w:tcPr>
                <w:p>
                  <w:pPr>
                    <w:pStyle w:val="91"/>
                  </w:pPr>
                </w:p>
              </w:tc>
              <w:tc>
                <w:tcPr>
                  <w:tcW w:w="2448" w:type="dxa"/>
                </w:tcPr>
                <w:p>
                  <w:pPr>
                    <w:pStyle w:val="91"/>
                  </w:pPr>
                  <w:r>
                    <w:rPr>
                      <w:rFonts w:hint="eastAsia"/>
                    </w:rPr>
                    <w:t>喷淋废渣（干重）</w:t>
                  </w:r>
                </w:p>
              </w:tc>
              <w:tc>
                <w:tcPr>
                  <w:tcW w:w="1772" w:type="dxa"/>
                </w:tcPr>
                <w:p>
                  <w:pPr>
                    <w:pStyle w:val="91"/>
                  </w:pPr>
                  <w:r>
                    <w:t>38.79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56" w:type="dxa"/>
                  <w:gridSpan w:val="2"/>
                </w:tcPr>
                <w:p>
                  <w:pPr>
                    <w:pStyle w:val="91"/>
                  </w:pPr>
                </w:p>
              </w:tc>
              <w:tc>
                <w:tcPr>
                  <w:tcW w:w="2448" w:type="dxa"/>
                </w:tcPr>
                <w:p>
                  <w:pPr>
                    <w:pStyle w:val="91"/>
                  </w:pPr>
                  <w:r>
                    <w:rPr>
                      <w:rFonts w:hint="eastAsia"/>
                    </w:rPr>
                    <w:t>炉渣</w:t>
                  </w:r>
                </w:p>
              </w:tc>
              <w:tc>
                <w:tcPr>
                  <w:tcW w:w="1772" w:type="dxa"/>
                </w:tcPr>
                <w:p>
                  <w:pPr>
                    <w:pStyle w:val="91"/>
                  </w:pPr>
                  <w:r>
                    <w:rPr>
                      <w:rFonts w:hint="eastAsia"/>
                    </w:rPr>
                    <w:t>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6" w:type="dxa"/>
                </w:tcPr>
                <w:p>
                  <w:pPr>
                    <w:pStyle w:val="91"/>
                  </w:pPr>
                  <w:r>
                    <w:rPr>
                      <w:rFonts w:hint="eastAsia"/>
                    </w:rPr>
                    <w:t>合计</w:t>
                  </w:r>
                </w:p>
              </w:tc>
              <w:tc>
                <w:tcPr>
                  <w:tcW w:w="1790" w:type="dxa"/>
                </w:tcPr>
                <w:p>
                  <w:pPr>
                    <w:pStyle w:val="91"/>
                  </w:pPr>
                  <w:r>
                    <w:rPr>
                      <w:rFonts w:hint="eastAsia"/>
                    </w:rPr>
                    <w:t>33250</w:t>
                  </w:r>
                </w:p>
              </w:tc>
              <w:tc>
                <w:tcPr>
                  <w:tcW w:w="2448" w:type="dxa"/>
                </w:tcPr>
                <w:p>
                  <w:pPr>
                    <w:pStyle w:val="91"/>
                  </w:pPr>
                  <w:r>
                    <w:rPr>
                      <w:rFonts w:hint="eastAsia"/>
                    </w:rPr>
                    <w:t>合计</w:t>
                  </w:r>
                </w:p>
              </w:tc>
              <w:tc>
                <w:tcPr>
                  <w:tcW w:w="1772" w:type="dxa"/>
                </w:tcPr>
                <w:p>
                  <w:pPr>
                    <w:pStyle w:val="91"/>
                  </w:pPr>
                  <w:r>
                    <w:rPr>
                      <w:rFonts w:hint="eastAsia"/>
                    </w:rPr>
                    <w:t>33250</w:t>
                  </w:r>
                </w:p>
              </w:tc>
            </w:tr>
          </w:tbl>
          <w:p>
            <w:pPr>
              <w:pStyle w:val="85"/>
              <w:jc w:val="both"/>
              <w:rPr>
                <w:color w:val="auto"/>
              </w:rPr>
            </w:pPr>
          </w:p>
          <w:p>
            <w:pPr>
              <w:pStyle w:val="85"/>
              <w:rPr>
                <w:color w:val="auto"/>
              </w:rPr>
            </w:pPr>
            <w:r>
              <w:rPr>
                <w:color w:val="auto"/>
              </w:rPr>
              <w:drawing>
                <wp:inline distT="0" distB="0" distL="114300" distR="114300">
                  <wp:extent cx="4792980" cy="2467610"/>
                  <wp:effectExtent l="0" t="0" r="7620" b="8890"/>
                  <wp:docPr id="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0"/>
                          <pic:cNvPicPr>
                            <a:picLocks noChangeAspect="1"/>
                          </pic:cNvPicPr>
                        </pic:nvPicPr>
                        <pic:blipFill>
                          <a:blip r:embed="rId18" cstate="print"/>
                          <a:stretch>
                            <a:fillRect/>
                          </a:stretch>
                        </pic:blipFill>
                        <pic:spPr>
                          <a:xfrm>
                            <a:off x="0" y="0"/>
                            <a:ext cx="4792980" cy="2467610"/>
                          </a:xfrm>
                          <a:prstGeom prst="rect">
                            <a:avLst/>
                          </a:prstGeom>
                          <a:noFill/>
                          <a:ln>
                            <a:noFill/>
                          </a:ln>
                        </pic:spPr>
                      </pic:pic>
                    </a:graphicData>
                  </a:graphic>
                </wp:inline>
              </w:drawing>
            </w:r>
          </w:p>
          <w:p>
            <w:pPr>
              <w:pStyle w:val="85"/>
              <w:rPr>
                <w:color w:val="auto"/>
              </w:rPr>
            </w:pPr>
            <w:r>
              <w:rPr>
                <w:rFonts w:hint="eastAsia"/>
                <w:color w:val="auto"/>
              </w:rPr>
              <w:t>图2-5物料平衡图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519" w:hRule="atLeast"/>
          <w:jc w:val="center"/>
        </w:trPr>
        <w:tc>
          <w:tcPr>
            <w:tcW w:w="594" w:type="dxa"/>
            <w:tcBorders>
              <w:top w:val="single" w:color="000000" w:sz="2" w:space="0"/>
              <w:bottom w:val="single" w:color="000000" w:sz="2" w:space="0"/>
            </w:tcBorders>
            <w:vAlign w:val="center"/>
          </w:tcPr>
          <w:p>
            <w:pPr>
              <w:pStyle w:val="28"/>
              <w:adjustRightInd w:val="0"/>
              <w:snapToGrid w:val="0"/>
              <w:spacing w:before="0" w:beforeAutospacing="0" w:after="0" w:afterAutospacing="0"/>
              <w:ind w:firstLine="0" w:firstLineChars="0"/>
              <w:jc w:val="center"/>
              <w:rPr>
                <w:rFonts w:cs="宋体"/>
                <w:szCs w:val="24"/>
              </w:rPr>
            </w:pPr>
            <w:r>
              <w:rPr>
                <w:rFonts w:ascii="Times New Roman" w:hAnsi="Times New Roman"/>
                <w:kern w:val="2"/>
                <w:szCs w:val="24"/>
              </w:rPr>
              <w:t>与项目有关的原有环境污染问题</w:t>
            </w:r>
          </w:p>
        </w:tc>
        <w:tc>
          <w:tcPr>
            <w:tcW w:w="8465" w:type="dxa"/>
            <w:tcBorders>
              <w:top w:val="single" w:color="000000" w:sz="2" w:space="0"/>
              <w:bottom w:val="single" w:color="000000" w:sz="2" w:space="0"/>
            </w:tcBorders>
          </w:tcPr>
          <w:p>
            <w:pPr>
              <w:ind w:firstLine="480"/>
            </w:pPr>
            <w:r>
              <w:rPr>
                <w:rFonts w:hint="eastAsia"/>
              </w:rPr>
              <w:t>1、厂区现有工程环保手续履行情况</w:t>
            </w:r>
          </w:p>
          <w:p>
            <w:pPr>
              <w:ind w:left="480" w:firstLine="0" w:firstLineChars="0"/>
            </w:pPr>
            <w:r>
              <w:rPr>
                <w:rFonts w:hint="eastAsia"/>
              </w:rPr>
              <w:t>现有工程履行环保手续情况一览表见表2-7。</w:t>
            </w:r>
          </w:p>
          <w:p>
            <w:pPr>
              <w:pStyle w:val="85"/>
              <w:rPr>
                <w:color w:val="auto"/>
              </w:rPr>
            </w:pPr>
            <w:r>
              <w:rPr>
                <w:rFonts w:hint="eastAsia"/>
                <w:color w:val="auto"/>
              </w:rPr>
              <w:t>表2-7现有工程履行环境影响评价情况⼀览表</w:t>
            </w:r>
          </w:p>
          <w:tbl>
            <w:tblPr>
              <w:tblStyle w:val="37"/>
              <w:tblW w:w="82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9"/>
              <w:gridCol w:w="2554"/>
              <w:gridCol w:w="2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29" w:type="dxa"/>
                  <w:vAlign w:val="center"/>
                </w:tcPr>
                <w:p>
                  <w:pPr>
                    <w:pStyle w:val="91"/>
                  </w:pPr>
                  <w:r>
                    <w:rPr>
                      <w:rFonts w:hint="eastAsia"/>
                    </w:rPr>
                    <w:t>项目名称</w:t>
                  </w:r>
                </w:p>
              </w:tc>
              <w:tc>
                <w:tcPr>
                  <w:tcW w:w="2554" w:type="dxa"/>
                  <w:vAlign w:val="center"/>
                </w:tcPr>
                <w:p>
                  <w:pPr>
                    <w:pStyle w:val="91"/>
                  </w:pPr>
                  <w:r>
                    <w:rPr>
                      <w:rFonts w:hint="eastAsia"/>
                    </w:rPr>
                    <w:t>审批文号</w:t>
                  </w:r>
                </w:p>
              </w:tc>
              <w:tc>
                <w:tcPr>
                  <w:tcW w:w="2553" w:type="dxa"/>
                  <w:vAlign w:val="center"/>
                </w:tcPr>
                <w:p>
                  <w:pPr>
                    <w:pStyle w:val="91"/>
                  </w:pPr>
                  <w:r>
                    <w:rPr>
                      <w:rFonts w:hint="eastAsia"/>
                    </w:rPr>
                    <w:t>审批时间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3129" w:type="dxa"/>
                  <w:vAlign w:val="center"/>
                </w:tcPr>
                <w:p>
                  <w:pPr>
                    <w:pStyle w:val="91"/>
                  </w:pPr>
                  <w:r>
                    <w:rPr>
                      <w:rFonts w:hint="eastAsia"/>
                    </w:rPr>
                    <w:t>《</w:t>
                  </w:r>
                  <w:r>
                    <w:t>重型锻造生产线建设项目</w:t>
                  </w:r>
                  <w:r>
                    <w:rPr>
                      <w:rFonts w:hint="eastAsia"/>
                    </w:rPr>
                    <w:t>环境影响评价报告书》</w:t>
                  </w:r>
                </w:p>
              </w:tc>
              <w:tc>
                <w:tcPr>
                  <w:tcW w:w="2554" w:type="dxa"/>
                  <w:vAlign w:val="center"/>
                </w:tcPr>
                <w:p>
                  <w:pPr>
                    <w:pStyle w:val="91"/>
                  </w:pPr>
                  <w:r>
                    <w:t>石环函[2016]221号</w:t>
                  </w:r>
                </w:p>
              </w:tc>
              <w:tc>
                <w:tcPr>
                  <w:tcW w:w="2553" w:type="dxa"/>
                  <w:vAlign w:val="center"/>
                </w:tcPr>
                <w:p>
                  <w:pPr>
                    <w:pStyle w:val="91"/>
                  </w:pPr>
                  <w:r>
                    <w:rPr>
                      <w:rFonts w:hint="eastAsia"/>
                    </w:rPr>
                    <w:t>2016年12月28日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trPr>
              <w:tc>
                <w:tcPr>
                  <w:tcW w:w="3129" w:type="dxa"/>
                  <w:vAlign w:val="center"/>
                </w:tcPr>
                <w:p>
                  <w:pPr>
                    <w:pStyle w:val="91"/>
                  </w:pPr>
                  <w:r>
                    <w:t>竣工环境保护验收监测</w:t>
                  </w:r>
                </w:p>
              </w:tc>
              <w:tc>
                <w:tcPr>
                  <w:tcW w:w="2554" w:type="dxa"/>
                  <w:vAlign w:val="center"/>
                </w:tcPr>
                <w:p>
                  <w:pPr>
                    <w:pStyle w:val="91"/>
                  </w:pPr>
                  <w:r>
                    <w:rPr>
                      <w:rFonts w:hint="eastAsia"/>
                    </w:rPr>
                    <w:t>/</w:t>
                  </w:r>
                </w:p>
              </w:tc>
              <w:tc>
                <w:tcPr>
                  <w:tcW w:w="2553" w:type="dxa"/>
                  <w:vAlign w:val="center"/>
                </w:tcPr>
                <w:p>
                  <w:pPr>
                    <w:pStyle w:val="91"/>
                  </w:pPr>
                  <w:r>
                    <w:rPr>
                      <w:rFonts w:hint="eastAsia"/>
                    </w:rPr>
                    <w:t>2020年11月</w:t>
                  </w:r>
                </w:p>
              </w:tc>
            </w:tr>
          </w:tbl>
          <w:p>
            <w:pPr>
              <w:pStyle w:val="52"/>
              <w:snapToGrid w:val="0"/>
              <w:spacing w:line="360" w:lineRule="auto"/>
              <w:ind w:left="480" w:leftChars="200" w:firstLine="0" w:firstLineChars="0"/>
            </w:pPr>
            <w:r>
              <w:rPr>
                <w:rFonts w:hint="eastAsia"/>
              </w:rPr>
              <w:t>2、现有工程建设规模</w:t>
            </w:r>
          </w:p>
          <w:p>
            <w:pPr>
              <w:pStyle w:val="85"/>
              <w:rPr>
                <w:color w:val="auto"/>
              </w:rPr>
            </w:pPr>
            <w:r>
              <w:rPr>
                <w:rFonts w:hint="eastAsia"/>
                <w:color w:val="auto"/>
              </w:rPr>
              <w:t>表2-8现有工程建设情况⼀览表</w:t>
            </w:r>
          </w:p>
          <w:tbl>
            <w:tblPr>
              <w:tblStyle w:val="37"/>
              <w:tblW w:w="79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745"/>
              <w:gridCol w:w="1260"/>
              <w:gridCol w:w="5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35" w:type="dxa"/>
                  <w:vAlign w:val="center"/>
                </w:tcPr>
                <w:p>
                  <w:pPr>
                    <w:pStyle w:val="91"/>
                  </w:pPr>
                  <w:r>
                    <w:rPr>
                      <w:rFonts w:hint="eastAsia"/>
                    </w:rPr>
                    <w:t>序号</w:t>
                  </w:r>
                </w:p>
              </w:tc>
              <w:tc>
                <w:tcPr>
                  <w:tcW w:w="745" w:type="dxa"/>
                  <w:vAlign w:val="center"/>
                </w:tcPr>
                <w:p>
                  <w:pPr>
                    <w:pStyle w:val="91"/>
                  </w:pPr>
                  <w:r>
                    <w:rPr>
                      <w:rFonts w:hint="eastAsia"/>
                    </w:rPr>
                    <w:t>类别</w:t>
                  </w:r>
                </w:p>
              </w:tc>
              <w:tc>
                <w:tcPr>
                  <w:tcW w:w="6449" w:type="dxa"/>
                  <w:gridSpan w:val="2"/>
                  <w:vAlign w:val="center"/>
                </w:tcPr>
                <w:p>
                  <w:pPr>
                    <w:pStyle w:val="91"/>
                  </w:pPr>
                  <w:r>
                    <w:rPr>
                      <w:rFonts w:hint="eastAsia"/>
                    </w:rPr>
                    <w:t>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35" w:type="dxa"/>
                  <w:vMerge w:val="restart"/>
                  <w:vAlign w:val="center"/>
                </w:tcPr>
                <w:p>
                  <w:pPr>
                    <w:pStyle w:val="91"/>
                  </w:pPr>
                  <w:r>
                    <w:rPr>
                      <w:rFonts w:hint="eastAsia"/>
                    </w:rPr>
                    <w:t>1</w:t>
                  </w:r>
                </w:p>
              </w:tc>
              <w:tc>
                <w:tcPr>
                  <w:tcW w:w="745" w:type="dxa"/>
                  <w:vMerge w:val="restart"/>
                  <w:vAlign w:val="center"/>
                </w:tcPr>
                <w:p>
                  <w:pPr>
                    <w:pStyle w:val="91"/>
                  </w:pPr>
                  <w:r>
                    <w:rPr>
                      <w:rFonts w:hint="eastAsia"/>
                    </w:rPr>
                    <w:t>主体工程</w:t>
                  </w:r>
                </w:p>
              </w:tc>
              <w:tc>
                <w:tcPr>
                  <w:tcW w:w="1260" w:type="dxa"/>
                  <w:vAlign w:val="center"/>
                </w:tcPr>
                <w:p>
                  <w:pPr>
                    <w:pStyle w:val="91"/>
                  </w:pPr>
                  <w:r>
                    <w:rPr>
                      <w:rFonts w:hint="eastAsia"/>
                    </w:rPr>
                    <w:t>1号车间</w:t>
                  </w:r>
                </w:p>
              </w:tc>
              <w:tc>
                <w:tcPr>
                  <w:tcW w:w="5189" w:type="dxa"/>
                  <w:vAlign w:val="center"/>
                </w:tcPr>
                <w:p>
                  <w:pPr>
                    <w:pStyle w:val="91"/>
                  </w:pPr>
                  <w:r>
                    <w:t>面积3800m</w:t>
                  </w:r>
                  <w:r>
                    <w:rPr>
                      <w:vertAlign w:val="superscript"/>
                    </w:rPr>
                    <w:t>2</w:t>
                  </w:r>
                  <w:r>
                    <w:t>，建设3t电液锤生产线和16t电液锤生</w:t>
                  </w:r>
                </w:p>
                <w:p>
                  <w:pPr>
                    <w:pStyle w:val="91"/>
                  </w:pPr>
                  <w:r>
                    <w:t>产线各1条。包括3t电液锤1台；16t电液锤1台；自由锻锤1台；棒料剪切机1台；100m3空压机2台；液压机2台；砂轮机5台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35" w:type="dxa"/>
                  <w:vMerge w:val="continue"/>
                  <w:vAlign w:val="center"/>
                </w:tcPr>
                <w:p>
                  <w:pPr>
                    <w:pStyle w:val="91"/>
                  </w:pPr>
                </w:p>
              </w:tc>
              <w:tc>
                <w:tcPr>
                  <w:tcW w:w="745" w:type="dxa"/>
                  <w:vMerge w:val="continue"/>
                  <w:vAlign w:val="center"/>
                </w:tcPr>
                <w:p>
                  <w:pPr>
                    <w:pStyle w:val="91"/>
                  </w:pPr>
                </w:p>
              </w:tc>
              <w:tc>
                <w:tcPr>
                  <w:tcW w:w="1260" w:type="dxa"/>
                  <w:vAlign w:val="center"/>
                </w:tcPr>
                <w:p>
                  <w:pPr>
                    <w:pStyle w:val="91"/>
                  </w:pPr>
                  <w:r>
                    <w:t>2号车间</w:t>
                  </w:r>
                </w:p>
              </w:tc>
              <w:tc>
                <w:tcPr>
                  <w:tcW w:w="5189" w:type="dxa"/>
                  <w:vAlign w:val="center"/>
                </w:tcPr>
                <w:p>
                  <w:pPr>
                    <w:pStyle w:val="91"/>
                    <w:jc w:val="both"/>
                  </w:pPr>
                  <w:r>
                    <w:t>面积5880m</w:t>
                  </w:r>
                  <w:r>
                    <w:rPr>
                      <w:vertAlign w:val="superscript"/>
                    </w:rPr>
                    <w:t>2</w:t>
                  </w:r>
                  <w:r>
                    <w:t>，钢混结构，建设6300t电动螺旋压力机生产线和6300t自动温锻压力机生产线各1条。包括中频感应加热炉4台；6300t电动螺旋压力机1台，6300t自动温锻压力机1台；630A油压机2台；卧式铸床4台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Merge w:val="continue"/>
                  <w:vAlign w:val="center"/>
                </w:tcPr>
                <w:p>
                  <w:pPr>
                    <w:pStyle w:val="91"/>
                  </w:pPr>
                </w:p>
              </w:tc>
              <w:tc>
                <w:tcPr>
                  <w:tcW w:w="745" w:type="dxa"/>
                  <w:vMerge w:val="continue"/>
                  <w:vAlign w:val="center"/>
                </w:tcPr>
                <w:p>
                  <w:pPr>
                    <w:pStyle w:val="91"/>
                  </w:pPr>
                </w:p>
              </w:tc>
              <w:tc>
                <w:tcPr>
                  <w:tcW w:w="1260" w:type="dxa"/>
                  <w:vAlign w:val="center"/>
                </w:tcPr>
                <w:p>
                  <w:pPr>
                    <w:pStyle w:val="91"/>
                  </w:pPr>
                  <w:r>
                    <w:rPr>
                      <w:rFonts w:hint="eastAsia"/>
                    </w:rPr>
                    <w:t>3</w:t>
                  </w:r>
                  <w:r>
                    <w:t>号车间</w:t>
                  </w:r>
                </w:p>
              </w:tc>
              <w:tc>
                <w:tcPr>
                  <w:tcW w:w="5189" w:type="dxa"/>
                  <w:vAlign w:val="center"/>
                </w:tcPr>
                <w:p>
                  <w:pPr>
                    <w:pStyle w:val="91"/>
                    <w:jc w:val="both"/>
                  </w:pPr>
                  <w:r>
                    <w:t>面积2667m2，钢混结构，建设热处理生产线1条和10000t自动温锻压力机生产线。包括箱式电阻炉4台；</w:t>
                  </w:r>
                </w:p>
                <w:p>
                  <w:pPr>
                    <w:pStyle w:val="91"/>
                    <w:jc w:val="both"/>
                  </w:pPr>
                  <w:r>
                    <w:t>井式电阻炉4台；介质池3个；感应炉5台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Merge w:val="continue"/>
                  <w:vAlign w:val="center"/>
                </w:tcPr>
                <w:p>
                  <w:pPr>
                    <w:pStyle w:val="91"/>
                  </w:pPr>
                </w:p>
              </w:tc>
              <w:tc>
                <w:tcPr>
                  <w:tcW w:w="745" w:type="dxa"/>
                  <w:vMerge w:val="continue"/>
                  <w:vAlign w:val="center"/>
                </w:tcPr>
                <w:p>
                  <w:pPr>
                    <w:pStyle w:val="91"/>
                  </w:pPr>
                </w:p>
              </w:tc>
              <w:tc>
                <w:tcPr>
                  <w:tcW w:w="1260" w:type="dxa"/>
                  <w:vAlign w:val="center"/>
                </w:tcPr>
                <w:p>
                  <w:pPr>
                    <w:pStyle w:val="91"/>
                  </w:pPr>
                  <w:r>
                    <w:rPr>
                      <w:rFonts w:hint="eastAsia"/>
                    </w:rPr>
                    <w:t>4</w:t>
                  </w:r>
                  <w:r>
                    <w:t>号车间</w:t>
                  </w:r>
                </w:p>
              </w:tc>
              <w:tc>
                <w:tcPr>
                  <w:tcW w:w="5189" w:type="dxa"/>
                  <w:vAlign w:val="center"/>
                </w:tcPr>
                <w:p>
                  <w:pPr>
                    <w:pStyle w:val="91"/>
                    <w:jc w:val="both"/>
                  </w:pPr>
                  <w:r>
                    <w:t>面积2424m</w:t>
                  </w:r>
                  <w:r>
                    <w:rPr>
                      <w:vertAlign w:val="superscript"/>
                    </w:rPr>
                    <w:t>2</w:t>
                  </w:r>
                  <w:r>
                    <w:t>，钢混结构，建设机加工生产线1条和树脂砂铸造生产线1条。包括车床10台，铣床4台，线切割1台，立式锯床2台，摇臂钻床8台，数控铣1台;型砂混砂机1台，落砂设备1套，砂再生机1台，冷却沸腾床1台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Merge w:val="continue"/>
                  <w:vAlign w:val="center"/>
                </w:tcPr>
                <w:p>
                  <w:pPr>
                    <w:pStyle w:val="91"/>
                  </w:pPr>
                </w:p>
              </w:tc>
              <w:tc>
                <w:tcPr>
                  <w:tcW w:w="745" w:type="dxa"/>
                  <w:vMerge w:val="continue"/>
                  <w:vAlign w:val="center"/>
                </w:tcPr>
                <w:p>
                  <w:pPr>
                    <w:pStyle w:val="91"/>
                  </w:pPr>
                </w:p>
              </w:tc>
              <w:tc>
                <w:tcPr>
                  <w:tcW w:w="1260" w:type="dxa"/>
                  <w:vAlign w:val="center"/>
                </w:tcPr>
                <w:p>
                  <w:pPr>
                    <w:pStyle w:val="91"/>
                  </w:pPr>
                  <w:r>
                    <w:rPr>
                      <w:rFonts w:hint="eastAsia"/>
                    </w:rPr>
                    <w:t>5</w:t>
                  </w:r>
                  <w:r>
                    <w:t>号车间</w:t>
                  </w:r>
                </w:p>
              </w:tc>
              <w:tc>
                <w:tcPr>
                  <w:tcW w:w="5189" w:type="dxa"/>
                  <w:vAlign w:val="center"/>
                </w:tcPr>
                <w:p>
                  <w:pPr>
                    <w:pStyle w:val="91"/>
                    <w:jc w:val="both"/>
                  </w:pPr>
                  <w:r>
                    <w:t>面积4620m</w:t>
                  </w:r>
                  <w:r>
                    <w:rPr>
                      <w:vertAlign w:val="superscript"/>
                    </w:rPr>
                    <w:t>2</w:t>
                  </w:r>
                  <w:r>
                    <w:t>，钢混结构，建设喷漆生产线1条，消</w:t>
                  </w:r>
                </w:p>
                <w:p>
                  <w:pPr>
                    <w:pStyle w:val="91"/>
                    <w:jc w:val="both"/>
                  </w:pPr>
                  <w:r>
                    <w:t>失模铸造生产线1条。包括中频感应加热炉1台；布</w:t>
                  </w:r>
                </w:p>
                <w:p>
                  <w:pPr>
                    <w:pStyle w:val="91"/>
                    <w:jc w:val="both"/>
                  </w:pPr>
                  <w:r>
                    <w:t>袋除尘器1套；砂处理设备1套；砂冷却设备一套。</w:t>
                  </w:r>
                </w:p>
                <w:p>
                  <w:pPr>
                    <w:pStyle w:val="91"/>
                    <w:jc w:val="both"/>
                  </w:pPr>
                  <w:r>
                    <w:t>自动上料机2套，烘干房5间，抛光机2套，气动喷</w:t>
                  </w:r>
                </w:p>
                <w:p>
                  <w:pPr>
                    <w:pStyle w:val="91"/>
                    <w:jc w:val="both"/>
                  </w:pPr>
                  <w:r>
                    <w:t>漆机3套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Merge w:val="continue"/>
                  <w:vAlign w:val="center"/>
                </w:tcPr>
                <w:p>
                  <w:pPr>
                    <w:pStyle w:val="91"/>
                  </w:pPr>
                </w:p>
              </w:tc>
              <w:tc>
                <w:tcPr>
                  <w:tcW w:w="745" w:type="dxa"/>
                  <w:vMerge w:val="continue"/>
                  <w:vAlign w:val="center"/>
                </w:tcPr>
                <w:p>
                  <w:pPr>
                    <w:pStyle w:val="91"/>
                  </w:pPr>
                </w:p>
              </w:tc>
              <w:tc>
                <w:tcPr>
                  <w:tcW w:w="1260" w:type="dxa"/>
                  <w:vAlign w:val="center"/>
                </w:tcPr>
                <w:p>
                  <w:pPr>
                    <w:pStyle w:val="91"/>
                  </w:pPr>
                  <w:r>
                    <w:rPr>
                      <w:rFonts w:hint="eastAsia"/>
                    </w:rPr>
                    <w:t>6号车间</w:t>
                  </w:r>
                </w:p>
              </w:tc>
              <w:tc>
                <w:tcPr>
                  <w:tcW w:w="5189" w:type="dxa"/>
                  <w:vAlign w:val="center"/>
                </w:tcPr>
                <w:p>
                  <w:pPr>
                    <w:pStyle w:val="91"/>
                    <w:jc w:val="both"/>
                  </w:pPr>
                  <w:r>
                    <w:t>面积2500m</w:t>
                  </w:r>
                  <w:r>
                    <w:rPr>
                      <w:vertAlign w:val="superscript"/>
                    </w:rPr>
                    <w:t>2</w:t>
                  </w:r>
                  <w:r>
                    <w:t>，钢混结构，</w:t>
                  </w:r>
                  <w:r>
                    <w:rPr>
                      <w:rFonts w:hint="eastAsia"/>
                    </w:rPr>
                    <w:t>未利用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Merge w:val="restart"/>
                  <w:vAlign w:val="center"/>
                </w:tcPr>
                <w:p>
                  <w:pPr>
                    <w:pStyle w:val="91"/>
                  </w:pPr>
                  <w:r>
                    <w:rPr>
                      <w:rFonts w:hint="eastAsia"/>
                    </w:rPr>
                    <w:t>2</w:t>
                  </w:r>
                </w:p>
              </w:tc>
              <w:tc>
                <w:tcPr>
                  <w:tcW w:w="745" w:type="dxa"/>
                  <w:vMerge w:val="restart"/>
                  <w:vAlign w:val="center"/>
                </w:tcPr>
                <w:p>
                  <w:pPr>
                    <w:pStyle w:val="91"/>
                  </w:pPr>
                  <w:r>
                    <w:rPr>
                      <w:rFonts w:hint="eastAsia"/>
                    </w:rPr>
                    <w:t>辅助工程</w:t>
                  </w:r>
                </w:p>
              </w:tc>
              <w:tc>
                <w:tcPr>
                  <w:tcW w:w="1260" w:type="dxa"/>
                  <w:vAlign w:val="center"/>
                </w:tcPr>
                <w:p>
                  <w:pPr>
                    <w:pStyle w:val="91"/>
                  </w:pPr>
                  <w:r>
                    <w:rPr>
                      <w:rFonts w:hint="eastAsia"/>
                    </w:rPr>
                    <w:t>职工宿舍</w:t>
                  </w:r>
                </w:p>
              </w:tc>
              <w:tc>
                <w:tcPr>
                  <w:tcW w:w="5189" w:type="dxa"/>
                  <w:vAlign w:val="center"/>
                </w:tcPr>
                <w:p>
                  <w:pPr>
                    <w:pStyle w:val="91"/>
                    <w:jc w:val="both"/>
                  </w:pPr>
                  <w:r>
                    <w:t>占地面积972m</w:t>
                  </w:r>
                  <w:r>
                    <w:rPr>
                      <w:vertAlign w:val="superscript"/>
                    </w:rPr>
                    <w:t>2</w:t>
                  </w:r>
                  <w:r>
                    <w:t>，总建筑面积1944m</w:t>
                  </w:r>
                  <w:r>
                    <w:rPr>
                      <w:vertAlign w:val="superscript"/>
                    </w:rPr>
                    <w:t>2</w:t>
                  </w:r>
                  <w:r>
                    <w:t>，砖混结构，2F，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Merge w:val="continue"/>
                  <w:vAlign w:val="center"/>
                </w:tcPr>
                <w:p>
                  <w:pPr>
                    <w:pStyle w:val="91"/>
                  </w:pPr>
                </w:p>
              </w:tc>
              <w:tc>
                <w:tcPr>
                  <w:tcW w:w="745" w:type="dxa"/>
                  <w:vMerge w:val="continue"/>
                  <w:vAlign w:val="center"/>
                </w:tcPr>
                <w:p>
                  <w:pPr>
                    <w:pStyle w:val="91"/>
                  </w:pPr>
                </w:p>
              </w:tc>
              <w:tc>
                <w:tcPr>
                  <w:tcW w:w="1260" w:type="dxa"/>
                  <w:vAlign w:val="center"/>
                </w:tcPr>
                <w:p>
                  <w:pPr>
                    <w:pStyle w:val="91"/>
                  </w:pPr>
                  <w:r>
                    <w:t>配电室</w:t>
                  </w:r>
                </w:p>
              </w:tc>
              <w:tc>
                <w:tcPr>
                  <w:tcW w:w="5189" w:type="dxa"/>
                  <w:vAlign w:val="center"/>
                </w:tcPr>
                <w:p>
                  <w:pPr>
                    <w:pStyle w:val="91"/>
                  </w:pPr>
                  <w:r>
                    <w:t>面积600m</w:t>
                  </w:r>
                  <w:r>
                    <w:rPr>
                      <w:vertAlign w:val="superscript"/>
                    </w:rPr>
                    <w:t>2</w:t>
                  </w:r>
                  <w:r>
                    <w:t>，钢混结构，1F，2座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Merge w:val="continue"/>
                  <w:vAlign w:val="center"/>
                </w:tcPr>
                <w:p>
                  <w:pPr>
                    <w:pStyle w:val="91"/>
                  </w:pPr>
                </w:p>
              </w:tc>
              <w:tc>
                <w:tcPr>
                  <w:tcW w:w="745" w:type="dxa"/>
                  <w:vMerge w:val="continue"/>
                  <w:vAlign w:val="center"/>
                </w:tcPr>
                <w:p>
                  <w:pPr>
                    <w:pStyle w:val="91"/>
                  </w:pPr>
                </w:p>
              </w:tc>
              <w:tc>
                <w:tcPr>
                  <w:tcW w:w="1260" w:type="dxa"/>
                  <w:vAlign w:val="center"/>
                </w:tcPr>
                <w:p>
                  <w:pPr>
                    <w:pStyle w:val="91"/>
                  </w:pPr>
                  <w:r>
                    <w:t>水池水泵房</w:t>
                  </w:r>
                </w:p>
              </w:tc>
              <w:tc>
                <w:tcPr>
                  <w:tcW w:w="5189" w:type="dxa"/>
                  <w:vAlign w:val="center"/>
                </w:tcPr>
                <w:p>
                  <w:pPr>
                    <w:pStyle w:val="91"/>
                  </w:pPr>
                  <w:r>
                    <w:t>面积800m</w:t>
                  </w:r>
                  <w:r>
                    <w:rPr>
                      <w:vertAlign w:val="superscript"/>
                    </w:rPr>
                    <w:t>2</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Merge w:val="restart"/>
                  <w:vAlign w:val="center"/>
                </w:tcPr>
                <w:p>
                  <w:pPr>
                    <w:pStyle w:val="91"/>
                  </w:pPr>
                  <w:r>
                    <w:rPr>
                      <w:rFonts w:hint="eastAsia"/>
                    </w:rPr>
                    <w:t>3</w:t>
                  </w:r>
                </w:p>
              </w:tc>
              <w:tc>
                <w:tcPr>
                  <w:tcW w:w="745" w:type="dxa"/>
                  <w:vMerge w:val="restart"/>
                  <w:vAlign w:val="center"/>
                </w:tcPr>
                <w:p>
                  <w:pPr>
                    <w:pStyle w:val="91"/>
                  </w:pPr>
                  <w:r>
                    <w:rPr>
                      <w:rFonts w:hint="eastAsia"/>
                    </w:rPr>
                    <w:t>共用工程</w:t>
                  </w:r>
                </w:p>
              </w:tc>
              <w:tc>
                <w:tcPr>
                  <w:tcW w:w="1260" w:type="dxa"/>
                  <w:vAlign w:val="center"/>
                </w:tcPr>
                <w:p>
                  <w:pPr>
                    <w:pStyle w:val="91"/>
                  </w:pPr>
                  <w:r>
                    <w:rPr>
                      <w:rFonts w:hint="eastAsia"/>
                    </w:rPr>
                    <w:t>给水工程</w:t>
                  </w:r>
                </w:p>
              </w:tc>
              <w:tc>
                <w:tcPr>
                  <w:tcW w:w="5189" w:type="dxa"/>
                  <w:vAlign w:val="center"/>
                </w:tcPr>
                <w:p>
                  <w:pPr>
                    <w:pStyle w:val="91"/>
                  </w:pPr>
                  <w:r>
                    <w:t>由园区市政供水管道引入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Merge w:val="continue"/>
                  <w:vAlign w:val="center"/>
                </w:tcPr>
                <w:p>
                  <w:pPr>
                    <w:pStyle w:val="91"/>
                  </w:pPr>
                </w:p>
              </w:tc>
              <w:tc>
                <w:tcPr>
                  <w:tcW w:w="745" w:type="dxa"/>
                  <w:vMerge w:val="continue"/>
                  <w:vAlign w:val="center"/>
                </w:tcPr>
                <w:p>
                  <w:pPr>
                    <w:pStyle w:val="91"/>
                  </w:pPr>
                </w:p>
              </w:tc>
              <w:tc>
                <w:tcPr>
                  <w:tcW w:w="1260" w:type="dxa"/>
                  <w:vAlign w:val="center"/>
                </w:tcPr>
                <w:p>
                  <w:pPr>
                    <w:pStyle w:val="91"/>
                  </w:pPr>
                  <w:r>
                    <w:rPr>
                      <w:rFonts w:hint="eastAsia"/>
                    </w:rPr>
                    <w:t>排水工程</w:t>
                  </w:r>
                </w:p>
              </w:tc>
              <w:tc>
                <w:tcPr>
                  <w:tcW w:w="5189" w:type="dxa"/>
                  <w:vAlign w:val="center"/>
                </w:tcPr>
                <w:p>
                  <w:pPr>
                    <w:pStyle w:val="91"/>
                  </w:pPr>
                  <w:r>
                    <w:t>经化粪池处理后用于厂区洒水绿化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Merge w:val="continue"/>
                  <w:vAlign w:val="center"/>
                </w:tcPr>
                <w:p>
                  <w:pPr>
                    <w:pStyle w:val="91"/>
                  </w:pPr>
                </w:p>
              </w:tc>
              <w:tc>
                <w:tcPr>
                  <w:tcW w:w="745" w:type="dxa"/>
                  <w:vMerge w:val="continue"/>
                  <w:vAlign w:val="center"/>
                </w:tcPr>
                <w:p>
                  <w:pPr>
                    <w:pStyle w:val="91"/>
                  </w:pPr>
                </w:p>
              </w:tc>
              <w:tc>
                <w:tcPr>
                  <w:tcW w:w="1260" w:type="dxa"/>
                  <w:vAlign w:val="center"/>
                </w:tcPr>
                <w:p>
                  <w:pPr>
                    <w:pStyle w:val="91"/>
                  </w:pPr>
                  <w:r>
                    <w:rPr>
                      <w:rFonts w:hint="eastAsia"/>
                    </w:rPr>
                    <w:t>供电</w:t>
                  </w:r>
                </w:p>
              </w:tc>
              <w:tc>
                <w:tcPr>
                  <w:tcW w:w="5189" w:type="dxa"/>
                  <w:vAlign w:val="center"/>
                </w:tcPr>
                <w:p>
                  <w:pPr>
                    <w:pStyle w:val="91"/>
                  </w:pPr>
                  <w:r>
                    <w:t>由园区供电管网引入，经变电后用于生产、生活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Merge w:val="continue"/>
                  <w:vAlign w:val="center"/>
                </w:tcPr>
                <w:p>
                  <w:pPr>
                    <w:pStyle w:val="91"/>
                  </w:pPr>
                </w:p>
              </w:tc>
              <w:tc>
                <w:tcPr>
                  <w:tcW w:w="745" w:type="dxa"/>
                  <w:vMerge w:val="continue"/>
                  <w:vAlign w:val="center"/>
                </w:tcPr>
                <w:p>
                  <w:pPr>
                    <w:pStyle w:val="91"/>
                  </w:pPr>
                </w:p>
              </w:tc>
              <w:tc>
                <w:tcPr>
                  <w:tcW w:w="1260" w:type="dxa"/>
                  <w:vAlign w:val="center"/>
                </w:tcPr>
                <w:p>
                  <w:pPr>
                    <w:pStyle w:val="91"/>
                  </w:pPr>
                  <w:r>
                    <w:rPr>
                      <w:rFonts w:hint="eastAsia"/>
                    </w:rPr>
                    <w:t>制冷</w:t>
                  </w:r>
                </w:p>
              </w:tc>
              <w:tc>
                <w:tcPr>
                  <w:tcW w:w="5189" w:type="dxa"/>
                  <w:vAlign w:val="center"/>
                </w:tcPr>
                <w:p>
                  <w:pPr>
                    <w:pStyle w:val="91"/>
                  </w:pPr>
                  <w:r>
                    <w:t>采用分体空调制冷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Merge w:val="restart"/>
                  <w:vAlign w:val="center"/>
                </w:tcPr>
                <w:p>
                  <w:pPr>
                    <w:pStyle w:val="91"/>
                  </w:pPr>
                  <w:r>
                    <w:rPr>
                      <w:rFonts w:hint="eastAsia"/>
                    </w:rPr>
                    <w:t>4</w:t>
                  </w:r>
                </w:p>
              </w:tc>
              <w:tc>
                <w:tcPr>
                  <w:tcW w:w="745" w:type="dxa"/>
                  <w:vMerge w:val="restart"/>
                  <w:vAlign w:val="center"/>
                </w:tcPr>
                <w:p>
                  <w:pPr>
                    <w:pStyle w:val="91"/>
                  </w:pPr>
                  <w:r>
                    <w:rPr>
                      <w:rFonts w:hint="eastAsia"/>
                    </w:rPr>
                    <w:t>环保工程</w:t>
                  </w:r>
                </w:p>
              </w:tc>
              <w:tc>
                <w:tcPr>
                  <w:tcW w:w="1260" w:type="dxa"/>
                  <w:vAlign w:val="center"/>
                </w:tcPr>
                <w:p>
                  <w:pPr>
                    <w:pStyle w:val="91"/>
                  </w:pPr>
                  <w:r>
                    <w:rPr>
                      <w:rFonts w:hint="eastAsia"/>
                    </w:rPr>
                    <w:t>污水处理</w:t>
                  </w:r>
                </w:p>
              </w:tc>
              <w:tc>
                <w:tcPr>
                  <w:tcW w:w="5189" w:type="dxa"/>
                  <w:vAlign w:val="center"/>
                </w:tcPr>
                <w:p>
                  <w:pPr>
                    <w:pStyle w:val="91"/>
                  </w:pPr>
                  <w:r>
                    <w:rPr>
                      <w:rFonts w:hint="eastAsia"/>
                    </w:rPr>
                    <w:t>经化粪池处理后用于厂区洒水绿化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Merge w:val="continue"/>
                  <w:vAlign w:val="center"/>
                </w:tcPr>
                <w:p>
                  <w:pPr>
                    <w:pStyle w:val="91"/>
                  </w:pPr>
                </w:p>
              </w:tc>
              <w:tc>
                <w:tcPr>
                  <w:tcW w:w="745" w:type="dxa"/>
                  <w:vMerge w:val="continue"/>
                  <w:vAlign w:val="center"/>
                </w:tcPr>
                <w:p>
                  <w:pPr>
                    <w:pStyle w:val="91"/>
                  </w:pPr>
                </w:p>
              </w:tc>
              <w:tc>
                <w:tcPr>
                  <w:tcW w:w="1260" w:type="dxa"/>
                  <w:vAlign w:val="center"/>
                </w:tcPr>
                <w:p>
                  <w:pPr>
                    <w:pStyle w:val="91"/>
                  </w:pPr>
                  <w:r>
                    <w:rPr>
                      <w:rFonts w:hint="eastAsia"/>
                    </w:rPr>
                    <w:t>固废</w:t>
                  </w:r>
                </w:p>
              </w:tc>
              <w:tc>
                <w:tcPr>
                  <w:tcW w:w="5189" w:type="dxa"/>
                  <w:vAlign w:val="center"/>
                </w:tcPr>
                <w:p>
                  <w:pPr>
                    <w:pStyle w:val="91"/>
                  </w:pPr>
                  <w:r>
                    <w:rPr>
                      <w:rFonts w:hint="eastAsia"/>
                    </w:rPr>
                    <w:t>生活垃圾交由当地环卫部门处理；边角废料、氧化皮、废砂、粉尘等一般固废暂存生产废物间，交由回收单位回收处置；废活性炭、废切削液、废润滑油以及含油棉纱暂存为非暂存间，定期交由资质单位进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Merge w:val="continue"/>
                  <w:vAlign w:val="center"/>
                </w:tcPr>
                <w:p>
                  <w:pPr>
                    <w:pStyle w:val="91"/>
                  </w:pPr>
                </w:p>
              </w:tc>
              <w:tc>
                <w:tcPr>
                  <w:tcW w:w="745" w:type="dxa"/>
                  <w:vMerge w:val="continue"/>
                  <w:vAlign w:val="center"/>
                </w:tcPr>
                <w:p>
                  <w:pPr>
                    <w:pStyle w:val="91"/>
                  </w:pPr>
                </w:p>
              </w:tc>
              <w:tc>
                <w:tcPr>
                  <w:tcW w:w="1260" w:type="dxa"/>
                  <w:vAlign w:val="center"/>
                </w:tcPr>
                <w:p>
                  <w:pPr>
                    <w:pStyle w:val="91"/>
                  </w:pPr>
                  <w:r>
                    <w:rPr>
                      <w:rFonts w:hint="eastAsia"/>
                    </w:rPr>
                    <w:t>废气</w:t>
                  </w:r>
                </w:p>
              </w:tc>
              <w:tc>
                <w:tcPr>
                  <w:tcW w:w="5189" w:type="dxa"/>
                  <w:vAlign w:val="center"/>
                </w:tcPr>
                <w:p>
                  <w:pPr>
                    <w:pStyle w:val="91"/>
                    <w:jc w:val="both"/>
                  </w:pPr>
                  <w:r>
                    <w:rPr>
                      <w:rFonts w:hint="eastAsia"/>
                    </w:rPr>
                    <w:t>打磨、抛丸废气采用布袋除尘器+15m高排气筒进行排放；喷漆房废气采用折流板式干式净化+活性炭吸附+15m高排气筒进行排放；砂处理废气采用布袋除尘器+15m高烟筒进行排放；锻造废气依托陕西奥邦锻造有限公司的废气处理措施进行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Merge w:val="continue"/>
                  <w:vAlign w:val="center"/>
                </w:tcPr>
                <w:p>
                  <w:pPr>
                    <w:pStyle w:val="91"/>
                  </w:pPr>
                </w:p>
              </w:tc>
              <w:tc>
                <w:tcPr>
                  <w:tcW w:w="745" w:type="dxa"/>
                  <w:vMerge w:val="continue"/>
                  <w:vAlign w:val="center"/>
                </w:tcPr>
                <w:p>
                  <w:pPr>
                    <w:pStyle w:val="91"/>
                  </w:pPr>
                </w:p>
              </w:tc>
              <w:tc>
                <w:tcPr>
                  <w:tcW w:w="1260" w:type="dxa"/>
                  <w:vAlign w:val="center"/>
                </w:tcPr>
                <w:p>
                  <w:pPr>
                    <w:pStyle w:val="91"/>
                  </w:pPr>
                  <w:r>
                    <w:rPr>
                      <w:rFonts w:hint="eastAsia"/>
                    </w:rPr>
                    <w:t>噪声</w:t>
                  </w:r>
                </w:p>
              </w:tc>
              <w:tc>
                <w:tcPr>
                  <w:tcW w:w="5189" w:type="dxa"/>
                  <w:vAlign w:val="center"/>
                </w:tcPr>
                <w:p>
                  <w:pPr>
                    <w:pStyle w:val="91"/>
                  </w:pPr>
                  <w:r>
                    <w:rPr>
                      <w:rFonts w:hint="eastAsia"/>
                    </w:rPr>
                    <w:t>锅炉、水泵、备用发电机、换热机组、风机均设置在室内，室内墙壁敷设吸音板吸声，设备采用减震垫减振，风机采用消声处理，中央空调采用低噪音冷却塔，冷却塔设置在住院楼楼顶。</w:t>
                  </w:r>
                </w:p>
              </w:tc>
            </w:tr>
          </w:tbl>
          <w:p>
            <w:pPr>
              <w:ind w:firstLine="480"/>
            </w:pPr>
            <w:r>
              <w:rPr>
                <w:rFonts w:hint="eastAsia"/>
              </w:rPr>
              <w:t>3、现有工程污染物产排情况</w:t>
            </w:r>
          </w:p>
          <w:p>
            <w:pPr>
              <w:ind w:firstLine="480"/>
            </w:pPr>
            <w:r>
              <w:rPr>
                <w:rFonts w:hint="eastAsia"/>
              </w:rPr>
              <w:t>本评价对</w:t>
            </w:r>
            <w:r>
              <w:t>重型锻造生产线建设项目</w:t>
            </w:r>
            <w:r>
              <w:rPr>
                <w:rFonts w:hint="eastAsia"/>
              </w:rPr>
              <w:t>的污染物排放情况主要引用原验收结论，具体见表2-9。</w:t>
            </w:r>
          </w:p>
          <w:p>
            <w:pPr>
              <w:pStyle w:val="85"/>
              <w:rPr>
                <w:color w:val="auto"/>
              </w:rPr>
            </w:pPr>
            <w:r>
              <w:rPr>
                <w:rFonts w:hint="eastAsia"/>
                <w:color w:val="auto"/>
              </w:rPr>
              <w:t>表2-9现有污染物排放情况汇总</w:t>
            </w:r>
          </w:p>
          <w:tbl>
            <w:tblPr>
              <w:tblStyle w:val="37"/>
              <w:tblW w:w="82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2247"/>
              <w:gridCol w:w="2708"/>
              <w:gridCol w:w="2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940" w:type="dxa"/>
                  <w:gridSpan w:val="2"/>
                </w:tcPr>
                <w:p>
                  <w:pPr>
                    <w:pStyle w:val="91"/>
                  </w:pPr>
                  <w:r>
                    <w:rPr>
                      <w:rFonts w:hint="eastAsia"/>
                    </w:rPr>
                    <w:t>污染物</w:t>
                  </w:r>
                </w:p>
              </w:tc>
              <w:tc>
                <w:tcPr>
                  <w:tcW w:w="2708" w:type="dxa"/>
                </w:tcPr>
                <w:p>
                  <w:pPr>
                    <w:pStyle w:val="91"/>
                  </w:pPr>
                  <w:r>
                    <w:rPr>
                      <w:rFonts w:hint="eastAsia"/>
                    </w:rPr>
                    <w:t>产生量（t/a）</w:t>
                  </w:r>
                </w:p>
              </w:tc>
              <w:tc>
                <w:tcPr>
                  <w:tcW w:w="2588" w:type="dxa"/>
                </w:tcPr>
                <w:p>
                  <w:pPr>
                    <w:pStyle w:val="91"/>
                  </w:pPr>
                  <w:r>
                    <w:rPr>
                      <w:rFonts w:hint="eastAsia"/>
                    </w:rPr>
                    <w:t>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693" w:type="dxa"/>
                  <w:vMerge w:val="restart"/>
                  <w:vAlign w:val="center"/>
                </w:tcPr>
                <w:p>
                  <w:pPr>
                    <w:pStyle w:val="91"/>
                  </w:pPr>
                  <w:r>
                    <w:rPr>
                      <w:rFonts w:hint="eastAsia"/>
                    </w:rPr>
                    <w:t>废气</w:t>
                  </w:r>
                </w:p>
              </w:tc>
              <w:tc>
                <w:tcPr>
                  <w:tcW w:w="2247" w:type="dxa"/>
                  <w:vAlign w:val="center"/>
                </w:tcPr>
                <w:p>
                  <w:pPr>
                    <w:pStyle w:val="91"/>
                  </w:pPr>
                  <w:r>
                    <w:rPr>
                      <w:rFonts w:hint="eastAsia"/>
                    </w:rPr>
                    <w:t>粉尘</w:t>
                  </w:r>
                </w:p>
              </w:tc>
              <w:tc>
                <w:tcPr>
                  <w:tcW w:w="2708" w:type="dxa"/>
                  <w:vAlign w:val="center"/>
                </w:tcPr>
                <w:p>
                  <w:pPr>
                    <w:pStyle w:val="91"/>
                  </w:pPr>
                  <w:r>
                    <w:t>1477.5</w:t>
                  </w:r>
                </w:p>
              </w:tc>
              <w:tc>
                <w:tcPr>
                  <w:tcW w:w="2588" w:type="dxa"/>
                  <w:vAlign w:val="center"/>
                </w:tcPr>
                <w:p>
                  <w:pPr>
                    <w:pStyle w:val="91"/>
                  </w:pPr>
                  <w:r>
                    <w:rPr>
                      <w:rFonts w:hint="eastAsia"/>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693" w:type="dxa"/>
                  <w:vMerge w:val="continue"/>
                </w:tcPr>
                <w:p>
                  <w:pPr>
                    <w:pStyle w:val="91"/>
                  </w:pPr>
                </w:p>
              </w:tc>
              <w:tc>
                <w:tcPr>
                  <w:tcW w:w="2247" w:type="dxa"/>
                  <w:vAlign w:val="center"/>
                </w:tcPr>
                <w:p>
                  <w:pPr>
                    <w:pStyle w:val="91"/>
                  </w:pPr>
                  <w:r>
                    <w:rPr>
                      <w:rFonts w:hint="eastAsia"/>
                    </w:rPr>
                    <w:t>苯</w:t>
                  </w:r>
                </w:p>
              </w:tc>
              <w:tc>
                <w:tcPr>
                  <w:tcW w:w="2708" w:type="dxa"/>
                  <w:vAlign w:val="center"/>
                </w:tcPr>
                <w:p>
                  <w:pPr>
                    <w:pStyle w:val="91"/>
                  </w:pPr>
                  <w:r>
                    <w:rPr>
                      <w:rFonts w:hint="eastAsia"/>
                    </w:rPr>
                    <w:t>2.416</w:t>
                  </w:r>
                </w:p>
              </w:tc>
              <w:tc>
                <w:tcPr>
                  <w:tcW w:w="2588" w:type="dxa"/>
                  <w:vAlign w:val="center"/>
                </w:tcPr>
                <w:p>
                  <w:pPr>
                    <w:pStyle w:val="91"/>
                  </w:pPr>
                  <w:r>
                    <w:rPr>
                      <w:rFonts w:hint="eastAsia"/>
                    </w:rPr>
                    <w:t>0.242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693" w:type="dxa"/>
                  <w:vMerge w:val="continue"/>
                </w:tcPr>
                <w:p>
                  <w:pPr>
                    <w:pStyle w:val="91"/>
                  </w:pPr>
                </w:p>
              </w:tc>
              <w:tc>
                <w:tcPr>
                  <w:tcW w:w="2247" w:type="dxa"/>
                  <w:vAlign w:val="center"/>
                </w:tcPr>
                <w:p>
                  <w:pPr>
                    <w:pStyle w:val="91"/>
                  </w:pPr>
                  <w:r>
                    <w:rPr>
                      <w:rFonts w:hint="eastAsia"/>
                    </w:rPr>
                    <w:t>甲苯</w:t>
                  </w:r>
                </w:p>
              </w:tc>
              <w:tc>
                <w:tcPr>
                  <w:tcW w:w="2708" w:type="dxa"/>
                  <w:vAlign w:val="center"/>
                </w:tcPr>
                <w:p>
                  <w:pPr>
                    <w:pStyle w:val="91"/>
                  </w:pPr>
                  <w:r>
                    <w:rPr>
                      <w:rFonts w:hint="eastAsia"/>
                    </w:rPr>
                    <w:t>0.42</w:t>
                  </w:r>
                </w:p>
              </w:tc>
              <w:tc>
                <w:tcPr>
                  <w:tcW w:w="2588" w:type="dxa"/>
                  <w:vAlign w:val="center"/>
                </w:tcPr>
                <w:p>
                  <w:pPr>
                    <w:pStyle w:val="91"/>
                  </w:pPr>
                  <w:r>
                    <w:rPr>
                      <w:rFonts w:hint="eastAsia"/>
                    </w:rPr>
                    <w:t>0.263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continue"/>
                </w:tcPr>
                <w:p>
                  <w:pPr>
                    <w:pStyle w:val="91"/>
                  </w:pPr>
                </w:p>
              </w:tc>
              <w:tc>
                <w:tcPr>
                  <w:tcW w:w="2247" w:type="dxa"/>
                  <w:vAlign w:val="center"/>
                </w:tcPr>
                <w:p>
                  <w:pPr>
                    <w:pStyle w:val="91"/>
                  </w:pPr>
                  <w:r>
                    <w:rPr>
                      <w:rFonts w:hint="eastAsia"/>
                    </w:rPr>
                    <w:t>苯乙烯</w:t>
                  </w:r>
                </w:p>
              </w:tc>
              <w:tc>
                <w:tcPr>
                  <w:tcW w:w="2708" w:type="dxa"/>
                  <w:vAlign w:val="center"/>
                </w:tcPr>
                <w:p>
                  <w:pPr>
                    <w:pStyle w:val="91"/>
                  </w:pPr>
                  <w:r>
                    <w:rPr>
                      <w:rFonts w:hint="eastAsia"/>
                    </w:rPr>
                    <w:t>0.876</w:t>
                  </w:r>
                </w:p>
              </w:tc>
              <w:tc>
                <w:tcPr>
                  <w:tcW w:w="2588" w:type="dxa"/>
                  <w:vAlign w:val="center"/>
                </w:tcPr>
                <w:p>
                  <w:pPr>
                    <w:pStyle w:val="91"/>
                  </w:pPr>
                  <w:r>
                    <w:rPr>
                      <w:rFonts w:hint="eastAsia"/>
                    </w:rPr>
                    <w:t>0.088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continue"/>
                </w:tcPr>
                <w:p>
                  <w:pPr>
                    <w:pStyle w:val="91"/>
                  </w:pPr>
                </w:p>
              </w:tc>
              <w:tc>
                <w:tcPr>
                  <w:tcW w:w="2247" w:type="dxa"/>
                </w:tcPr>
                <w:p>
                  <w:pPr>
                    <w:pStyle w:val="91"/>
                  </w:pPr>
                  <w:r>
                    <w:rPr>
                      <w:rFonts w:hint="eastAsia"/>
                    </w:rPr>
                    <w:t>二甲苯</w:t>
                  </w:r>
                </w:p>
              </w:tc>
              <w:tc>
                <w:tcPr>
                  <w:tcW w:w="2708" w:type="dxa"/>
                </w:tcPr>
                <w:p>
                  <w:pPr>
                    <w:pStyle w:val="91"/>
                  </w:pPr>
                  <w:r>
                    <w:rPr>
                      <w:rFonts w:hint="eastAsia"/>
                    </w:rPr>
                    <w:t>0.5774</w:t>
                  </w:r>
                </w:p>
              </w:tc>
              <w:tc>
                <w:tcPr>
                  <w:tcW w:w="2588" w:type="dxa"/>
                </w:tcPr>
                <w:p>
                  <w:pPr>
                    <w:pStyle w:val="91"/>
                  </w:pPr>
                  <w:r>
                    <w:rPr>
                      <w:rFonts w:hint="eastAsia"/>
                    </w:rPr>
                    <w:t>0.078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continue"/>
                </w:tcPr>
                <w:p>
                  <w:pPr>
                    <w:pStyle w:val="91"/>
                  </w:pPr>
                </w:p>
              </w:tc>
              <w:tc>
                <w:tcPr>
                  <w:tcW w:w="2247" w:type="dxa"/>
                </w:tcPr>
                <w:p>
                  <w:pPr>
                    <w:pStyle w:val="91"/>
                  </w:pPr>
                  <w:r>
                    <w:rPr>
                      <w:rFonts w:hint="eastAsia"/>
                    </w:rPr>
                    <w:t>甲醛</w:t>
                  </w:r>
                </w:p>
              </w:tc>
              <w:tc>
                <w:tcPr>
                  <w:tcW w:w="2708" w:type="dxa"/>
                </w:tcPr>
                <w:p>
                  <w:pPr>
                    <w:pStyle w:val="91"/>
                  </w:pPr>
                  <w:r>
                    <w:rPr>
                      <w:rFonts w:hint="eastAsia"/>
                    </w:rPr>
                    <w:t>0.046</w:t>
                  </w:r>
                </w:p>
              </w:tc>
              <w:tc>
                <w:tcPr>
                  <w:tcW w:w="2588" w:type="dxa"/>
                </w:tcPr>
                <w:p>
                  <w:pPr>
                    <w:pStyle w:val="91"/>
                  </w:pPr>
                  <w:r>
                    <w:rPr>
                      <w:rFonts w:hint="eastAsia"/>
                    </w:rPr>
                    <w:t>0.046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continue"/>
                </w:tcPr>
                <w:p>
                  <w:pPr>
                    <w:pStyle w:val="91"/>
                  </w:pPr>
                </w:p>
              </w:tc>
              <w:tc>
                <w:tcPr>
                  <w:tcW w:w="2247" w:type="dxa"/>
                  <w:vAlign w:val="center"/>
                </w:tcPr>
                <w:p>
                  <w:pPr>
                    <w:pStyle w:val="91"/>
                  </w:pPr>
                  <w:r>
                    <w:rPr>
                      <w:rFonts w:hint="eastAsia"/>
                    </w:rPr>
                    <w:t>TVOC</w:t>
                  </w:r>
                </w:p>
              </w:tc>
              <w:tc>
                <w:tcPr>
                  <w:tcW w:w="2708" w:type="dxa"/>
                  <w:vAlign w:val="center"/>
                </w:tcPr>
                <w:p>
                  <w:pPr>
                    <w:pStyle w:val="91"/>
                  </w:pPr>
                  <w:r>
                    <w:rPr>
                      <w:rFonts w:hint="eastAsia"/>
                    </w:rPr>
                    <w:t>0.005</w:t>
                  </w:r>
                </w:p>
              </w:tc>
              <w:tc>
                <w:tcPr>
                  <w:tcW w:w="2588" w:type="dxa"/>
                  <w:vAlign w:val="center"/>
                </w:tcPr>
                <w:p>
                  <w:pPr>
                    <w:pStyle w:val="91"/>
                  </w:pPr>
                  <w:r>
                    <w:rPr>
                      <w:rFonts w:hint="eastAsia"/>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restart"/>
                  <w:vAlign w:val="center"/>
                </w:tcPr>
                <w:p>
                  <w:pPr>
                    <w:pStyle w:val="91"/>
                  </w:pPr>
                  <w:r>
                    <w:rPr>
                      <w:rFonts w:hint="eastAsia"/>
                    </w:rPr>
                    <w:t>废水</w:t>
                  </w:r>
                </w:p>
              </w:tc>
              <w:tc>
                <w:tcPr>
                  <w:tcW w:w="2247" w:type="dxa"/>
                  <w:vAlign w:val="center"/>
                </w:tcPr>
                <w:p>
                  <w:pPr>
                    <w:pStyle w:val="91"/>
                  </w:pPr>
                  <w:r>
                    <w:rPr>
                      <w:rFonts w:hint="eastAsia"/>
                    </w:rPr>
                    <w:t>COD</w:t>
                  </w:r>
                </w:p>
              </w:tc>
              <w:tc>
                <w:tcPr>
                  <w:tcW w:w="2708" w:type="dxa"/>
                  <w:vAlign w:val="center"/>
                </w:tcPr>
                <w:p>
                  <w:pPr>
                    <w:pStyle w:val="91"/>
                  </w:pPr>
                  <w:r>
                    <w:t>0.578</w:t>
                  </w:r>
                </w:p>
              </w:tc>
              <w:tc>
                <w:tcPr>
                  <w:tcW w:w="2588" w:type="dxa"/>
                  <w:vAlign w:val="center"/>
                </w:tcPr>
                <w:p>
                  <w:pPr>
                    <w:pStyle w:val="91"/>
                  </w:pPr>
                  <w:r>
                    <w:rPr>
                      <w:rFonts w:hint="eastAsia"/>
                    </w:rPr>
                    <w:t>0.491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continue"/>
                </w:tcPr>
                <w:p>
                  <w:pPr>
                    <w:pStyle w:val="91"/>
                  </w:pPr>
                </w:p>
              </w:tc>
              <w:tc>
                <w:tcPr>
                  <w:tcW w:w="2247" w:type="dxa"/>
                </w:tcPr>
                <w:p>
                  <w:pPr>
                    <w:pStyle w:val="91"/>
                  </w:pPr>
                  <w:r>
                    <w:rPr>
                      <w:rFonts w:hint="eastAsia"/>
                    </w:rPr>
                    <w:t>氨氮</w:t>
                  </w:r>
                </w:p>
              </w:tc>
              <w:tc>
                <w:tcPr>
                  <w:tcW w:w="2708" w:type="dxa"/>
                </w:tcPr>
                <w:p>
                  <w:pPr>
                    <w:pStyle w:val="91"/>
                  </w:pPr>
                  <w:r>
                    <w:rPr>
                      <w:rFonts w:hint="eastAsia"/>
                    </w:rPr>
                    <w:t>0.041</w:t>
                  </w:r>
                </w:p>
              </w:tc>
              <w:tc>
                <w:tcPr>
                  <w:tcW w:w="2588" w:type="dxa"/>
                </w:tcPr>
                <w:p>
                  <w:pPr>
                    <w:pStyle w:val="91"/>
                  </w:pPr>
                  <w:r>
                    <w:rPr>
                      <w:rFonts w:hint="eastAsia"/>
                    </w:rPr>
                    <w:t>0.039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continue"/>
                </w:tcPr>
                <w:p>
                  <w:pPr>
                    <w:pStyle w:val="91"/>
                  </w:pPr>
                </w:p>
              </w:tc>
              <w:tc>
                <w:tcPr>
                  <w:tcW w:w="2247" w:type="dxa"/>
                </w:tcPr>
                <w:p>
                  <w:pPr>
                    <w:pStyle w:val="91"/>
                  </w:pPr>
                  <w:r>
                    <w:rPr>
                      <w:rFonts w:hint="eastAsia"/>
                    </w:rPr>
                    <w:t>SS</w:t>
                  </w:r>
                </w:p>
              </w:tc>
              <w:tc>
                <w:tcPr>
                  <w:tcW w:w="2708" w:type="dxa"/>
                </w:tcPr>
                <w:p>
                  <w:pPr>
                    <w:pStyle w:val="91"/>
                  </w:pPr>
                  <w:r>
                    <w:rPr>
                      <w:rFonts w:hint="eastAsia"/>
                    </w:rPr>
                    <w:t>0.363</w:t>
                  </w:r>
                </w:p>
              </w:tc>
              <w:tc>
                <w:tcPr>
                  <w:tcW w:w="2588" w:type="dxa"/>
                </w:tcPr>
                <w:p>
                  <w:pPr>
                    <w:pStyle w:val="91"/>
                  </w:pPr>
                  <w:r>
                    <w:rPr>
                      <w:rFonts w:hint="eastAsia"/>
                    </w:rPr>
                    <w:t>0.182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3" w:type="dxa"/>
                  <w:vMerge w:val="restart"/>
                  <w:vAlign w:val="center"/>
                </w:tcPr>
                <w:p>
                  <w:pPr>
                    <w:pStyle w:val="91"/>
                  </w:pPr>
                  <w:r>
                    <w:rPr>
                      <w:rFonts w:hint="eastAsia"/>
                    </w:rPr>
                    <w:t>固废</w:t>
                  </w:r>
                </w:p>
              </w:tc>
              <w:tc>
                <w:tcPr>
                  <w:tcW w:w="2247" w:type="dxa"/>
                  <w:vAlign w:val="center"/>
                </w:tcPr>
                <w:p>
                  <w:pPr>
                    <w:pStyle w:val="91"/>
                  </w:pPr>
                  <w:r>
                    <w:rPr>
                      <w:rFonts w:hint="eastAsia"/>
                    </w:rPr>
                    <w:t>生活垃圾</w:t>
                  </w:r>
                </w:p>
              </w:tc>
              <w:tc>
                <w:tcPr>
                  <w:tcW w:w="2708" w:type="dxa"/>
                  <w:vAlign w:val="center"/>
                </w:tcPr>
                <w:p>
                  <w:pPr>
                    <w:pStyle w:val="91"/>
                  </w:pPr>
                  <w:r>
                    <w:rPr>
                      <w:rFonts w:hint="eastAsia"/>
                    </w:rPr>
                    <w:t>12</w:t>
                  </w:r>
                </w:p>
              </w:tc>
              <w:tc>
                <w:tcPr>
                  <w:tcW w:w="2588" w:type="dxa"/>
                  <w:vAlign w:val="center"/>
                </w:tcPr>
                <w:p>
                  <w:pPr>
                    <w:pStyle w:val="91"/>
                  </w:pPr>
                  <w:r>
                    <w:rPr>
                      <w:rFonts w:hint="eastAsia"/>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trPr>
              <w:tc>
                <w:tcPr>
                  <w:tcW w:w="693" w:type="dxa"/>
                  <w:vMerge w:val="continue"/>
                  <w:vAlign w:val="center"/>
                </w:tcPr>
                <w:p>
                  <w:pPr>
                    <w:pStyle w:val="91"/>
                  </w:pPr>
                </w:p>
              </w:tc>
              <w:tc>
                <w:tcPr>
                  <w:tcW w:w="2247" w:type="dxa"/>
                  <w:vAlign w:val="center"/>
                </w:tcPr>
                <w:p>
                  <w:pPr>
                    <w:pStyle w:val="91"/>
                  </w:pPr>
                  <w:r>
                    <w:rPr>
                      <w:rFonts w:hint="eastAsia"/>
                    </w:rPr>
                    <w:t>边角料</w:t>
                  </w:r>
                </w:p>
              </w:tc>
              <w:tc>
                <w:tcPr>
                  <w:tcW w:w="2708" w:type="dxa"/>
                  <w:vAlign w:val="center"/>
                </w:tcPr>
                <w:p>
                  <w:pPr>
                    <w:pStyle w:val="91"/>
                  </w:pPr>
                  <w:r>
                    <w:rPr>
                      <w:rFonts w:hint="eastAsia"/>
                    </w:rPr>
                    <w:t>3000</w:t>
                  </w:r>
                </w:p>
              </w:tc>
              <w:tc>
                <w:tcPr>
                  <w:tcW w:w="2588" w:type="dxa"/>
                  <w:vAlign w:val="center"/>
                </w:tcPr>
                <w:p>
                  <w:pPr>
                    <w:pStyle w:val="91"/>
                  </w:pPr>
                  <w:r>
                    <w:rPr>
                      <w:rFonts w:hint="eastAsia"/>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trPr>
              <w:tc>
                <w:tcPr>
                  <w:tcW w:w="693" w:type="dxa"/>
                  <w:vMerge w:val="continue"/>
                  <w:vAlign w:val="center"/>
                </w:tcPr>
                <w:p>
                  <w:pPr>
                    <w:pStyle w:val="91"/>
                  </w:pPr>
                </w:p>
              </w:tc>
              <w:tc>
                <w:tcPr>
                  <w:tcW w:w="2247" w:type="dxa"/>
                  <w:vAlign w:val="center"/>
                </w:tcPr>
                <w:p>
                  <w:pPr>
                    <w:pStyle w:val="91"/>
                  </w:pPr>
                  <w:r>
                    <w:rPr>
                      <w:rFonts w:hint="eastAsia"/>
                    </w:rPr>
                    <w:t>氧化皮</w:t>
                  </w:r>
                </w:p>
              </w:tc>
              <w:tc>
                <w:tcPr>
                  <w:tcW w:w="2708" w:type="dxa"/>
                  <w:vAlign w:val="center"/>
                </w:tcPr>
                <w:p>
                  <w:pPr>
                    <w:pStyle w:val="91"/>
                  </w:pPr>
                  <w:r>
                    <w:rPr>
                      <w:rFonts w:hint="eastAsia"/>
                    </w:rPr>
                    <w:t>1800</w:t>
                  </w:r>
                </w:p>
              </w:tc>
              <w:tc>
                <w:tcPr>
                  <w:tcW w:w="2588" w:type="dxa"/>
                  <w:vAlign w:val="center"/>
                </w:tcPr>
                <w:p>
                  <w:pPr>
                    <w:pStyle w:val="91"/>
                  </w:pPr>
                  <w:r>
                    <w:rPr>
                      <w:rFonts w:hint="eastAsia"/>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trPr>
              <w:tc>
                <w:tcPr>
                  <w:tcW w:w="693" w:type="dxa"/>
                  <w:vMerge w:val="continue"/>
                  <w:vAlign w:val="center"/>
                </w:tcPr>
                <w:p>
                  <w:pPr>
                    <w:pStyle w:val="91"/>
                  </w:pPr>
                </w:p>
              </w:tc>
              <w:tc>
                <w:tcPr>
                  <w:tcW w:w="2247" w:type="dxa"/>
                  <w:vAlign w:val="center"/>
                </w:tcPr>
                <w:p>
                  <w:pPr>
                    <w:pStyle w:val="91"/>
                  </w:pPr>
                  <w:r>
                    <w:rPr>
                      <w:rFonts w:hint="eastAsia"/>
                    </w:rPr>
                    <w:t>废砂</w:t>
                  </w:r>
                </w:p>
              </w:tc>
              <w:tc>
                <w:tcPr>
                  <w:tcW w:w="2708" w:type="dxa"/>
                  <w:vAlign w:val="center"/>
                </w:tcPr>
                <w:p>
                  <w:pPr>
                    <w:pStyle w:val="91"/>
                  </w:pPr>
                  <w:r>
                    <w:rPr>
                      <w:rFonts w:hint="eastAsia"/>
                    </w:rPr>
                    <w:t>25</w:t>
                  </w:r>
                </w:p>
              </w:tc>
              <w:tc>
                <w:tcPr>
                  <w:tcW w:w="2588" w:type="dxa"/>
                  <w:vAlign w:val="center"/>
                </w:tcPr>
                <w:p>
                  <w:pPr>
                    <w:pStyle w:val="91"/>
                  </w:pPr>
                  <w:r>
                    <w:rPr>
                      <w:rFonts w:hint="eastAsia"/>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continue"/>
                </w:tcPr>
                <w:p>
                  <w:pPr>
                    <w:pStyle w:val="91"/>
                  </w:pPr>
                </w:p>
              </w:tc>
              <w:tc>
                <w:tcPr>
                  <w:tcW w:w="2247" w:type="dxa"/>
                </w:tcPr>
                <w:p>
                  <w:pPr>
                    <w:pStyle w:val="91"/>
                  </w:pPr>
                  <w:r>
                    <w:rPr>
                      <w:rFonts w:hint="eastAsia"/>
                    </w:rPr>
                    <w:t>粉尘</w:t>
                  </w:r>
                </w:p>
              </w:tc>
              <w:tc>
                <w:tcPr>
                  <w:tcW w:w="2708" w:type="dxa"/>
                </w:tcPr>
                <w:p>
                  <w:pPr>
                    <w:pStyle w:val="91"/>
                  </w:pPr>
                  <w:r>
                    <w:rPr>
                      <w:rFonts w:hint="eastAsia"/>
                    </w:rPr>
                    <w:t>1415.621</w:t>
                  </w:r>
                </w:p>
              </w:tc>
              <w:tc>
                <w:tcPr>
                  <w:tcW w:w="2588" w:type="dxa"/>
                </w:tcPr>
                <w:p>
                  <w:pPr>
                    <w:pStyle w:val="91"/>
                  </w:pPr>
                  <w:r>
                    <w:rPr>
                      <w:rFonts w:hint="eastAsia"/>
                    </w:rPr>
                    <w:t>1415.621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continue"/>
                </w:tcPr>
                <w:p>
                  <w:pPr>
                    <w:pStyle w:val="91"/>
                  </w:pPr>
                </w:p>
              </w:tc>
              <w:tc>
                <w:tcPr>
                  <w:tcW w:w="2247" w:type="dxa"/>
                </w:tcPr>
                <w:p>
                  <w:pPr>
                    <w:pStyle w:val="91"/>
                  </w:pPr>
                  <w:r>
                    <w:rPr>
                      <w:rFonts w:hint="eastAsia"/>
                    </w:rPr>
                    <w:t>废包装物</w:t>
                  </w:r>
                </w:p>
              </w:tc>
              <w:tc>
                <w:tcPr>
                  <w:tcW w:w="2708" w:type="dxa"/>
                </w:tcPr>
                <w:p>
                  <w:pPr>
                    <w:pStyle w:val="91"/>
                  </w:pPr>
                  <w:r>
                    <w:rPr>
                      <w:rFonts w:hint="eastAsia"/>
                    </w:rPr>
                    <w:t>1.5</w:t>
                  </w:r>
                </w:p>
              </w:tc>
              <w:tc>
                <w:tcPr>
                  <w:tcW w:w="2588" w:type="dxa"/>
                </w:tcPr>
                <w:p>
                  <w:pPr>
                    <w:pStyle w:val="91"/>
                  </w:pPr>
                  <w:r>
                    <w:rPr>
                      <w:rFonts w:hint="eastAsia"/>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continue"/>
                </w:tcPr>
                <w:p>
                  <w:pPr>
                    <w:pStyle w:val="91"/>
                  </w:pPr>
                </w:p>
              </w:tc>
              <w:tc>
                <w:tcPr>
                  <w:tcW w:w="2247" w:type="dxa"/>
                </w:tcPr>
                <w:p>
                  <w:pPr>
                    <w:pStyle w:val="91"/>
                  </w:pPr>
                  <w:r>
                    <w:rPr>
                      <w:rFonts w:hint="eastAsia"/>
                    </w:rPr>
                    <w:t>油渣</w:t>
                  </w:r>
                </w:p>
              </w:tc>
              <w:tc>
                <w:tcPr>
                  <w:tcW w:w="2708" w:type="dxa"/>
                </w:tcPr>
                <w:p>
                  <w:pPr>
                    <w:pStyle w:val="91"/>
                  </w:pPr>
                  <w:r>
                    <w:rPr>
                      <w:rFonts w:hint="eastAsia"/>
                    </w:rPr>
                    <w:t>0.5</w:t>
                  </w:r>
                </w:p>
              </w:tc>
              <w:tc>
                <w:tcPr>
                  <w:tcW w:w="2588" w:type="dxa"/>
                </w:tcPr>
                <w:p>
                  <w:pPr>
                    <w:pStyle w:val="91"/>
                  </w:pPr>
                  <w:r>
                    <w:rPr>
                      <w:rFonts w:hint="eastAsia"/>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continue"/>
                </w:tcPr>
                <w:p>
                  <w:pPr>
                    <w:pStyle w:val="91"/>
                  </w:pPr>
                </w:p>
              </w:tc>
              <w:tc>
                <w:tcPr>
                  <w:tcW w:w="2247" w:type="dxa"/>
                </w:tcPr>
                <w:p>
                  <w:pPr>
                    <w:pStyle w:val="91"/>
                  </w:pPr>
                  <w:r>
                    <w:rPr>
                      <w:rFonts w:hint="eastAsia"/>
                    </w:rPr>
                    <w:t>废切削液</w:t>
                  </w:r>
                </w:p>
              </w:tc>
              <w:tc>
                <w:tcPr>
                  <w:tcW w:w="2708" w:type="dxa"/>
                </w:tcPr>
                <w:p>
                  <w:pPr>
                    <w:pStyle w:val="91"/>
                  </w:pPr>
                  <w:r>
                    <w:rPr>
                      <w:rFonts w:hint="eastAsia"/>
                    </w:rPr>
                    <w:t>8</w:t>
                  </w:r>
                </w:p>
              </w:tc>
              <w:tc>
                <w:tcPr>
                  <w:tcW w:w="2588" w:type="dxa"/>
                </w:tcPr>
                <w:p>
                  <w:pPr>
                    <w:pStyle w:val="91"/>
                  </w:pPr>
                  <w:r>
                    <w:rPr>
                      <w:rFonts w:hint="eastAsi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continue"/>
                </w:tcPr>
                <w:p>
                  <w:pPr>
                    <w:pStyle w:val="91"/>
                  </w:pPr>
                </w:p>
              </w:tc>
              <w:tc>
                <w:tcPr>
                  <w:tcW w:w="2247" w:type="dxa"/>
                </w:tcPr>
                <w:p>
                  <w:pPr>
                    <w:pStyle w:val="91"/>
                  </w:pPr>
                  <w:r>
                    <w:rPr>
                      <w:rFonts w:hint="eastAsia"/>
                    </w:rPr>
                    <w:t>废活性炭</w:t>
                  </w:r>
                </w:p>
              </w:tc>
              <w:tc>
                <w:tcPr>
                  <w:tcW w:w="2708" w:type="dxa"/>
                </w:tcPr>
                <w:p>
                  <w:pPr>
                    <w:pStyle w:val="91"/>
                  </w:pPr>
                  <w:r>
                    <w:rPr>
                      <w:rFonts w:hint="eastAsia"/>
                    </w:rPr>
                    <w:t>4</w:t>
                  </w:r>
                </w:p>
              </w:tc>
              <w:tc>
                <w:tcPr>
                  <w:tcW w:w="2588" w:type="dxa"/>
                </w:tcPr>
                <w:p>
                  <w:pPr>
                    <w:pStyle w:val="91"/>
                  </w:pPr>
                  <w:r>
                    <w:rPr>
                      <w:rFonts w:hint="eastAsi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93" w:type="dxa"/>
                  <w:vMerge w:val="continue"/>
                </w:tcPr>
                <w:p>
                  <w:pPr>
                    <w:pStyle w:val="91"/>
                  </w:pPr>
                </w:p>
              </w:tc>
              <w:tc>
                <w:tcPr>
                  <w:tcW w:w="2247" w:type="dxa"/>
                </w:tcPr>
                <w:p>
                  <w:pPr>
                    <w:pStyle w:val="91"/>
                  </w:pPr>
                  <w:r>
                    <w:rPr>
                      <w:rFonts w:hint="eastAsia"/>
                    </w:rPr>
                    <w:t>废润滑油、含油棉纱</w:t>
                  </w:r>
                </w:p>
              </w:tc>
              <w:tc>
                <w:tcPr>
                  <w:tcW w:w="2708" w:type="dxa"/>
                  <w:vAlign w:val="center"/>
                </w:tcPr>
                <w:p>
                  <w:pPr>
                    <w:pStyle w:val="91"/>
                  </w:pPr>
                  <w:r>
                    <w:rPr>
                      <w:rFonts w:hint="eastAsia"/>
                    </w:rPr>
                    <w:t>3</w:t>
                  </w:r>
                </w:p>
              </w:tc>
              <w:tc>
                <w:tcPr>
                  <w:tcW w:w="2588" w:type="dxa"/>
                  <w:vAlign w:val="center"/>
                </w:tcPr>
                <w:p>
                  <w:pPr>
                    <w:pStyle w:val="91"/>
                  </w:pPr>
                  <w:r>
                    <w:rPr>
                      <w:rFonts w:hint="eastAsia"/>
                    </w:rPr>
                    <w:t>3</w:t>
                  </w:r>
                </w:p>
              </w:tc>
            </w:tr>
          </w:tbl>
          <w:p>
            <w:pPr>
              <w:pStyle w:val="85"/>
              <w:rPr>
                <w:color w:val="auto"/>
              </w:rPr>
            </w:pPr>
          </w:p>
          <w:p>
            <w:pPr>
              <w:ind w:firstLine="480"/>
            </w:pPr>
            <w:r>
              <w:rPr>
                <w:rFonts w:hint="eastAsia"/>
              </w:rPr>
              <w:t>4、现有工程环保治理情况</w:t>
            </w:r>
          </w:p>
          <w:p>
            <w:pPr>
              <w:ind w:firstLine="480"/>
            </w:pPr>
            <w:r>
              <w:rPr>
                <w:rFonts w:hint="eastAsia"/>
              </w:rPr>
              <w:t>根据现场勘查，现在环保措施如下，具体见表表2-10。</w:t>
            </w:r>
          </w:p>
          <w:p>
            <w:pPr>
              <w:pStyle w:val="85"/>
              <w:rPr>
                <w:color w:val="auto"/>
              </w:rPr>
            </w:pPr>
            <w:r>
              <w:rPr>
                <w:rFonts w:hint="eastAsia"/>
                <w:color w:val="auto"/>
              </w:rPr>
              <w:t>表2-10现有工程环保措施设置情况如下</w:t>
            </w:r>
          </w:p>
          <w:tbl>
            <w:tblPr>
              <w:tblStyle w:val="37"/>
              <w:tblW w:w="82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6"/>
              <w:gridCol w:w="1726"/>
              <w:gridCol w:w="2549"/>
              <w:gridCol w:w="2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6" w:type="dxa"/>
                </w:tcPr>
                <w:p>
                  <w:pPr>
                    <w:pStyle w:val="91"/>
                  </w:pPr>
                  <w:r>
                    <w:rPr>
                      <w:rFonts w:hint="eastAsia"/>
                    </w:rPr>
                    <w:t>措施类型</w:t>
                  </w:r>
                </w:p>
              </w:tc>
              <w:tc>
                <w:tcPr>
                  <w:tcW w:w="1726" w:type="dxa"/>
                </w:tcPr>
                <w:p>
                  <w:pPr>
                    <w:pStyle w:val="91"/>
                  </w:pPr>
                  <w:r>
                    <w:rPr>
                      <w:rFonts w:hint="eastAsia"/>
                    </w:rPr>
                    <w:t>污染物</w:t>
                  </w:r>
                </w:p>
              </w:tc>
              <w:tc>
                <w:tcPr>
                  <w:tcW w:w="2549" w:type="dxa"/>
                </w:tcPr>
                <w:p>
                  <w:pPr>
                    <w:pStyle w:val="91"/>
                  </w:pPr>
                  <w:r>
                    <w:rPr>
                      <w:rFonts w:hint="eastAsia"/>
                    </w:rPr>
                    <w:t>具体措施</w:t>
                  </w:r>
                </w:p>
              </w:tc>
              <w:tc>
                <w:tcPr>
                  <w:tcW w:w="2905" w:type="dxa"/>
                </w:tcPr>
                <w:p>
                  <w:pPr>
                    <w:pStyle w:val="91"/>
                  </w:pPr>
                  <w:r>
                    <w:rPr>
                      <w:rFonts w:hint="eastAsia"/>
                    </w:rPr>
                    <w:t>预期效果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096" w:type="dxa"/>
                  <w:vMerge w:val="restart"/>
                  <w:vAlign w:val="center"/>
                </w:tcPr>
                <w:p>
                  <w:pPr>
                    <w:pStyle w:val="91"/>
                  </w:pPr>
                  <w:r>
                    <w:rPr>
                      <w:rFonts w:hint="eastAsia"/>
                    </w:rPr>
                    <w:t>废气</w:t>
                  </w:r>
                </w:p>
              </w:tc>
              <w:tc>
                <w:tcPr>
                  <w:tcW w:w="1726" w:type="dxa"/>
                  <w:vAlign w:val="center"/>
                </w:tcPr>
                <w:p>
                  <w:pPr>
                    <w:pStyle w:val="91"/>
                  </w:pPr>
                  <w:r>
                    <w:rPr>
                      <w:rFonts w:hint="eastAsia"/>
                    </w:rPr>
                    <w:t>中频炉烟尘</w:t>
                  </w:r>
                </w:p>
              </w:tc>
              <w:tc>
                <w:tcPr>
                  <w:tcW w:w="2549" w:type="dxa"/>
                  <w:vAlign w:val="center"/>
                </w:tcPr>
                <w:p>
                  <w:pPr>
                    <w:pStyle w:val="91"/>
                  </w:pPr>
                  <w:r>
                    <w:t>布袋除尘器+15m排</w:t>
                  </w:r>
                </w:p>
                <w:p>
                  <w:pPr>
                    <w:pStyle w:val="91"/>
                  </w:pPr>
                  <w:r>
                    <w:t>气筒</w:t>
                  </w:r>
                </w:p>
              </w:tc>
              <w:tc>
                <w:tcPr>
                  <w:tcW w:w="2905" w:type="dxa"/>
                  <w:vAlign w:val="center"/>
                </w:tcPr>
                <w:p>
                  <w:pPr>
                    <w:pStyle w:val="91"/>
                  </w:pPr>
                  <w:r>
                    <w:rPr>
                      <w:rFonts w:hint="eastAsia"/>
                    </w:rPr>
                    <w:t>满足《工业炉窑大气污染物排放标准》（GB9078-1996）二级标准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96" w:type="dxa"/>
                  <w:vMerge w:val="continue"/>
                  <w:vAlign w:val="center"/>
                </w:tcPr>
                <w:p>
                  <w:pPr>
                    <w:pStyle w:val="91"/>
                  </w:pPr>
                </w:p>
              </w:tc>
              <w:tc>
                <w:tcPr>
                  <w:tcW w:w="1726" w:type="dxa"/>
                  <w:vAlign w:val="center"/>
                </w:tcPr>
                <w:p>
                  <w:pPr>
                    <w:pStyle w:val="91"/>
                  </w:pPr>
                  <w:r>
                    <w:t>浇注废气</w:t>
                  </w:r>
                </w:p>
              </w:tc>
              <w:tc>
                <w:tcPr>
                  <w:tcW w:w="2549" w:type="dxa"/>
                  <w:vAlign w:val="center"/>
                </w:tcPr>
                <w:p>
                  <w:pPr>
                    <w:pStyle w:val="91"/>
                  </w:pPr>
                  <w:r>
                    <w:t>活性炭吸附+15m排</w:t>
                  </w:r>
                </w:p>
                <w:p>
                  <w:pPr>
                    <w:pStyle w:val="91"/>
                  </w:pPr>
                  <w:r>
                    <w:t>气筒</w:t>
                  </w:r>
                </w:p>
              </w:tc>
              <w:tc>
                <w:tcPr>
                  <w:tcW w:w="2905" w:type="dxa"/>
                  <w:vAlign w:val="center"/>
                </w:tcPr>
                <w:p>
                  <w:pPr>
                    <w:pStyle w:val="91"/>
                  </w:pPr>
                  <w:r>
                    <w:t>《大气污染物综合排放标准》（GB16297-1996）二</w:t>
                  </w:r>
                </w:p>
                <w:p>
                  <w:pPr>
                    <w:pStyle w:val="91"/>
                  </w:pPr>
                  <w:r>
                    <w:t>级标准</w:t>
                  </w:r>
                  <w:r>
                    <w:rPr>
                      <w:rFonts w:hint="eastAsia"/>
                    </w:rPr>
                    <w:t>、《恶臭污染物排放标准》（GB14554-1993）中的二级标准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096" w:type="dxa"/>
                  <w:vMerge w:val="continue"/>
                  <w:vAlign w:val="center"/>
                </w:tcPr>
                <w:p>
                  <w:pPr>
                    <w:pStyle w:val="91"/>
                  </w:pPr>
                </w:p>
              </w:tc>
              <w:tc>
                <w:tcPr>
                  <w:tcW w:w="1726" w:type="dxa"/>
                  <w:vAlign w:val="center"/>
                </w:tcPr>
                <w:p>
                  <w:pPr>
                    <w:pStyle w:val="91"/>
                  </w:pPr>
                  <w:r>
                    <w:t>砂处理粉尘</w:t>
                  </w:r>
                </w:p>
              </w:tc>
              <w:tc>
                <w:tcPr>
                  <w:tcW w:w="2549" w:type="dxa"/>
                  <w:vAlign w:val="center"/>
                </w:tcPr>
                <w:p>
                  <w:pPr>
                    <w:pStyle w:val="91"/>
                  </w:pPr>
                  <w:r>
                    <w:t>密闭集气装置+布袋除尘+15m排气筒</w:t>
                  </w:r>
                </w:p>
              </w:tc>
              <w:tc>
                <w:tcPr>
                  <w:tcW w:w="2905" w:type="dxa"/>
                  <w:vMerge w:val="restart"/>
                  <w:vAlign w:val="center"/>
                </w:tcPr>
                <w:p>
                  <w:pPr>
                    <w:pStyle w:val="91"/>
                  </w:pPr>
                  <w:r>
                    <w:rPr>
                      <w:rFonts w:hint="eastAsia"/>
                    </w:rPr>
                    <w:t>《大气污染物综合排放标准》（GB16297-1996）二级标准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096" w:type="dxa"/>
                  <w:vMerge w:val="continue"/>
                  <w:vAlign w:val="center"/>
                </w:tcPr>
                <w:p>
                  <w:pPr>
                    <w:pStyle w:val="91"/>
                  </w:pPr>
                </w:p>
              </w:tc>
              <w:tc>
                <w:tcPr>
                  <w:tcW w:w="1726" w:type="dxa"/>
                  <w:vAlign w:val="center"/>
                </w:tcPr>
                <w:p>
                  <w:pPr>
                    <w:pStyle w:val="91"/>
                  </w:pPr>
                  <w:r>
                    <w:t>打磨抛丸粉</w:t>
                  </w:r>
                </w:p>
                <w:p>
                  <w:pPr>
                    <w:pStyle w:val="91"/>
                  </w:pPr>
                  <w:r>
                    <w:t>尘</w:t>
                  </w:r>
                </w:p>
              </w:tc>
              <w:tc>
                <w:tcPr>
                  <w:tcW w:w="2549" w:type="dxa"/>
                  <w:vAlign w:val="center"/>
                </w:tcPr>
                <w:p>
                  <w:pPr>
                    <w:pStyle w:val="91"/>
                  </w:pPr>
                  <w:r>
                    <w:t>集气装置+布袋除尘</w:t>
                  </w:r>
                </w:p>
                <w:p>
                  <w:pPr>
                    <w:pStyle w:val="91"/>
                  </w:pPr>
                  <w:r>
                    <w:t>+15m排气筒</w:t>
                  </w:r>
                </w:p>
              </w:tc>
              <w:tc>
                <w:tcPr>
                  <w:tcW w:w="2905" w:type="dxa"/>
                  <w:vMerge w:val="continue"/>
                  <w:vAlign w:val="center"/>
                </w:tcPr>
                <w:p>
                  <w:pPr>
                    <w:pStyle w:val="9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6" w:type="dxa"/>
                  <w:vAlign w:val="center"/>
                </w:tcPr>
                <w:p>
                  <w:pPr>
                    <w:pStyle w:val="91"/>
                  </w:pPr>
                  <w:r>
                    <w:rPr>
                      <w:rFonts w:hint="eastAsia"/>
                    </w:rPr>
                    <w:t>废水</w:t>
                  </w:r>
                </w:p>
              </w:tc>
              <w:tc>
                <w:tcPr>
                  <w:tcW w:w="1726" w:type="dxa"/>
                  <w:vAlign w:val="center"/>
                </w:tcPr>
                <w:p>
                  <w:pPr>
                    <w:pStyle w:val="91"/>
                  </w:pPr>
                  <w:r>
                    <w:rPr>
                      <w:rFonts w:hint="eastAsia"/>
                    </w:rPr>
                    <w:t>COD、BOD5、氨氮、SS</w:t>
                  </w:r>
                </w:p>
              </w:tc>
              <w:tc>
                <w:tcPr>
                  <w:tcW w:w="2549" w:type="dxa"/>
                  <w:vAlign w:val="center"/>
                </w:tcPr>
                <w:p>
                  <w:pPr>
                    <w:pStyle w:val="91"/>
                  </w:pPr>
                  <w:r>
                    <w:rPr>
                      <w:rFonts w:hint="eastAsia"/>
                    </w:rPr>
                    <w:t>化粪池</w:t>
                  </w:r>
                </w:p>
              </w:tc>
              <w:tc>
                <w:tcPr>
                  <w:tcW w:w="2905" w:type="dxa"/>
                  <w:vAlign w:val="center"/>
                </w:tcPr>
                <w:p>
                  <w:pPr>
                    <w:pStyle w:val="91"/>
                  </w:pPr>
                  <w:r>
                    <w:rPr>
                      <w:rFonts w:hint="eastAsia"/>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6" w:type="dxa"/>
                  <w:vAlign w:val="center"/>
                </w:tcPr>
                <w:p>
                  <w:pPr>
                    <w:pStyle w:val="91"/>
                  </w:pPr>
                  <w:r>
                    <w:rPr>
                      <w:rFonts w:hint="eastAsia"/>
                    </w:rPr>
                    <w:t>噪声</w:t>
                  </w:r>
                </w:p>
              </w:tc>
              <w:tc>
                <w:tcPr>
                  <w:tcW w:w="1726" w:type="dxa"/>
                  <w:vAlign w:val="center"/>
                </w:tcPr>
                <w:p>
                  <w:pPr>
                    <w:pStyle w:val="91"/>
                  </w:pPr>
                  <w:r>
                    <w:rPr>
                      <w:rFonts w:hint="eastAsia"/>
                    </w:rPr>
                    <w:t>设备运行噪声</w:t>
                  </w:r>
                </w:p>
              </w:tc>
              <w:tc>
                <w:tcPr>
                  <w:tcW w:w="2549" w:type="dxa"/>
                  <w:vAlign w:val="center"/>
                </w:tcPr>
                <w:p>
                  <w:pPr>
                    <w:pStyle w:val="91"/>
                  </w:pPr>
                  <w:r>
                    <w:rPr>
                      <w:rFonts w:hint="eastAsia"/>
                    </w:rPr>
                    <w:t>基础减振、置于室内、消声等措施</w:t>
                  </w:r>
                </w:p>
              </w:tc>
              <w:tc>
                <w:tcPr>
                  <w:tcW w:w="2905" w:type="dxa"/>
                  <w:vAlign w:val="center"/>
                </w:tcPr>
                <w:p>
                  <w:pPr>
                    <w:pStyle w:val="91"/>
                  </w:pPr>
                  <w:r>
                    <w:t>《工业企业厂界环境噪声排放标准》(GB12348-2008)中2类标准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6" w:type="dxa"/>
                  <w:vMerge w:val="restart"/>
                  <w:vAlign w:val="center"/>
                </w:tcPr>
                <w:p>
                  <w:pPr>
                    <w:pStyle w:val="91"/>
                  </w:pPr>
                  <w:r>
                    <w:rPr>
                      <w:rFonts w:hint="eastAsia"/>
                    </w:rPr>
                    <w:t>固废</w:t>
                  </w:r>
                </w:p>
              </w:tc>
              <w:tc>
                <w:tcPr>
                  <w:tcW w:w="1726" w:type="dxa"/>
                  <w:vAlign w:val="center"/>
                </w:tcPr>
                <w:p>
                  <w:pPr>
                    <w:pStyle w:val="91"/>
                  </w:pPr>
                  <w:r>
                    <w:rPr>
                      <w:rFonts w:hint="eastAsia"/>
                    </w:rPr>
                    <w:t>生活垃圾</w:t>
                  </w:r>
                </w:p>
              </w:tc>
              <w:tc>
                <w:tcPr>
                  <w:tcW w:w="2549" w:type="dxa"/>
                  <w:tcBorders>
                    <w:bottom w:val="single" w:color="000000" w:sz="2" w:space="0"/>
                  </w:tcBorders>
                  <w:vAlign w:val="center"/>
                </w:tcPr>
                <w:p>
                  <w:pPr>
                    <w:pStyle w:val="91"/>
                  </w:pPr>
                  <w:r>
                    <w:rPr>
                      <w:rFonts w:hint="eastAsia"/>
                    </w:rPr>
                    <w:t>垃圾箱收集，统一交由环卫部门统一清运</w:t>
                  </w:r>
                </w:p>
              </w:tc>
              <w:tc>
                <w:tcPr>
                  <w:tcW w:w="2905" w:type="dxa"/>
                  <w:tcBorders>
                    <w:bottom w:val="single" w:color="000000" w:sz="2" w:space="0"/>
                  </w:tcBorders>
                  <w:vAlign w:val="center"/>
                </w:tcPr>
                <w:p>
                  <w:pPr>
                    <w:pStyle w:val="91"/>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6" w:type="dxa"/>
                  <w:vMerge w:val="continue"/>
                </w:tcPr>
                <w:p>
                  <w:pPr>
                    <w:pStyle w:val="91"/>
                  </w:pPr>
                </w:p>
              </w:tc>
              <w:tc>
                <w:tcPr>
                  <w:tcW w:w="1726" w:type="dxa"/>
                  <w:vAlign w:val="center"/>
                </w:tcPr>
                <w:p>
                  <w:pPr>
                    <w:pStyle w:val="91"/>
                  </w:pPr>
                  <w:r>
                    <w:rPr>
                      <w:rFonts w:hint="eastAsia"/>
                    </w:rPr>
                    <w:t>边角料</w:t>
                  </w:r>
                </w:p>
              </w:tc>
              <w:tc>
                <w:tcPr>
                  <w:tcW w:w="2549" w:type="dxa"/>
                  <w:vMerge w:val="restart"/>
                  <w:tcBorders>
                    <w:top w:val="single" w:color="000000" w:sz="2" w:space="0"/>
                  </w:tcBorders>
                  <w:vAlign w:val="center"/>
                </w:tcPr>
                <w:p>
                  <w:pPr>
                    <w:pStyle w:val="91"/>
                  </w:pPr>
                  <w:r>
                    <w:rPr>
                      <w:rFonts w:hint="eastAsia"/>
                    </w:rPr>
                    <w:t>交由石泉县志诚废旧物资回收有限公司</w:t>
                  </w:r>
                </w:p>
              </w:tc>
              <w:tc>
                <w:tcPr>
                  <w:tcW w:w="2905" w:type="dxa"/>
                  <w:vMerge w:val="restart"/>
                  <w:tcBorders>
                    <w:top w:val="single" w:color="000000" w:sz="2" w:space="0"/>
                  </w:tcBorders>
                  <w:vAlign w:val="center"/>
                </w:tcPr>
                <w:p>
                  <w:pPr>
                    <w:pStyle w:val="91"/>
                  </w:pPr>
                  <w:r>
                    <w:rPr>
                      <w:rFonts w:hint="eastAsia"/>
                    </w:rPr>
                    <w:t>《一般工业固体废物贮存、处置场污染控制标准》（GB18599-2001）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6" w:type="dxa"/>
                  <w:vMerge w:val="continue"/>
                </w:tcPr>
                <w:p>
                  <w:pPr>
                    <w:pStyle w:val="91"/>
                  </w:pPr>
                </w:p>
              </w:tc>
              <w:tc>
                <w:tcPr>
                  <w:tcW w:w="1726" w:type="dxa"/>
                  <w:vAlign w:val="center"/>
                </w:tcPr>
                <w:p>
                  <w:pPr>
                    <w:pStyle w:val="91"/>
                  </w:pPr>
                  <w:r>
                    <w:rPr>
                      <w:rFonts w:hint="eastAsia"/>
                    </w:rPr>
                    <w:t>氧化皮</w:t>
                  </w:r>
                </w:p>
              </w:tc>
              <w:tc>
                <w:tcPr>
                  <w:tcW w:w="2549" w:type="dxa"/>
                  <w:vMerge w:val="continue"/>
                  <w:vAlign w:val="center"/>
                </w:tcPr>
                <w:p>
                  <w:pPr>
                    <w:pStyle w:val="91"/>
                  </w:pPr>
                </w:p>
              </w:tc>
              <w:tc>
                <w:tcPr>
                  <w:tcW w:w="2905" w:type="dxa"/>
                  <w:vMerge w:val="continue"/>
                  <w:vAlign w:val="center"/>
                </w:tcPr>
                <w:p>
                  <w:pPr>
                    <w:pStyle w:val="9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6" w:type="dxa"/>
                  <w:vMerge w:val="continue"/>
                </w:tcPr>
                <w:p>
                  <w:pPr>
                    <w:pStyle w:val="91"/>
                  </w:pPr>
                </w:p>
              </w:tc>
              <w:tc>
                <w:tcPr>
                  <w:tcW w:w="1726" w:type="dxa"/>
                  <w:vAlign w:val="center"/>
                </w:tcPr>
                <w:p>
                  <w:pPr>
                    <w:pStyle w:val="91"/>
                  </w:pPr>
                  <w:r>
                    <w:rPr>
                      <w:rFonts w:hint="eastAsia"/>
                    </w:rPr>
                    <w:t>废砂</w:t>
                  </w:r>
                </w:p>
              </w:tc>
              <w:tc>
                <w:tcPr>
                  <w:tcW w:w="2549" w:type="dxa"/>
                  <w:vMerge w:val="continue"/>
                  <w:vAlign w:val="center"/>
                </w:tcPr>
                <w:p>
                  <w:pPr>
                    <w:pStyle w:val="91"/>
                  </w:pPr>
                </w:p>
              </w:tc>
              <w:tc>
                <w:tcPr>
                  <w:tcW w:w="2905" w:type="dxa"/>
                  <w:vMerge w:val="continue"/>
                  <w:vAlign w:val="center"/>
                </w:tcPr>
                <w:p>
                  <w:pPr>
                    <w:pStyle w:val="9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6" w:type="dxa"/>
                  <w:vMerge w:val="continue"/>
                </w:tcPr>
                <w:p>
                  <w:pPr>
                    <w:pStyle w:val="91"/>
                  </w:pPr>
                </w:p>
              </w:tc>
              <w:tc>
                <w:tcPr>
                  <w:tcW w:w="1726" w:type="dxa"/>
                  <w:vAlign w:val="center"/>
                </w:tcPr>
                <w:p>
                  <w:pPr>
                    <w:pStyle w:val="91"/>
                  </w:pPr>
                  <w:r>
                    <w:rPr>
                      <w:rFonts w:hint="eastAsia"/>
                    </w:rPr>
                    <w:t>粉尘</w:t>
                  </w:r>
                </w:p>
              </w:tc>
              <w:tc>
                <w:tcPr>
                  <w:tcW w:w="2549" w:type="dxa"/>
                  <w:vMerge w:val="continue"/>
                  <w:vAlign w:val="center"/>
                </w:tcPr>
                <w:p>
                  <w:pPr>
                    <w:pStyle w:val="91"/>
                  </w:pPr>
                </w:p>
              </w:tc>
              <w:tc>
                <w:tcPr>
                  <w:tcW w:w="2905" w:type="dxa"/>
                  <w:vMerge w:val="continue"/>
                  <w:vAlign w:val="center"/>
                </w:tcPr>
                <w:p>
                  <w:pPr>
                    <w:pStyle w:val="9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6" w:type="dxa"/>
                  <w:vMerge w:val="continue"/>
                </w:tcPr>
                <w:p>
                  <w:pPr>
                    <w:pStyle w:val="91"/>
                  </w:pPr>
                </w:p>
              </w:tc>
              <w:tc>
                <w:tcPr>
                  <w:tcW w:w="1726" w:type="dxa"/>
                  <w:vAlign w:val="center"/>
                </w:tcPr>
                <w:p>
                  <w:pPr>
                    <w:pStyle w:val="91"/>
                  </w:pPr>
                  <w:r>
                    <w:rPr>
                      <w:rFonts w:hint="eastAsia"/>
                    </w:rPr>
                    <w:t>废包装物</w:t>
                  </w:r>
                </w:p>
              </w:tc>
              <w:tc>
                <w:tcPr>
                  <w:tcW w:w="2549" w:type="dxa"/>
                  <w:vMerge w:val="continue"/>
                  <w:tcBorders>
                    <w:bottom w:val="single" w:color="000000" w:sz="2" w:space="0"/>
                  </w:tcBorders>
                  <w:vAlign w:val="center"/>
                </w:tcPr>
                <w:p>
                  <w:pPr>
                    <w:pStyle w:val="91"/>
                  </w:pPr>
                </w:p>
              </w:tc>
              <w:tc>
                <w:tcPr>
                  <w:tcW w:w="2905" w:type="dxa"/>
                  <w:vMerge w:val="continue"/>
                  <w:tcBorders>
                    <w:bottom w:val="single" w:color="000000" w:sz="2" w:space="0"/>
                  </w:tcBorders>
                  <w:vAlign w:val="center"/>
                </w:tcPr>
                <w:p>
                  <w:pPr>
                    <w:pStyle w:val="9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6" w:type="dxa"/>
                  <w:vMerge w:val="continue"/>
                </w:tcPr>
                <w:p>
                  <w:pPr>
                    <w:pStyle w:val="91"/>
                  </w:pPr>
                </w:p>
              </w:tc>
              <w:tc>
                <w:tcPr>
                  <w:tcW w:w="1726" w:type="dxa"/>
                  <w:vAlign w:val="center"/>
                </w:tcPr>
                <w:p>
                  <w:pPr>
                    <w:pStyle w:val="91"/>
                  </w:pPr>
                  <w:r>
                    <w:rPr>
                      <w:rFonts w:hint="eastAsia"/>
                    </w:rPr>
                    <w:t>油渣</w:t>
                  </w:r>
                </w:p>
              </w:tc>
              <w:tc>
                <w:tcPr>
                  <w:tcW w:w="2549" w:type="dxa"/>
                  <w:vMerge w:val="restart"/>
                  <w:tcBorders>
                    <w:top w:val="single" w:color="000000" w:sz="2" w:space="0"/>
                  </w:tcBorders>
                  <w:vAlign w:val="center"/>
                </w:tcPr>
                <w:p>
                  <w:pPr>
                    <w:pStyle w:val="91"/>
                  </w:pPr>
                  <w:r>
                    <w:rPr>
                      <w:rFonts w:hint="eastAsia"/>
                    </w:rPr>
                    <w:t>暂存于危废暂存间，定期交由安康市兴源再生资源综合利用有限公司</w:t>
                  </w:r>
                </w:p>
                <w:p>
                  <w:pPr>
                    <w:pStyle w:val="91"/>
                  </w:pPr>
                </w:p>
              </w:tc>
              <w:tc>
                <w:tcPr>
                  <w:tcW w:w="2905" w:type="dxa"/>
                  <w:vMerge w:val="restart"/>
                  <w:tcBorders>
                    <w:top w:val="single" w:color="000000" w:sz="2" w:space="0"/>
                  </w:tcBorders>
                  <w:vAlign w:val="center"/>
                </w:tcPr>
                <w:p>
                  <w:pPr>
                    <w:pStyle w:val="91"/>
                  </w:pPr>
                  <w:r>
                    <w:t>《危险废物贮存污染控制标准》（GB18597-20</w:t>
                  </w:r>
                  <w:r>
                    <w:rPr>
                      <w:rFonts w:hint="eastAsia"/>
                    </w:rPr>
                    <w:t>23</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6" w:type="dxa"/>
                  <w:vMerge w:val="continue"/>
                </w:tcPr>
                <w:p>
                  <w:pPr>
                    <w:pStyle w:val="91"/>
                  </w:pPr>
                </w:p>
              </w:tc>
              <w:tc>
                <w:tcPr>
                  <w:tcW w:w="1726" w:type="dxa"/>
                  <w:vAlign w:val="center"/>
                </w:tcPr>
                <w:p>
                  <w:pPr>
                    <w:pStyle w:val="91"/>
                  </w:pPr>
                  <w:r>
                    <w:rPr>
                      <w:rFonts w:hint="eastAsia"/>
                    </w:rPr>
                    <w:t>废切削液</w:t>
                  </w:r>
                </w:p>
              </w:tc>
              <w:tc>
                <w:tcPr>
                  <w:tcW w:w="2549" w:type="dxa"/>
                  <w:vMerge w:val="continue"/>
                  <w:vAlign w:val="center"/>
                </w:tcPr>
                <w:p>
                  <w:pPr>
                    <w:pStyle w:val="91"/>
                  </w:pPr>
                </w:p>
              </w:tc>
              <w:tc>
                <w:tcPr>
                  <w:tcW w:w="2905" w:type="dxa"/>
                  <w:vMerge w:val="continue"/>
                </w:tcPr>
                <w:p>
                  <w:pPr>
                    <w:pStyle w:val="9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6" w:type="dxa"/>
                  <w:vMerge w:val="continue"/>
                </w:tcPr>
                <w:p>
                  <w:pPr>
                    <w:pStyle w:val="91"/>
                  </w:pPr>
                </w:p>
              </w:tc>
              <w:tc>
                <w:tcPr>
                  <w:tcW w:w="1726" w:type="dxa"/>
                  <w:vAlign w:val="center"/>
                </w:tcPr>
                <w:p>
                  <w:pPr>
                    <w:pStyle w:val="91"/>
                  </w:pPr>
                  <w:r>
                    <w:rPr>
                      <w:rFonts w:hint="eastAsia"/>
                    </w:rPr>
                    <w:t>废油桶</w:t>
                  </w:r>
                </w:p>
              </w:tc>
              <w:tc>
                <w:tcPr>
                  <w:tcW w:w="2549" w:type="dxa"/>
                  <w:vMerge w:val="continue"/>
                  <w:vAlign w:val="center"/>
                </w:tcPr>
                <w:p>
                  <w:pPr>
                    <w:pStyle w:val="91"/>
                  </w:pPr>
                </w:p>
              </w:tc>
              <w:tc>
                <w:tcPr>
                  <w:tcW w:w="2905" w:type="dxa"/>
                  <w:vMerge w:val="continue"/>
                </w:tcPr>
                <w:p>
                  <w:pPr>
                    <w:pStyle w:val="9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6" w:type="dxa"/>
                  <w:vMerge w:val="continue"/>
                </w:tcPr>
                <w:p>
                  <w:pPr>
                    <w:pStyle w:val="91"/>
                  </w:pPr>
                </w:p>
              </w:tc>
              <w:tc>
                <w:tcPr>
                  <w:tcW w:w="1726" w:type="dxa"/>
                  <w:vAlign w:val="center"/>
                </w:tcPr>
                <w:p>
                  <w:pPr>
                    <w:pStyle w:val="91"/>
                  </w:pPr>
                  <w:r>
                    <w:rPr>
                      <w:rFonts w:hint="eastAsia"/>
                    </w:rPr>
                    <w:t>废活性炭</w:t>
                  </w:r>
                </w:p>
              </w:tc>
              <w:tc>
                <w:tcPr>
                  <w:tcW w:w="2549" w:type="dxa"/>
                  <w:vMerge w:val="continue"/>
                  <w:vAlign w:val="center"/>
                </w:tcPr>
                <w:p>
                  <w:pPr>
                    <w:pStyle w:val="91"/>
                  </w:pPr>
                </w:p>
              </w:tc>
              <w:tc>
                <w:tcPr>
                  <w:tcW w:w="2905" w:type="dxa"/>
                  <w:vMerge w:val="continue"/>
                </w:tcPr>
                <w:p>
                  <w:pPr>
                    <w:pStyle w:val="9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6" w:type="dxa"/>
                  <w:vMerge w:val="continue"/>
                </w:tcPr>
                <w:p>
                  <w:pPr>
                    <w:pStyle w:val="91"/>
                  </w:pPr>
                </w:p>
              </w:tc>
              <w:tc>
                <w:tcPr>
                  <w:tcW w:w="1726" w:type="dxa"/>
                  <w:vAlign w:val="center"/>
                </w:tcPr>
                <w:p>
                  <w:pPr>
                    <w:pStyle w:val="91"/>
                  </w:pPr>
                  <w:r>
                    <w:rPr>
                      <w:rFonts w:hint="eastAsia"/>
                    </w:rPr>
                    <w:t>废润滑油、含油面纱</w:t>
                  </w:r>
                </w:p>
              </w:tc>
              <w:tc>
                <w:tcPr>
                  <w:tcW w:w="2549" w:type="dxa"/>
                  <w:vMerge w:val="continue"/>
                  <w:vAlign w:val="center"/>
                </w:tcPr>
                <w:p>
                  <w:pPr>
                    <w:pStyle w:val="91"/>
                  </w:pPr>
                </w:p>
              </w:tc>
              <w:tc>
                <w:tcPr>
                  <w:tcW w:w="2905" w:type="dxa"/>
                  <w:vMerge w:val="continue"/>
                </w:tcPr>
                <w:p>
                  <w:pPr>
                    <w:pStyle w:val="91"/>
                  </w:pPr>
                </w:p>
              </w:tc>
            </w:tr>
          </w:tbl>
          <w:p>
            <w:pPr>
              <w:ind w:left="480" w:firstLine="0" w:firstLineChars="0"/>
            </w:pPr>
            <w:r>
              <w:rPr>
                <w:rFonts w:hint="eastAsia"/>
              </w:rPr>
              <w:t>5、与项目有关的主要环境问题及整改措施</w:t>
            </w:r>
          </w:p>
          <w:p>
            <w:pPr>
              <w:ind w:firstLine="480"/>
            </w:pPr>
            <w:r>
              <w:rPr>
                <w:rFonts w:hint="eastAsia"/>
              </w:rPr>
              <w:t>经现场调查，陕西双环锻造有限公司与陕西奥邦重工集团有限公司合办了排污许可，陕西双环锻造有限公司应按照排污许可相关规定，单独办理排污许可证。</w:t>
            </w:r>
          </w:p>
        </w:tc>
      </w:tr>
    </w:tbl>
    <w:p>
      <w:pPr>
        <w:ind w:firstLine="480"/>
        <w:sectPr>
          <w:footerReference r:id="rId8" w:type="default"/>
          <w:pgSz w:w="11905" w:h="16838"/>
          <w:pgMar w:top="1440" w:right="1531" w:bottom="1440" w:left="1531" w:header="851" w:footer="1020" w:gutter="0"/>
          <w:pgNumType w:fmt="numberInDash"/>
          <w:cols w:space="0" w:num="1"/>
          <w:docGrid w:linePitch="312" w:charSpace="0"/>
        </w:sectPr>
      </w:pPr>
    </w:p>
    <w:p>
      <w:pPr>
        <w:pStyle w:val="28"/>
        <w:adjustRightInd w:val="0"/>
        <w:snapToGrid w:val="0"/>
        <w:spacing w:beforeLines="250" w:beforeAutospacing="0" w:afterLines="150" w:afterAutospacing="0"/>
        <w:ind w:firstLine="600"/>
        <w:jc w:val="center"/>
        <w:outlineLvl w:val="0"/>
        <w:rPr>
          <w:rFonts w:ascii="黑体" w:hAnsi="黑体" w:eastAsia="黑体"/>
          <w:snapToGrid w:val="0"/>
          <w:sz w:val="30"/>
          <w:szCs w:val="30"/>
        </w:rPr>
      </w:pPr>
      <w:bookmarkStart w:id="7" w:name="_Toc25524"/>
      <w:r>
        <w:rPr>
          <w:rFonts w:hint="eastAsia" w:ascii="黑体" w:hAnsi="黑体" w:eastAsia="黑体"/>
          <w:snapToGrid w:val="0"/>
          <w:sz w:val="30"/>
          <w:szCs w:val="30"/>
        </w:rPr>
        <w:t>三、区域环境质量现状、环境保护目标及评价标准</w:t>
      </w:r>
      <w:bookmarkEnd w:id="7"/>
    </w:p>
    <w:tbl>
      <w:tblPr>
        <w:tblStyle w:val="36"/>
        <w:tblW w:w="8521"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43"/>
        <w:gridCol w:w="807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3" w:type="dxa"/>
            <w:vAlign w:val="center"/>
          </w:tcPr>
          <w:p>
            <w:pPr>
              <w:adjustRightInd w:val="0"/>
              <w:snapToGrid w:val="0"/>
              <w:ind w:firstLine="0" w:firstLineChars="0"/>
              <w:jc w:val="center"/>
              <w:rPr>
                <w:kern w:val="0"/>
              </w:rPr>
            </w:pPr>
            <w:r>
              <w:rPr>
                <w:kern w:val="0"/>
              </w:rPr>
              <w:t>区域</w:t>
            </w:r>
          </w:p>
          <w:p>
            <w:pPr>
              <w:adjustRightInd w:val="0"/>
              <w:snapToGrid w:val="0"/>
              <w:ind w:firstLine="0" w:firstLineChars="0"/>
              <w:jc w:val="center"/>
              <w:rPr>
                <w:kern w:val="0"/>
              </w:rPr>
            </w:pPr>
            <w:r>
              <w:rPr>
                <w:kern w:val="0"/>
              </w:rPr>
              <w:t>环境</w:t>
            </w:r>
          </w:p>
          <w:p>
            <w:pPr>
              <w:adjustRightInd w:val="0"/>
              <w:snapToGrid w:val="0"/>
              <w:ind w:firstLine="0" w:firstLineChars="0"/>
              <w:jc w:val="center"/>
              <w:rPr>
                <w:kern w:val="0"/>
              </w:rPr>
            </w:pPr>
            <w:r>
              <w:rPr>
                <w:kern w:val="0"/>
              </w:rPr>
              <w:t>质量</w:t>
            </w:r>
          </w:p>
          <w:p>
            <w:pPr>
              <w:adjustRightInd w:val="0"/>
              <w:snapToGrid w:val="0"/>
              <w:ind w:firstLine="0" w:firstLineChars="0"/>
              <w:jc w:val="center"/>
              <w:rPr>
                <w:kern w:val="0"/>
                <w:szCs w:val="21"/>
              </w:rPr>
            </w:pPr>
            <w:r>
              <w:rPr>
                <w:kern w:val="0"/>
              </w:rPr>
              <w:t>现状</w:t>
            </w:r>
          </w:p>
        </w:tc>
        <w:tc>
          <w:tcPr>
            <w:tcW w:w="8078" w:type="dxa"/>
            <w:vAlign w:val="center"/>
          </w:tcPr>
          <w:p>
            <w:pPr>
              <w:numPr>
                <w:ilvl w:val="0"/>
                <w:numId w:val="6"/>
              </w:numPr>
              <w:adjustRightInd w:val="0"/>
              <w:spacing w:beforeLines="50"/>
              <w:ind w:firstLine="480"/>
            </w:pPr>
            <w:r>
              <w:rPr>
                <w:rFonts w:hint="eastAsia"/>
              </w:rPr>
              <w:t>环境空气质量现状</w:t>
            </w:r>
          </w:p>
          <w:p>
            <w:pPr>
              <w:ind w:firstLine="480"/>
            </w:pPr>
            <w:r>
              <w:rPr>
                <w:rFonts w:hint="eastAsia"/>
              </w:rPr>
              <w:t>（1）</w:t>
            </w:r>
            <w:r>
              <w:t>常规污染物环境质量现状</w:t>
            </w:r>
          </w:p>
          <w:p>
            <w:pPr>
              <w:ind w:firstLine="480"/>
            </w:pPr>
            <w:r>
              <w:t>本项目位于</w:t>
            </w:r>
            <w:r>
              <w:rPr>
                <w:rFonts w:hint="eastAsia"/>
              </w:rPr>
              <w:t>陕西省安康市石泉县</w:t>
            </w:r>
            <w:r>
              <w:t>，根据大气功能区划，本项目所在地为二类功能区，环境空气质量标准执行《环境空气质量标准》（GB3095-2012）及2018修改单二级标准要求。</w:t>
            </w:r>
          </w:p>
          <w:p>
            <w:pPr>
              <w:ind w:firstLine="480"/>
            </w:pPr>
            <w:r>
              <w:t>根据</w:t>
            </w:r>
            <w:r>
              <w:rPr>
                <w:rFonts w:hint="eastAsia"/>
              </w:rPr>
              <w:t>陕西省</w:t>
            </w:r>
            <w:r>
              <w:t>生态环境</w:t>
            </w:r>
            <w:r>
              <w:rPr>
                <w:rFonts w:hint="eastAsia"/>
              </w:rPr>
              <w:t>厅办公室</w:t>
            </w:r>
            <w:r>
              <w:t>发布的</w:t>
            </w:r>
            <w:r>
              <w:rPr>
                <w:rFonts w:hint="eastAsia"/>
              </w:rPr>
              <w:t>环保快报“</w:t>
            </w:r>
            <w:r>
              <w:t>20</w:t>
            </w:r>
            <w:r>
              <w:rPr>
                <w:rFonts w:hint="eastAsia"/>
              </w:rPr>
              <w:t>22</w:t>
            </w:r>
            <w:r>
              <w:t>年12月及1～12月全</w:t>
            </w:r>
            <w:r>
              <w:rPr>
                <w:rFonts w:hint="eastAsia"/>
              </w:rPr>
              <w:t>省</w:t>
            </w:r>
            <w:r>
              <w:t>环境空气质量</w:t>
            </w:r>
            <w:r>
              <w:rPr>
                <w:rFonts w:hint="eastAsia"/>
              </w:rPr>
              <w:t>状况”</w:t>
            </w:r>
            <w:r>
              <w:t>，</w:t>
            </w:r>
            <w:r>
              <w:rPr>
                <w:rFonts w:hint="eastAsia"/>
              </w:rPr>
              <w:t>石泉县</w:t>
            </w:r>
            <w:r>
              <w:t>统计结果如下：</w:t>
            </w:r>
          </w:p>
          <w:p>
            <w:pPr>
              <w:pStyle w:val="85"/>
              <w:rPr>
                <w:color w:val="auto"/>
              </w:rPr>
            </w:pPr>
            <w:r>
              <w:rPr>
                <w:color w:val="auto"/>
              </w:rPr>
              <w:t>表</w:t>
            </w:r>
            <w:r>
              <w:rPr>
                <w:rFonts w:hint="eastAsia"/>
                <w:color w:val="auto"/>
              </w:rPr>
              <w:t>3-1石泉</w:t>
            </w:r>
            <w:r>
              <w:rPr>
                <w:color w:val="auto"/>
              </w:rPr>
              <w:t>县20</w:t>
            </w:r>
            <w:r>
              <w:rPr>
                <w:rFonts w:hint="eastAsia"/>
                <w:color w:val="auto"/>
              </w:rPr>
              <w:t>21</w:t>
            </w:r>
            <w:r>
              <w:rPr>
                <w:color w:val="auto"/>
              </w:rPr>
              <w:t>年</w:t>
            </w:r>
            <w:r>
              <w:rPr>
                <w:rFonts w:hint="eastAsia"/>
                <w:color w:val="auto"/>
              </w:rPr>
              <w:t>1~12月</w:t>
            </w:r>
            <w:r>
              <w:rPr>
                <w:color w:val="auto"/>
              </w:rPr>
              <w:t>空气质量状况统计表</w:t>
            </w:r>
          </w:p>
          <w:tbl>
            <w:tblPr>
              <w:tblStyle w:val="36"/>
              <w:tblW w:w="7834"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78"/>
              <w:gridCol w:w="2602"/>
              <w:gridCol w:w="1340"/>
              <w:gridCol w:w="1119"/>
              <w:gridCol w:w="1000"/>
              <w:gridCol w:w="99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54" w:hRule="atLeast"/>
                <w:jc w:val="center"/>
              </w:trPr>
              <w:tc>
                <w:tcPr>
                  <w:tcW w:w="778" w:type="dxa"/>
                  <w:tcBorders>
                    <w:tl2br w:val="nil"/>
                    <w:tr2bl w:val="nil"/>
                  </w:tcBorders>
                  <w:tcMar>
                    <w:top w:w="0" w:type="dxa"/>
                    <w:left w:w="57" w:type="dxa"/>
                    <w:bottom w:w="0" w:type="dxa"/>
                    <w:right w:w="57" w:type="dxa"/>
                  </w:tcMar>
                  <w:vAlign w:val="center"/>
                </w:tcPr>
                <w:p>
                  <w:pPr>
                    <w:pStyle w:val="84"/>
                    <w:rPr>
                      <w:color w:val="auto"/>
                    </w:rPr>
                  </w:pPr>
                  <w:r>
                    <w:rPr>
                      <w:color w:val="auto"/>
                    </w:rPr>
                    <w:t>污染物</w:t>
                  </w:r>
                </w:p>
              </w:tc>
              <w:tc>
                <w:tcPr>
                  <w:tcW w:w="2602" w:type="dxa"/>
                  <w:tcBorders>
                    <w:tl2br w:val="nil"/>
                    <w:tr2bl w:val="nil"/>
                  </w:tcBorders>
                  <w:tcMar>
                    <w:top w:w="0" w:type="dxa"/>
                    <w:left w:w="57" w:type="dxa"/>
                    <w:bottom w:w="0" w:type="dxa"/>
                    <w:right w:w="57" w:type="dxa"/>
                  </w:tcMar>
                  <w:vAlign w:val="center"/>
                </w:tcPr>
                <w:p>
                  <w:pPr>
                    <w:pStyle w:val="84"/>
                    <w:rPr>
                      <w:color w:val="auto"/>
                    </w:rPr>
                  </w:pPr>
                  <w:r>
                    <w:rPr>
                      <w:color w:val="auto"/>
                    </w:rPr>
                    <w:t>年评价指标</w:t>
                  </w:r>
                </w:p>
              </w:tc>
              <w:tc>
                <w:tcPr>
                  <w:tcW w:w="1340" w:type="dxa"/>
                  <w:tcBorders>
                    <w:tl2br w:val="nil"/>
                    <w:tr2bl w:val="nil"/>
                  </w:tcBorders>
                  <w:tcMar>
                    <w:top w:w="0" w:type="dxa"/>
                    <w:left w:w="57" w:type="dxa"/>
                    <w:bottom w:w="0" w:type="dxa"/>
                    <w:right w:w="57" w:type="dxa"/>
                  </w:tcMar>
                  <w:vAlign w:val="center"/>
                </w:tcPr>
                <w:p>
                  <w:pPr>
                    <w:pStyle w:val="84"/>
                    <w:rPr>
                      <w:color w:val="auto"/>
                    </w:rPr>
                  </w:pPr>
                  <w:r>
                    <w:rPr>
                      <w:color w:val="auto"/>
                    </w:rPr>
                    <w:t>现状浓度µg/m3</w:t>
                  </w:r>
                </w:p>
              </w:tc>
              <w:tc>
                <w:tcPr>
                  <w:tcW w:w="1119" w:type="dxa"/>
                  <w:tcBorders>
                    <w:tl2br w:val="nil"/>
                    <w:tr2bl w:val="nil"/>
                  </w:tcBorders>
                  <w:tcMar>
                    <w:top w:w="0" w:type="dxa"/>
                    <w:left w:w="57" w:type="dxa"/>
                    <w:bottom w:w="0" w:type="dxa"/>
                    <w:right w:w="57" w:type="dxa"/>
                  </w:tcMar>
                  <w:vAlign w:val="center"/>
                </w:tcPr>
                <w:p>
                  <w:pPr>
                    <w:pStyle w:val="84"/>
                    <w:rPr>
                      <w:color w:val="auto"/>
                    </w:rPr>
                  </w:pPr>
                  <w:r>
                    <w:rPr>
                      <w:color w:val="auto"/>
                    </w:rPr>
                    <w:t>标准值µg/m3</w:t>
                  </w:r>
                </w:p>
              </w:tc>
              <w:tc>
                <w:tcPr>
                  <w:tcW w:w="1000" w:type="dxa"/>
                  <w:tcBorders>
                    <w:tl2br w:val="nil"/>
                    <w:tr2bl w:val="nil"/>
                  </w:tcBorders>
                  <w:tcMar>
                    <w:top w:w="0" w:type="dxa"/>
                    <w:left w:w="57" w:type="dxa"/>
                    <w:bottom w:w="0" w:type="dxa"/>
                    <w:right w:w="57" w:type="dxa"/>
                  </w:tcMar>
                  <w:vAlign w:val="center"/>
                </w:tcPr>
                <w:p>
                  <w:pPr>
                    <w:pStyle w:val="84"/>
                    <w:rPr>
                      <w:color w:val="auto"/>
                    </w:rPr>
                  </w:pPr>
                  <w:r>
                    <w:rPr>
                      <w:color w:val="auto"/>
                    </w:rPr>
                    <w:t>占标率/%</w:t>
                  </w:r>
                </w:p>
              </w:tc>
              <w:tc>
                <w:tcPr>
                  <w:tcW w:w="995" w:type="dxa"/>
                  <w:tcBorders>
                    <w:tl2br w:val="nil"/>
                    <w:tr2bl w:val="nil"/>
                  </w:tcBorders>
                  <w:tcMar>
                    <w:top w:w="0" w:type="dxa"/>
                    <w:left w:w="57" w:type="dxa"/>
                    <w:bottom w:w="0" w:type="dxa"/>
                    <w:right w:w="57" w:type="dxa"/>
                  </w:tcMar>
                  <w:vAlign w:val="center"/>
                </w:tcPr>
                <w:p>
                  <w:pPr>
                    <w:pStyle w:val="84"/>
                    <w:rPr>
                      <w:color w:val="auto"/>
                    </w:rPr>
                  </w:pPr>
                  <w:r>
                    <w:rPr>
                      <w:color w:val="auto"/>
                    </w:rPr>
                    <w:t>达标情况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3" w:hRule="atLeast"/>
                <w:jc w:val="center"/>
              </w:trPr>
              <w:tc>
                <w:tcPr>
                  <w:tcW w:w="778" w:type="dxa"/>
                  <w:tcBorders>
                    <w:tl2br w:val="nil"/>
                    <w:tr2bl w:val="nil"/>
                  </w:tcBorders>
                  <w:tcMar>
                    <w:top w:w="0" w:type="dxa"/>
                    <w:left w:w="57" w:type="dxa"/>
                    <w:bottom w:w="0" w:type="dxa"/>
                    <w:right w:w="57" w:type="dxa"/>
                  </w:tcMar>
                  <w:vAlign w:val="center"/>
                </w:tcPr>
                <w:p>
                  <w:pPr>
                    <w:pStyle w:val="84"/>
                    <w:rPr>
                      <w:color w:val="auto"/>
                    </w:rPr>
                  </w:pPr>
                  <w:r>
                    <w:rPr>
                      <w:color w:val="auto"/>
                    </w:rPr>
                    <w:t>SO</w:t>
                  </w:r>
                  <w:r>
                    <w:rPr>
                      <w:color w:val="auto"/>
                      <w:vertAlign w:val="subscript"/>
                    </w:rPr>
                    <w:t>2</w:t>
                  </w:r>
                </w:p>
              </w:tc>
              <w:tc>
                <w:tcPr>
                  <w:tcW w:w="2602" w:type="dxa"/>
                  <w:tcBorders>
                    <w:tl2br w:val="nil"/>
                    <w:tr2bl w:val="nil"/>
                  </w:tcBorders>
                  <w:tcMar>
                    <w:top w:w="0" w:type="dxa"/>
                    <w:left w:w="57" w:type="dxa"/>
                    <w:bottom w:w="0" w:type="dxa"/>
                    <w:right w:w="57" w:type="dxa"/>
                  </w:tcMar>
                  <w:vAlign w:val="center"/>
                </w:tcPr>
                <w:p>
                  <w:pPr>
                    <w:pStyle w:val="84"/>
                    <w:rPr>
                      <w:color w:val="auto"/>
                    </w:rPr>
                  </w:pPr>
                  <w:r>
                    <w:rPr>
                      <w:color w:val="auto"/>
                    </w:rPr>
                    <w:t>年平均质量浓度</w:t>
                  </w:r>
                </w:p>
              </w:tc>
              <w:tc>
                <w:tcPr>
                  <w:tcW w:w="1340" w:type="dxa"/>
                  <w:tcBorders>
                    <w:tl2br w:val="nil"/>
                    <w:tr2bl w:val="nil"/>
                  </w:tcBorders>
                  <w:tcMar>
                    <w:top w:w="0" w:type="dxa"/>
                    <w:left w:w="57" w:type="dxa"/>
                    <w:bottom w:w="0" w:type="dxa"/>
                    <w:right w:w="57" w:type="dxa"/>
                  </w:tcMar>
                  <w:vAlign w:val="center"/>
                </w:tcPr>
                <w:p>
                  <w:pPr>
                    <w:pStyle w:val="84"/>
                    <w:rPr>
                      <w:color w:val="auto"/>
                    </w:rPr>
                  </w:pPr>
                  <w:r>
                    <w:rPr>
                      <w:rFonts w:hint="eastAsia"/>
                      <w:color w:val="auto"/>
                    </w:rPr>
                    <w:t>6</w:t>
                  </w:r>
                </w:p>
              </w:tc>
              <w:tc>
                <w:tcPr>
                  <w:tcW w:w="1119" w:type="dxa"/>
                  <w:tcBorders>
                    <w:tl2br w:val="nil"/>
                    <w:tr2bl w:val="nil"/>
                  </w:tcBorders>
                  <w:tcMar>
                    <w:top w:w="0" w:type="dxa"/>
                    <w:left w:w="57" w:type="dxa"/>
                    <w:bottom w:w="0" w:type="dxa"/>
                    <w:right w:w="57" w:type="dxa"/>
                  </w:tcMar>
                  <w:vAlign w:val="center"/>
                </w:tcPr>
                <w:p>
                  <w:pPr>
                    <w:pStyle w:val="84"/>
                    <w:rPr>
                      <w:color w:val="auto"/>
                    </w:rPr>
                  </w:pPr>
                  <w:r>
                    <w:rPr>
                      <w:color w:val="auto"/>
                    </w:rPr>
                    <w:t>60</w:t>
                  </w:r>
                </w:p>
              </w:tc>
              <w:tc>
                <w:tcPr>
                  <w:tcW w:w="1000" w:type="dxa"/>
                  <w:tcBorders>
                    <w:tl2br w:val="nil"/>
                    <w:tr2bl w:val="nil"/>
                  </w:tcBorders>
                  <w:tcMar>
                    <w:top w:w="0" w:type="dxa"/>
                    <w:left w:w="57" w:type="dxa"/>
                    <w:bottom w:w="0" w:type="dxa"/>
                    <w:right w:w="57" w:type="dxa"/>
                  </w:tcMar>
                  <w:vAlign w:val="center"/>
                </w:tcPr>
                <w:p>
                  <w:pPr>
                    <w:pStyle w:val="84"/>
                    <w:rPr>
                      <w:color w:val="auto"/>
                    </w:rPr>
                  </w:pPr>
                  <w:r>
                    <w:rPr>
                      <w:rFonts w:hint="eastAsia"/>
                      <w:color w:val="auto"/>
                    </w:rPr>
                    <w:t>10</w:t>
                  </w:r>
                </w:p>
              </w:tc>
              <w:tc>
                <w:tcPr>
                  <w:tcW w:w="995" w:type="dxa"/>
                  <w:tcBorders>
                    <w:tl2br w:val="nil"/>
                    <w:tr2bl w:val="nil"/>
                  </w:tcBorders>
                  <w:tcMar>
                    <w:top w:w="0" w:type="dxa"/>
                    <w:left w:w="57" w:type="dxa"/>
                    <w:bottom w:w="0" w:type="dxa"/>
                    <w:right w:w="57" w:type="dxa"/>
                  </w:tcMar>
                  <w:vAlign w:val="center"/>
                </w:tcPr>
                <w:p>
                  <w:pPr>
                    <w:pStyle w:val="84"/>
                    <w:rPr>
                      <w:color w:val="auto"/>
                    </w:rPr>
                  </w:pPr>
                  <w:r>
                    <w:rPr>
                      <w:color w:val="auto"/>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3" w:hRule="atLeast"/>
                <w:jc w:val="center"/>
              </w:trPr>
              <w:tc>
                <w:tcPr>
                  <w:tcW w:w="778" w:type="dxa"/>
                  <w:tcBorders>
                    <w:tl2br w:val="nil"/>
                    <w:tr2bl w:val="nil"/>
                  </w:tcBorders>
                  <w:tcMar>
                    <w:top w:w="0" w:type="dxa"/>
                    <w:left w:w="57" w:type="dxa"/>
                    <w:bottom w:w="0" w:type="dxa"/>
                    <w:right w:w="57" w:type="dxa"/>
                  </w:tcMar>
                  <w:vAlign w:val="center"/>
                </w:tcPr>
                <w:p>
                  <w:pPr>
                    <w:pStyle w:val="84"/>
                    <w:rPr>
                      <w:color w:val="auto"/>
                    </w:rPr>
                  </w:pPr>
                  <w:r>
                    <w:rPr>
                      <w:color w:val="auto"/>
                    </w:rPr>
                    <w:t>NO</w:t>
                  </w:r>
                  <w:r>
                    <w:rPr>
                      <w:color w:val="auto"/>
                      <w:vertAlign w:val="subscript"/>
                    </w:rPr>
                    <w:t>2</w:t>
                  </w:r>
                </w:p>
              </w:tc>
              <w:tc>
                <w:tcPr>
                  <w:tcW w:w="2602" w:type="dxa"/>
                  <w:tcBorders>
                    <w:tl2br w:val="nil"/>
                    <w:tr2bl w:val="nil"/>
                  </w:tcBorders>
                  <w:tcMar>
                    <w:top w:w="0" w:type="dxa"/>
                    <w:left w:w="57" w:type="dxa"/>
                    <w:bottom w:w="0" w:type="dxa"/>
                    <w:right w:w="57" w:type="dxa"/>
                  </w:tcMar>
                  <w:vAlign w:val="center"/>
                </w:tcPr>
                <w:p>
                  <w:pPr>
                    <w:pStyle w:val="84"/>
                    <w:rPr>
                      <w:color w:val="auto"/>
                    </w:rPr>
                  </w:pPr>
                  <w:r>
                    <w:rPr>
                      <w:color w:val="auto"/>
                    </w:rPr>
                    <w:t>年平均质量浓度</w:t>
                  </w:r>
                </w:p>
              </w:tc>
              <w:tc>
                <w:tcPr>
                  <w:tcW w:w="1340" w:type="dxa"/>
                  <w:tcBorders>
                    <w:tl2br w:val="nil"/>
                    <w:tr2bl w:val="nil"/>
                  </w:tcBorders>
                  <w:tcMar>
                    <w:top w:w="0" w:type="dxa"/>
                    <w:left w:w="57" w:type="dxa"/>
                    <w:bottom w:w="0" w:type="dxa"/>
                    <w:right w:w="57" w:type="dxa"/>
                  </w:tcMar>
                  <w:vAlign w:val="center"/>
                </w:tcPr>
                <w:p>
                  <w:pPr>
                    <w:pStyle w:val="84"/>
                    <w:rPr>
                      <w:color w:val="auto"/>
                    </w:rPr>
                  </w:pPr>
                  <w:r>
                    <w:rPr>
                      <w:rFonts w:hint="eastAsia"/>
                      <w:color w:val="auto"/>
                    </w:rPr>
                    <w:t>11</w:t>
                  </w:r>
                </w:p>
              </w:tc>
              <w:tc>
                <w:tcPr>
                  <w:tcW w:w="1119" w:type="dxa"/>
                  <w:tcBorders>
                    <w:tl2br w:val="nil"/>
                    <w:tr2bl w:val="nil"/>
                  </w:tcBorders>
                  <w:tcMar>
                    <w:top w:w="0" w:type="dxa"/>
                    <w:left w:w="57" w:type="dxa"/>
                    <w:bottom w:w="0" w:type="dxa"/>
                    <w:right w:w="57" w:type="dxa"/>
                  </w:tcMar>
                  <w:vAlign w:val="center"/>
                </w:tcPr>
                <w:p>
                  <w:pPr>
                    <w:pStyle w:val="84"/>
                    <w:rPr>
                      <w:color w:val="auto"/>
                    </w:rPr>
                  </w:pPr>
                  <w:r>
                    <w:rPr>
                      <w:color w:val="auto"/>
                    </w:rPr>
                    <w:t>40</w:t>
                  </w:r>
                </w:p>
              </w:tc>
              <w:tc>
                <w:tcPr>
                  <w:tcW w:w="1000" w:type="dxa"/>
                  <w:tcBorders>
                    <w:tl2br w:val="nil"/>
                    <w:tr2bl w:val="nil"/>
                  </w:tcBorders>
                  <w:tcMar>
                    <w:top w:w="0" w:type="dxa"/>
                    <w:left w:w="57" w:type="dxa"/>
                    <w:bottom w:w="0" w:type="dxa"/>
                    <w:right w:w="57" w:type="dxa"/>
                  </w:tcMar>
                  <w:vAlign w:val="center"/>
                </w:tcPr>
                <w:p>
                  <w:pPr>
                    <w:pStyle w:val="84"/>
                    <w:rPr>
                      <w:color w:val="auto"/>
                    </w:rPr>
                  </w:pPr>
                  <w:r>
                    <w:rPr>
                      <w:rFonts w:hint="eastAsia"/>
                      <w:color w:val="auto"/>
                    </w:rPr>
                    <w:t>27.5</w:t>
                  </w:r>
                </w:p>
              </w:tc>
              <w:tc>
                <w:tcPr>
                  <w:tcW w:w="995" w:type="dxa"/>
                  <w:tcBorders>
                    <w:tl2br w:val="nil"/>
                    <w:tr2bl w:val="nil"/>
                  </w:tcBorders>
                  <w:tcMar>
                    <w:top w:w="0" w:type="dxa"/>
                    <w:left w:w="57" w:type="dxa"/>
                    <w:bottom w:w="0" w:type="dxa"/>
                    <w:right w:w="57" w:type="dxa"/>
                  </w:tcMar>
                  <w:vAlign w:val="center"/>
                </w:tcPr>
                <w:p>
                  <w:pPr>
                    <w:pStyle w:val="84"/>
                    <w:rPr>
                      <w:color w:val="auto"/>
                    </w:rPr>
                  </w:pPr>
                  <w:r>
                    <w:rPr>
                      <w:color w:val="auto"/>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35" w:hRule="atLeast"/>
                <w:jc w:val="center"/>
              </w:trPr>
              <w:tc>
                <w:tcPr>
                  <w:tcW w:w="778" w:type="dxa"/>
                  <w:tcBorders>
                    <w:tl2br w:val="nil"/>
                    <w:tr2bl w:val="nil"/>
                  </w:tcBorders>
                  <w:tcMar>
                    <w:top w:w="0" w:type="dxa"/>
                    <w:left w:w="57" w:type="dxa"/>
                    <w:bottom w:w="0" w:type="dxa"/>
                    <w:right w:w="57" w:type="dxa"/>
                  </w:tcMar>
                  <w:vAlign w:val="center"/>
                </w:tcPr>
                <w:p>
                  <w:pPr>
                    <w:pStyle w:val="84"/>
                    <w:rPr>
                      <w:color w:val="auto"/>
                    </w:rPr>
                  </w:pPr>
                  <w:r>
                    <w:rPr>
                      <w:color w:val="auto"/>
                    </w:rPr>
                    <w:t>PM</w:t>
                  </w:r>
                  <w:r>
                    <w:rPr>
                      <w:color w:val="auto"/>
                      <w:vertAlign w:val="subscript"/>
                    </w:rPr>
                    <w:t>10</w:t>
                  </w:r>
                </w:p>
              </w:tc>
              <w:tc>
                <w:tcPr>
                  <w:tcW w:w="2602" w:type="dxa"/>
                  <w:tcBorders>
                    <w:tl2br w:val="nil"/>
                    <w:tr2bl w:val="nil"/>
                  </w:tcBorders>
                  <w:tcMar>
                    <w:top w:w="0" w:type="dxa"/>
                    <w:left w:w="57" w:type="dxa"/>
                    <w:bottom w:w="0" w:type="dxa"/>
                    <w:right w:w="57" w:type="dxa"/>
                  </w:tcMar>
                  <w:vAlign w:val="center"/>
                </w:tcPr>
                <w:p>
                  <w:pPr>
                    <w:pStyle w:val="84"/>
                    <w:rPr>
                      <w:color w:val="auto"/>
                    </w:rPr>
                  </w:pPr>
                  <w:r>
                    <w:rPr>
                      <w:color w:val="auto"/>
                    </w:rPr>
                    <w:t>年平均质量浓度</w:t>
                  </w:r>
                </w:p>
              </w:tc>
              <w:tc>
                <w:tcPr>
                  <w:tcW w:w="1340" w:type="dxa"/>
                  <w:tcBorders>
                    <w:tl2br w:val="nil"/>
                    <w:tr2bl w:val="nil"/>
                  </w:tcBorders>
                  <w:tcMar>
                    <w:top w:w="0" w:type="dxa"/>
                    <w:left w:w="57" w:type="dxa"/>
                    <w:bottom w:w="0" w:type="dxa"/>
                    <w:right w:w="57" w:type="dxa"/>
                  </w:tcMar>
                  <w:vAlign w:val="center"/>
                </w:tcPr>
                <w:p>
                  <w:pPr>
                    <w:pStyle w:val="84"/>
                    <w:rPr>
                      <w:color w:val="auto"/>
                    </w:rPr>
                  </w:pPr>
                  <w:r>
                    <w:rPr>
                      <w:rFonts w:hint="eastAsia"/>
                      <w:color w:val="auto"/>
                    </w:rPr>
                    <w:t>36</w:t>
                  </w:r>
                </w:p>
              </w:tc>
              <w:tc>
                <w:tcPr>
                  <w:tcW w:w="1119" w:type="dxa"/>
                  <w:tcBorders>
                    <w:tl2br w:val="nil"/>
                    <w:tr2bl w:val="nil"/>
                  </w:tcBorders>
                  <w:tcMar>
                    <w:top w:w="0" w:type="dxa"/>
                    <w:left w:w="57" w:type="dxa"/>
                    <w:bottom w:w="0" w:type="dxa"/>
                    <w:right w:w="57" w:type="dxa"/>
                  </w:tcMar>
                  <w:vAlign w:val="center"/>
                </w:tcPr>
                <w:p>
                  <w:pPr>
                    <w:pStyle w:val="84"/>
                    <w:rPr>
                      <w:color w:val="auto"/>
                    </w:rPr>
                  </w:pPr>
                  <w:r>
                    <w:rPr>
                      <w:color w:val="auto"/>
                    </w:rPr>
                    <w:t>70</w:t>
                  </w:r>
                </w:p>
              </w:tc>
              <w:tc>
                <w:tcPr>
                  <w:tcW w:w="1000" w:type="dxa"/>
                  <w:tcBorders>
                    <w:tl2br w:val="nil"/>
                    <w:tr2bl w:val="nil"/>
                  </w:tcBorders>
                  <w:tcMar>
                    <w:top w:w="0" w:type="dxa"/>
                    <w:left w:w="57" w:type="dxa"/>
                    <w:bottom w:w="0" w:type="dxa"/>
                    <w:right w:w="57" w:type="dxa"/>
                  </w:tcMar>
                  <w:vAlign w:val="center"/>
                </w:tcPr>
                <w:p>
                  <w:pPr>
                    <w:pStyle w:val="84"/>
                    <w:rPr>
                      <w:color w:val="auto"/>
                    </w:rPr>
                  </w:pPr>
                  <w:r>
                    <w:rPr>
                      <w:rFonts w:hint="eastAsia"/>
                      <w:color w:val="auto"/>
                    </w:rPr>
                    <w:t>51.43</w:t>
                  </w:r>
                </w:p>
              </w:tc>
              <w:tc>
                <w:tcPr>
                  <w:tcW w:w="995" w:type="dxa"/>
                  <w:tcBorders>
                    <w:tl2br w:val="nil"/>
                    <w:tr2bl w:val="nil"/>
                  </w:tcBorders>
                  <w:tcMar>
                    <w:top w:w="0" w:type="dxa"/>
                    <w:left w:w="57" w:type="dxa"/>
                    <w:bottom w:w="0" w:type="dxa"/>
                    <w:right w:w="57" w:type="dxa"/>
                  </w:tcMar>
                  <w:vAlign w:val="center"/>
                </w:tcPr>
                <w:p>
                  <w:pPr>
                    <w:pStyle w:val="84"/>
                    <w:rPr>
                      <w:color w:val="auto"/>
                    </w:rPr>
                  </w:pPr>
                  <w:r>
                    <w:rPr>
                      <w:color w:val="auto"/>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3" w:hRule="atLeast"/>
                <w:jc w:val="center"/>
              </w:trPr>
              <w:tc>
                <w:tcPr>
                  <w:tcW w:w="778" w:type="dxa"/>
                  <w:tcBorders>
                    <w:tl2br w:val="nil"/>
                    <w:tr2bl w:val="nil"/>
                  </w:tcBorders>
                  <w:tcMar>
                    <w:top w:w="0" w:type="dxa"/>
                    <w:left w:w="57" w:type="dxa"/>
                    <w:bottom w:w="0" w:type="dxa"/>
                    <w:right w:w="57" w:type="dxa"/>
                  </w:tcMar>
                  <w:vAlign w:val="center"/>
                </w:tcPr>
                <w:p>
                  <w:pPr>
                    <w:pStyle w:val="84"/>
                    <w:rPr>
                      <w:color w:val="auto"/>
                    </w:rPr>
                  </w:pPr>
                  <w:r>
                    <w:rPr>
                      <w:color w:val="auto"/>
                    </w:rPr>
                    <w:t>PM</w:t>
                  </w:r>
                  <w:r>
                    <w:rPr>
                      <w:color w:val="auto"/>
                      <w:vertAlign w:val="subscript"/>
                    </w:rPr>
                    <w:t>2.5</w:t>
                  </w:r>
                </w:p>
              </w:tc>
              <w:tc>
                <w:tcPr>
                  <w:tcW w:w="2602" w:type="dxa"/>
                  <w:tcBorders>
                    <w:tl2br w:val="nil"/>
                    <w:tr2bl w:val="nil"/>
                  </w:tcBorders>
                  <w:tcMar>
                    <w:top w:w="0" w:type="dxa"/>
                    <w:left w:w="57" w:type="dxa"/>
                    <w:bottom w:w="0" w:type="dxa"/>
                    <w:right w:w="57" w:type="dxa"/>
                  </w:tcMar>
                  <w:vAlign w:val="center"/>
                </w:tcPr>
                <w:p>
                  <w:pPr>
                    <w:pStyle w:val="84"/>
                    <w:rPr>
                      <w:color w:val="auto"/>
                    </w:rPr>
                  </w:pPr>
                  <w:r>
                    <w:rPr>
                      <w:color w:val="auto"/>
                    </w:rPr>
                    <w:t>年平均质量浓度</w:t>
                  </w:r>
                </w:p>
              </w:tc>
              <w:tc>
                <w:tcPr>
                  <w:tcW w:w="1340" w:type="dxa"/>
                  <w:tcBorders>
                    <w:tl2br w:val="nil"/>
                    <w:tr2bl w:val="nil"/>
                  </w:tcBorders>
                  <w:tcMar>
                    <w:top w:w="0" w:type="dxa"/>
                    <w:left w:w="57" w:type="dxa"/>
                    <w:bottom w:w="0" w:type="dxa"/>
                    <w:right w:w="57" w:type="dxa"/>
                  </w:tcMar>
                  <w:vAlign w:val="center"/>
                </w:tcPr>
                <w:p>
                  <w:pPr>
                    <w:pStyle w:val="84"/>
                    <w:rPr>
                      <w:color w:val="auto"/>
                    </w:rPr>
                  </w:pPr>
                  <w:r>
                    <w:rPr>
                      <w:rFonts w:hint="eastAsia"/>
                      <w:color w:val="auto"/>
                    </w:rPr>
                    <w:t>24</w:t>
                  </w:r>
                </w:p>
              </w:tc>
              <w:tc>
                <w:tcPr>
                  <w:tcW w:w="1119" w:type="dxa"/>
                  <w:tcBorders>
                    <w:tl2br w:val="nil"/>
                    <w:tr2bl w:val="nil"/>
                  </w:tcBorders>
                  <w:tcMar>
                    <w:top w:w="0" w:type="dxa"/>
                    <w:left w:w="57" w:type="dxa"/>
                    <w:bottom w:w="0" w:type="dxa"/>
                    <w:right w:w="57" w:type="dxa"/>
                  </w:tcMar>
                  <w:vAlign w:val="center"/>
                </w:tcPr>
                <w:p>
                  <w:pPr>
                    <w:pStyle w:val="84"/>
                    <w:rPr>
                      <w:color w:val="auto"/>
                    </w:rPr>
                  </w:pPr>
                  <w:r>
                    <w:rPr>
                      <w:color w:val="auto"/>
                    </w:rPr>
                    <w:t>35</w:t>
                  </w:r>
                </w:p>
              </w:tc>
              <w:tc>
                <w:tcPr>
                  <w:tcW w:w="1000" w:type="dxa"/>
                  <w:tcBorders>
                    <w:tl2br w:val="nil"/>
                    <w:tr2bl w:val="nil"/>
                  </w:tcBorders>
                  <w:tcMar>
                    <w:top w:w="0" w:type="dxa"/>
                    <w:left w:w="57" w:type="dxa"/>
                    <w:bottom w:w="0" w:type="dxa"/>
                    <w:right w:w="57" w:type="dxa"/>
                  </w:tcMar>
                  <w:vAlign w:val="center"/>
                </w:tcPr>
                <w:p>
                  <w:pPr>
                    <w:pStyle w:val="84"/>
                    <w:rPr>
                      <w:color w:val="auto"/>
                    </w:rPr>
                  </w:pPr>
                  <w:r>
                    <w:rPr>
                      <w:rFonts w:hint="eastAsia"/>
                      <w:color w:val="auto"/>
                    </w:rPr>
                    <w:t>68.57</w:t>
                  </w:r>
                </w:p>
              </w:tc>
              <w:tc>
                <w:tcPr>
                  <w:tcW w:w="995" w:type="dxa"/>
                  <w:tcBorders>
                    <w:tl2br w:val="nil"/>
                    <w:tr2bl w:val="nil"/>
                  </w:tcBorders>
                  <w:tcMar>
                    <w:top w:w="0" w:type="dxa"/>
                    <w:left w:w="57" w:type="dxa"/>
                    <w:bottom w:w="0" w:type="dxa"/>
                    <w:right w:w="57" w:type="dxa"/>
                  </w:tcMar>
                  <w:vAlign w:val="center"/>
                </w:tcPr>
                <w:p>
                  <w:pPr>
                    <w:pStyle w:val="84"/>
                    <w:rPr>
                      <w:color w:val="auto"/>
                    </w:rPr>
                  </w:pPr>
                  <w:r>
                    <w:rPr>
                      <w:color w:val="auto"/>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3" w:hRule="atLeast"/>
                <w:jc w:val="center"/>
              </w:trPr>
              <w:tc>
                <w:tcPr>
                  <w:tcW w:w="778" w:type="dxa"/>
                  <w:tcBorders>
                    <w:tl2br w:val="nil"/>
                    <w:tr2bl w:val="nil"/>
                  </w:tcBorders>
                  <w:tcMar>
                    <w:top w:w="0" w:type="dxa"/>
                    <w:left w:w="57" w:type="dxa"/>
                    <w:bottom w:w="0" w:type="dxa"/>
                    <w:right w:w="57" w:type="dxa"/>
                  </w:tcMar>
                  <w:vAlign w:val="center"/>
                </w:tcPr>
                <w:p>
                  <w:pPr>
                    <w:pStyle w:val="84"/>
                    <w:rPr>
                      <w:color w:val="auto"/>
                    </w:rPr>
                  </w:pPr>
                  <w:r>
                    <w:rPr>
                      <w:color w:val="auto"/>
                    </w:rPr>
                    <w:t>CO</w:t>
                  </w:r>
                </w:p>
              </w:tc>
              <w:tc>
                <w:tcPr>
                  <w:tcW w:w="2602" w:type="dxa"/>
                  <w:tcBorders>
                    <w:tl2br w:val="nil"/>
                    <w:tr2bl w:val="nil"/>
                  </w:tcBorders>
                  <w:tcMar>
                    <w:top w:w="0" w:type="dxa"/>
                    <w:left w:w="57" w:type="dxa"/>
                    <w:bottom w:w="0" w:type="dxa"/>
                    <w:right w:w="57" w:type="dxa"/>
                  </w:tcMar>
                  <w:vAlign w:val="center"/>
                </w:tcPr>
                <w:p>
                  <w:pPr>
                    <w:pStyle w:val="84"/>
                    <w:rPr>
                      <w:color w:val="auto"/>
                    </w:rPr>
                  </w:pPr>
                  <w:r>
                    <w:rPr>
                      <w:color w:val="auto"/>
                    </w:rPr>
                    <w:t>第95百分位日平均质量浓度</w:t>
                  </w:r>
                </w:p>
              </w:tc>
              <w:tc>
                <w:tcPr>
                  <w:tcW w:w="1340" w:type="dxa"/>
                  <w:tcBorders>
                    <w:tl2br w:val="nil"/>
                    <w:tr2bl w:val="nil"/>
                  </w:tcBorders>
                  <w:tcMar>
                    <w:top w:w="0" w:type="dxa"/>
                    <w:left w:w="57" w:type="dxa"/>
                    <w:bottom w:w="0" w:type="dxa"/>
                    <w:right w:w="57" w:type="dxa"/>
                  </w:tcMar>
                  <w:vAlign w:val="center"/>
                </w:tcPr>
                <w:p>
                  <w:pPr>
                    <w:pStyle w:val="84"/>
                    <w:rPr>
                      <w:color w:val="auto"/>
                    </w:rPr>
                  </w:pPr>
                  <w:r>
                    <w:rPr>
                      <w:rFonts w:hint="eastAsia"/>
                      <w:color w:val="auto"/>
                    </w:rPr>
                    <w:t>1200</w:t>
                  </w:r>
                </w:p>
              </w:tc>
              <w:tc>
                <w:tcPr>
                  <w:tcW w:w="1119" w:type="dxa"/>
                  <w:tcBorders>
                    <w:tl2br w:val="nil"/>
                    <w:tr2bl w:val="nil"/>
                  </w:tcBorders>
                  <w:tcMar>
                    <w:top w:w="0" w:type="dxa"/>
                    <w:left w:w="57" w:type="dxa"/>
                    <w:bottom w:w="0" w:type="dxa"/>
                    <w:right w:w="57" w:type="dxa"/>
                  </w:tcMar>
                  <w:vAlign w:val="center"/>
                </w:tcPr>
                <w:p>
                  <w:pPr>
                    <w:pStyle w:val="84"/>
                    <w:rPr>
                      <w:color w:val="auto"/>
                    </w:rPr>
                  </w:pPr>
                  <w:r>
                    <w:rPr>
                      <w:color w:val="auto"/>
                    </w:rPr>
                    <w:t>4000</w:t>
                  </w:r>
                </w:p>
              </w:tc>
              <w:tc>
                <w:tcPr>
                  <w:tcW w:w="1000" w:type="dxa"/>
                  <w:tcBorders>
                    <w:tl2br w:val="nil"/>
                    <w:tr2bl w:val="nil"/>
                  </w:tcBorders>
                  <w:tcMar>
                    <w:top w:w="0" w:type="dxa"/>
                    <w:left w:w="57" w:type="dxa"/>
                    <w:bottom w:w="0" w:type="dxa"/>
                    <w:right w:w="57" w:type="dxa"/>
                  </w:tcMar>
                  <w:vAlign w:val="center"/>
                </w:tcPr>
                <w:p>
                  <w:pPr>
                    <w:pStyle w:val="84"/>
                    <w:rPr>
                      <w:color w:val="auto"/>
                    </w:rPr>
                  </w:pPr>
                  <w:r>
                    <w:rPr>
                      <w:rFonts w:hint="eastAsia"/>
                      <w:color w:val="auto"/>
                    </w:rPr>
                    <w:t>30.00</w:t>
                  </w:r>
                </w:p>
              </w:tc>
              <w:tc>
                <w:tcPr>
                  <w:tcW w:w="995" w:type="dxa"/>
                  <w:tcBorders>
                    <w:tl2br w:val="nil"/>
                    <w:tr2bl w:val="nil"/>
                  </w:tcBorders>
                  <w:tcMar>
                    <w:top w:w="0" w:type="dxa"/>
                    <w:left w:w="57" w:type="dxa"/>
                    <w:bottom w:w="0" w:type="dxa"/>
                    <w:right w:w="57" w:type="dxa"/>
                  </w:tcMar>
                  <w:vAlign w:val="center"/>
                </w:tcPr>
                <w:p>
                  <w:pPr>
                    <w:pStyle w:val="84"/>
                    <w:rPr>
                      <w:color w:val="auto"/>
                    </w:rPr>
                  </w:pPr>
                  <w:r>
                    <w:rPr>
                      <w:color w:val="auto"/>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3" w:hRule="atLeast"/>
                <w:jc w:val="center"/>
              </w:trPr>
              <w:tc>
                <w:tcPr>
                  <w:tcW w:w="778" w:type="dxa"/>
                  <w:tcBorders>
                    <w:tl2br w:val="nil"/>
                    <w:tr2bl w:val="nil"/>
                  </w:tcBorders>
                  <w:tcMar>
                    <w:top w:w="0" w:type="dxa"/>
                    <w:left w:w="57" w:type="dxa"/>
                    <w:bottom w:w="0" w:type="dxa"/>
                    <w:right w:w="57" w:type="dxa"/>
                  </w:tcMar>
                  <w:vAlign w:val="center"/>
                </w:tcPr>
                <w:p>
                  <w:pPr>
                    <w:pStyle w:val="84"/>
                    <w:rPr>
                      <w:color w:val="auto"/>
                    </w:rPr>
                  </w:pPr>
                  <w:r>
                    <w:rPr>
                      <w:color w:val="auto"/>
                    </w:rPr>
                    <w:t>O</w:t>
                  </w:r>
                  <w:r>
                    <w:rPr>
                      <w:color w:val="auto"/>
                      <w:vertAlign w:val="subscript"/>
                    </w:rPr>
                    <w:t>3</w:t>
                  </w:r>
                </w:p>
              </w:tc>
              <w:tc>
                <w:tcPr>
                  <w:tcW w:w="2602" w:type="dxa"/>
                  <w:tcBorders>
                    <w:tl2br w:val="nil"/>
                    <w:tr2bl w:val="nil"/>
                  </w:tcBorders>
                  <w:tcMar>
                    <w:top w:w="0" w:type="dxa"/>
                    <w:left w:w="57" w:type="dxa"/>
                    <w:bottom w:w="0" w:type="dxa"/>
                    <w:right w:w="57" w:type="dxa"/>
                  </w:tcMar>
                  <w:vAlign w:val="center"/>
                </w:tcPr>
                <w:p>
                  <w:pPr>
                    <w:pStyle w:val="84"/>
                    <w:rPr>
                      <w:color w:val="auto"/>
                    </w:rPr>
                  </w:pPr>
                  <w:r>
                    <w:rPr>
                      <w:color w:val="auto"/>
                    </w:rPr>
                    <w:t>第90百分位8h平均质量浓度</w:t>
                  </w:r>
                </w:p>
              </w:tc>
              <w:tc>
                <w:tcPr>
                  <w:tcW w:w="1340" w:type="dxa"/>
                  <w:tcBorders>
                    <w:tl2br w:val="nil"/>
                    <w:tr2bl w:val="nil"/>
                  </w:tcBorders>
                  <w:tcMar>
                    <w:top w:w="0" w:type="dxa"/>
                    <w:left w:w="57" w:type="dxa"/>
                    <w:bottom w:w="0" w:type="dxa"/>
                    <w:right w:w="57" w:type="dxa"/>
                  </w:tcMar>
                  <w:vAlign w:val="center"/>
                </w:tcPr>
                <w:p>
                  <w:pPr>
                    <w:pStyle w:val="84"/>
                    <w:rPr>
                      <w:color w:val="auto"/>
                    </w:rPr>
                  </w:pPr>
                  <w:r>
                    <w:rPr>
                      <w:rFonts w:hint="eastAsia"/>
                      <w:color w:val="auto"/>
                    </w:rPr>
                    <w:t>115</w:t>
                  </w:r>
                </w:p>
              </w:tc>
              <w:tc>
                <w:tcPr>
                  <w:tcW w:w="1119" w:type="dxa"/>
                  <w:tcBorders>
                    <w:tl2br w:val="nil"/>
                    <w:tr2bl w:val="nil"/>
                  </w:tcBorders>
                  <w:tcMar>
                    <w:top w:w="0" w:type="dxa"/>
                    <w:left w:w="57" w:type="dxa"/>
                    <w:bottom w:w="0" w:type="dxa"/>
                    <w:right w:w="57" w:type="dxa"/>
                  </w:tcMar>
                  <w:vAlign w:val="center"/>
                </w:tcPr>
                <w:p>
                  <w:pPr>
                    <w:pStyle w:val="84"/>
                    <w:rPr>
                      <w:color w:val="auto"/>
                    </w:rPr>
                  </w:pPr>
                  <w:r>
                    <w:rPr>
                      <w:color w:val="auto"/>
                    </w:rPr>
                    <w:t>160</w:t>
                  </w:r>
                </w:p>
              </w:tc>
              <w:tc>
                <w:tcPr>
                  <w:tcW w:w="1000" w:type="dxa"/>
                  <w:tcBorders>
                    <w:tl2br w:val="nil"/>
                    <w:tr2bl w:val="nil"/>
                  </w:tcBorders>
                  <w:tcMar>
                    <w:top w:w="0" w:type="dxa"/>
                    <w:left w:w="57" w:type="dxa"/>
                    <w:bottom w:w="0" w:type="dxa"/>
                    <w:right w:w="57" w:type="dxa"/>
                  </w:tcMar>
                  <w:vAlign w:val="center"/>
                </w:tcPr>
                <w:p>
                  <w:pPr>
                    <w:pStyle w:val="84"/>
                    <w:rPr>
                      <w:color w:val="auto"/>
                    </w:rPr>
                  </w:pPr>
                  <w:r>
                    <w:rPr>
                      <w:rFonts w:hint="eastAsia"/>
                      <w:color w:val="auto"/>
                    </w:rPr>
                    <w:t>71.88</w:t>
                  </w:r>
                </w:p>
              </w:tc>
              <w:tc>
                <w:tcPr>
                  <w:tcW w:w="995" w:type="dxa"/>
                  <w:tcBorders>
                    <w:tl2br w:val="nil"/>
                    <w:tr2bl w:val="nil"/>
                  </w:tcBorders>
                  <w:tcMar>
                    <w:top w:w="0" w:type="dxa"/>
                    <w:left w:w="57" w:type="dxa"/>
                    <w:bottom w:w="0" w:type="dxa"/>
                    <w:right w:w="57" w:type="dxa"/>
                  </w:tcMar>
                  <w:vAlign w:val="center"/>
                </w:tcPr>
                <w:p>
                  <w:pPr>
                    <w:pStyle w:val="84"/>
                    <w:rPr>
                      <w:color w:val="auto"/>
                    </w:rPr>
                  </w:pPr>
                  <w:r>
                    <w:rPr>
                      <w:color w:val="auto"/>
                    </w:rPr>
                    <w:t>达标</w:t>
                  </w:r>
                </w:p>
              </w:tc>
            </w:tr>
          </w:tbl>
          <w:p>
            <w:pPr>
              <w:ind w:firstLine="480"/>
            </w:pPr>
            <w:r>
              <w:t>据上表可知，</w:t>
            </w:r>
            <w:r>
              <w:rPr>
                <w:rFonts w:hint="eastAsia"/>
              </w:rPr>
              <w:t>石泉</w:t>
            </w:r>
            <w:r>
              <w:t>县环境空气6个监测项目中，PM</w:t>
            </w:r>
            <w:r>
              <w:rPr>
                <w:vertAlign w:val="subscript"/>
              </w:rPr>
              <w:t>10</w:t>
            </w:r>
            <w:r>
              <w:rPr>
                <w:rFonts w:hint="eastAsia"/>
              </w:rPr>
              <w:t>、</w:t>
            </w:r>
            <w:r>
              <w:t>PM</w:t>
            </w:r>
            <w:r>
              <w:rPr>
                <w:vertAlign w:val="subscript"/>
              </w:rPr>
              <w:t>2.5</w:t>
            </w:r>
            <w:r>
              <w:rPr>
                <w:rFonts w:hint="eastAsia"/>
              </w:rPr>
              <w:t>、</w:t>
            </w:r>
            <w:r>
              <w:t>SO</w:t>
            </w:r>
            <w:r>
              <w:rPr>
                <w:vertAlign w:val="subscript"/>
              </w:rPr>
              <w:t>2</w:t>
            </w:r>
            <w:r>
              <w:t>、NO</w:t>
            </w:r>
            <w:r>
              <w:rPr>
                <w:vertAlign w:val="subscript"/>
              </w:rPr>
              <w:t>2</w:t>
            </w:r>
            <w:r>
              <w:t>年均质量浓度值</w:t>
            </w:r>
            <w:r>
              <w:rPr>
                <w:rFonts w:hint="eastAsia"/>
              </w:rPr>
              <w:t>、</w:t>
            </w:r>
            <w:r>
              <w:t>CO24小时平均第95百分位数和O</w:t>
            </w:r>
            <w:r>
              <w:rPr>
                <w:vertAlign w:val="subscript"/>
              </w:rPr>
              <w:t>3</w:t>
            </w:r>
            <w:r>
              <w:t>日最大8小时平均第90百分位数的浓度低于国家环境空气质量二级标准。因此本项目处于达标区。</w:t>
            </w:r>
          </w:p>
          <w:p>
            <w:pPr>
              <w:ind w:firstLine="480"/>
            </w:pPr>
            <w:r>
              <w:rPr>
                <w:rFonts w:hint="eastAsia"/>
              </w:rPr>
              <w:t>（2）</w:t>
            </w:r>
            <w:r>
              <w:t>特征污染物环境质量现状</w:t>
            </w:r>
          </w:p>
          <w:p>
            <w:pPr>
              <w:ind w:firstLine="480"/>
            </w:pPr>
            <w:r>
              <w:rPr>
                <w:rFonts w:hint="eastAsia"/>
              </w:rPr>
              <w:t>经分析本项目的特征污染物为颗粒物，石泉常年主导风向为东南风，本项目应于项目西南方向设置1处监测点进行特征污染物的监测。</w:t>
            </w:r>
          </w:p>
          <w:p>
            <w:pPr>
              <w:ind w:firstLine="480"/>
              <w:rPr>
                <w:kern w:val="0"/>
                <w:sz w:val="21"/>
                <w:szCs w:val="21"/>
              </w:rPr>
            </w:pPr>
            <w:r>
              <w:rPr>
                <w:rFonts w:hint="eastAsia"/>
              </w:rPr>
              <w:t>由于本项目东南方向411m处康鸿荣杉生态农业有限公司建设了“腻子粉及干混砂浆扩建项目”，该项目特征污染物同为颗粒物。因此本项目引用该项目的“颗粒物”背景值监测数据，监测时间：</w:t>
            </w:r>
            <w:r>
              <w:rPr>
                <w:rFonts w:hint="eastAsia"/>
                <w:kern w:val="0"/>
              </w:rPr>
              <w:t>2021年7月4日至2021年7月6日</w:t>
            </w:r>
            <w:r>
              <w:rPr>
                <w:kern w:val="0"/>
              </w:rPr>
              <w:t>，</w:t>
            </w:r>
            <w:r>
              <w:t>监测点位</w:t>
            </w:r>
            <w:r>
              <w:rPr>
                <w:rFonts w:hint="eastAsia"/>
              </w:rPr>
              <w:t>：E108.21450514</w:t>
            </w:r>
            <w:r>
              <w:rPr>
                <w:rFonts w:hint="eastAsia" w:ascii="宋体" w:hAnsi="宋体" w:cs="宋体"/>
              </w:rPr>
              <w:t>°</w:t>
            </w:r>
            <w:r>
              <w:rPr>
                <w:rFonts w:hint="eastAsia"/>
              </w:rPr>
              <w:t>N33.08290561</w:t>
            </w:r>
            <w:r>
              <w:rPr>
                <w:rFonts w:hint="eastAsia" w:ascii="宋体" w:hAnsi="宋体" w:cs="宋体"/>
              </w:rPr>
              <w:t>°</w:t>
            </w:r>
            <w:r>
              <w:t>，监测点位基本信息见表</w:t>
            </w:r>
            <w:r>
              <w:rPr>
                <w:rFonts w:hint="eastAsia"/>
              </w:rPr>
              <w:t>3-2</w:t>
            </w:r>
            <w:r>
              <w:t>，监测点位图见附图。监测结果见表</w:t>
            </w:r>
            <w:r>
              <w:rPr>
                <w:rFonts w:hint="eastAsia"/>
              </w:rPr>
              <w:t>3-3</w:t>
            </w:r>
            <w:r>
              <w:rPr>
                <w:sz w:val="21"/>
                <w:szCs w:val="21"/>
              </w:rPr>
              <w:t>。</w:t>
            </w:r>
          </w:p>
          <w:p>
            <w:pPr>
              <w:autoSpaceDE w:val="0"/>
              <w:autoSpaceDN w:val="0"/>
              <w:adjustRightInd w:val="0"/>
              <w:snapToGrid w:val="0"/>
              <w:spacing w:line="240" w:lineRule="auto"/>
              <w:ind w:firstLine="422"/>
              <w:jc w:val="center"/>
              <w:rPr>
                <w:b/>
                <w:bCs/>
                <w:sz w:val="21"/>
                <w:szCs w:val="21"/>
              </w:rPr>
            </w:pPr>
            <w:bookmarkStart w:id="8" w:name="_Ref488155555"/>
            <w:r>
              <w:rPr>
                <w:b/>
                <w:bCs/>
                <w:sz w:val="21"/>
                <w:szCs w:val="21"/>
              </w:rPr>
              <w:t>表</w:t>
            </w:r>
            <w:bookmarkEnd w:id="8"/>
            <w:r>
              <w:rPr>
                <w:rFonts w:hint="eastAsia"/>
                <w:b/>
                <w:bCs/>
                <w:sz w:val="21"/>
                <w:szCs w:val="21"/>
              </w:rPr>
              <w:t>3-2</w:t>
            </w:r>
            <w:r>
              <w:rPr>
                <w:b/>
                <w:bCs/>
                <w:sz w:val="21"/>
                <w:szCs w:val="21"/>
              </w:rPr>
              <w:t>其他污染物补充监测点位基本信息</w:t>
            </w:r>
          </w:p>
          <w:tbl>
            <w:tblPr>
              <w:tblStyle w:val="36"/>
              <w:tblW w:w="78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1536"/>
              <w:gridCol w:w="1387"/>
              <w:gridCol w:w="753"/>
              <w:gridCol w:w="1777"/>
              <w:gridCol w:w="797"/>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Header/>
                <w:jc w:val="center"/>
              </w:trPr>
              <w:tc>
                <w:tcPr>
                  <w:tcW w:w="586" w:type="dxa"/>
                  <w:vMerge w:val="restart"/>
                  <w:vAlign w:val="center"/>
                </w:tcPr>
                <w:p>
                  <w:pPr>
                    <w:pStyle w:val="91"/>
                  </w:pPr>
                  <w:r>
                    <w:t>监测点名称</w:t>
                  </w:r>
                </w:p>
              </w:tc>
              <w:tc>
                <w:tcPr>
                  <w:tcW w:w="2923" w:type="dxa"/>
                  <w:gridSpan w:val="2"/>
                  <w:vAlign w:val="center"/>
                </w:tcPr>
                <w:p>
                  <w:pPr>
                    <w:pStyle w:val="91"/>
                  </w:pPr>
                  <w:r>
                    <w:t>监测点坐标/m</w:t>
                  </w:r>
                </w:p>
              </w:tc>
              <w:tc>
                <w:tcPr>
                  <w:tcW w:w="753" w:type="dxa"/>
                  <w:vMerge w:val="restart"/>
                  <w:vAlign w:val="center"/>
                </w:tcPr>
                <w:p>
                  <w:pPr>
                    <w:pStyle w:val="91"/>
                  </w:pPr>
                  <w:r>
                    <w:t>监测因子</w:t>
                  </w:r>
                </w:p>
              </w:tc>
              <w:tc>
                <w:tcPr>
                  <w:tcW w:w="1777" w:type="dxa"/>
                  <w:vMerge w:val="restart"/>
                  <w:vAlign w:val="center"/>
                </w:tcPr>
                <w:p>
                  <w:pPr>
                    <w:pStyle w:val="91"/>
                  </w:pPr>
                  <w:r>
                    <w:t>监测时段</w:t>
                  </w:r>
                </w:p>
              </w:tc>
              <w:tc>
                <w:tcPr>
                  <w:tcW w:w="797" w:type="dxa"/>
                  <w:vMerge w:val="restart"/>
                  <w:vAlign w:val="center"/>
                </w:tcPr>
                <w:p>
                  <w:pPr>
                    <w:pStyle w:val="91"/>
                  </w:pPr>
                  <w:r>
                    <w:t>相对厂址方位</w:t>
                  </w:r>
                </w:p>
              </w:tc>
              <w:tc>
                <w:tcPr>
                  <w:tcW w:w="1016" w:type="dxa"/>
                  <w:vMerge w:val="restart"/>
                  <w:vAlign w:val="center"/>
                </w:tcPr>
                <w:p>
                  <w:pPr>
                    <w:pStyle w:val="91"/>
                  </w:pPr>
                  <w:r>
                    <w:t>相对厂界距离/m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586" w:type="dxa"/>
                  <w:vMerge w:val="continue"/>
                  <w:vAlign w:val="center"/>
                </w:tcPr>
                <w:p>
                  <w:pPr>
                    <w:pStyle w:val="91"/>
                  </w:pPr>
                </w:p>
              </w:tc>
              <w:tc>
                <w:tcPr>
                  <w:tcW w:w="1536" w:type="dxa"/>
                  <w:vAlign w:val="center"/>
                </w:tcPr>
                <w:p>
                  <w:pPr>
                    <w:pStyle w:val="91"/>
                  </w:pPr>
                  <w:r>
                    <w:t>X</w:t>
                  </w:r>
                </w:p>
              </w:tc>
              <w:tc>
                <w:tcPr>
                  <w:tcW w:w="1387" w:type="dxa"/>
                  <w:vAlign w:val="center"/>
                </w:tcPr>
                <w:p>
                  <w:pPr>
                    <w:pStyle w:val="91"/>
                  </w:pPr>
                  <w:r>
                    <w:t>Y</w:t>
                  </w:r>
                </w:p>
              </w:tc>
              <w:tc>
                <w:tcPr>
                  <w:tcW w:w="753" w:type="dxa"/>
                  <w:vMerge w:val="continue"/>
                  <w:vAlign w:val="center"/>
                </w:tcPr>
                <w:p>
                  <w:pPr>
                    <w:pStyle w:val="91"/>
                  </w:pPr>
                </w:p>
              </w:tc>
              <w:tc>
                <w:tcPr>
                  <w:tcW w:w="1777" w:type="dxa"/>
                  <w:vMerge w:val="continue"/>
                  <w:vAlign w:val="center"/>
                </w:tcPr>
                <w:p>
                  <w:pPr>
                    <w:pStyle w:val="91"/>
                  </w:pPr>
                </w:p>
              </w:tc>
              <w:tc>
                <w:tcPr>
                  <w:tcW w:w="797" w:type="dxa"/>
                  <w:vMerge w:val="continue"/>
                  <w:vAlign w:val="center"/>
                </w:tcPr>
                <w:p>
                  <w:pPr>
                    <w:pStyle w:val="91"/>
                  </w:pPr>
                </w:p>
              </w:tc>
              <w:tc>
                <w:tcPr>
                  <w:tcW w:w="1016" w:type="dxa"/>
                  <w:vMerge w:val="continue"/>
                  <w:vAlign w:val="center"/>
                </w:tcPr>
                <w:p>
                  <w:pPr>
                    <w:pStyle w:val="9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586" w:type="dxa"/>
                  <w:vAlign w:val="center"/>
                </w:tcPr>
                <w:p>
                  <w:pPr>
                    <w:pStyle w:val="91"/>
                  </w:pPr>
                  <w:r>
                    <w:rPr>
                      <w:rFonts w:hint="eastAsia"/>
                    </w:rPr>
                    <w:t>项目地</w:t>
                  </w:r>
                </w:p>
              </w:tc>
              <w:tc>
                <w:tcPr>
                  <w:tcW w:w="1536" w:type="dxa"/>
                  <w:vAlign w:val="center"/>
                </w:tcPr>
                <w:p>
                  <w:pPr>
                    <w:pStyle w:val="91"/>
                  </w:pPr>
                  <w:r>
                    <w:t>10</w:t>
                  </w:r>
                  <w:r>
                    <w:rPr>
                      <w:rFonts w:hint="eastAsia"/>
                    </w:rPr>
                    <w:t>8</w:t>
                  </w:r>
                  <w:r>
                    <w:t>°1</w:t>
                  </w:r>
                  <w:r>
                    <w:rPr>
                      <w:rFonts w:hint="eastAsia"/>
                    </w:rPr>
                    <w:t>2</w:t>
                  </w:r>
                  <w:r>
                    <w:t>′</w:t>
                  </w:r>
                  <w:r>
                    <w:rPr>
                      <w:rFonts w:hint="eastAsia"/>
                    </w:rPr>
                    <w:t>52.218</w:t>
                  </w:r>
                  <w:r>
                    <w:t>″</w:t>
                  </w:r>
                </w:p>
              </w:tc>
              <w:tc>
                <w:tcPr>
                  <w:tcW w:w="1387" w:type="dxa"/>
                  <w:vAlign w:val="center"/>
                </w:tcPr>
                <w:p>
                  <w:pPr>
                    <w:pStyle w:val="91"/>
                  </w:pPr>
                  <w:r>
                    <w:t>3</w:t>
                  </w:r>
                  <w:r>
                    <w:rPr>
                      <w:rFonts w:hint="eastAsia"/>
                    </w:rPr>
                    <w:t>3</w:t>
                  </w:r>
                  <w:r>
                    <w:t>°</w:t>
                  </w:r>
                  <w:r>
                    <w:rPr>
                      <w:rFonts w:hint="eastAsia"/>
                    </w:rPr>
                    <w:t>4</w:t>
                  </w:r>
                  <w:r>
                    <w:t>′</w:t>
                  </w:r>
                  <w:r>
                    <w:rPr>
                      <w:rFonts w:hint="eastAsia"/>
                    </w:rPr>
                    <w:t>58.460</w:t>
                  </w:r>
                  <w:r>
                    <w:t>″</w:t>
                  </w:r>
                </w:p>
              </w:tc>
              <w:tc>
                <w:tcPr>
                  <w:tcW w:w="753" w:type="dxa"/>
                  <w:vAlign w:val="center"/>
                </w:tcPr>
                <w:p>
                  <w:pPr>
                    <w:pStyle w:val="91"/>
                  </w:pPr>
                  <w:r>
                    <w:rPr>
                      <w:rFonts w:hint="eastAsia"/>
                    </w:rPr>
                    <w:t>TSP</w:t>
                  </w:r>
                </w:p>
              </w:tc>
              <w:tc>
                <w:tcPr>
                  <w:tcW w:w="1777" w:type="dxa"/>
                  <w:vAlign w:val="center"/>
                </w:tcPr>
                <w:p>
                  <w:pPr>
                    <w:pStyle w:val="91"/>
                  </w:pPr>
                  <w:r>
                    <w:rPr>
                      <w:rFonts w:hint="eastAsia"/>
                    </w:rPr>
                    <w:t>2021.7.4-2021.7.6</w:t>
                  </w:r>
                </w:p>
              </w:tc>
              <w:tc>
                <w:tcPr>
                  <w:tcW w:w="797" w:type="dxa"/>
                  <w:vAlign w:val="center"/>
                </w:tcPr>
                <w:p>
                  <w:pPr>
                    <w:pStyle w:val="91"/>
                  </w:pPr>
                  <w:r>
                    <w:rPr>
                      <w:rFonts w:hint="eastAsia"/>
                    </w:rPr>
                    <w:t>项目地</w:t>
                  </w:r>
                </w:p>
              </w:tc>
              <w:tc>
                <w:tcPr>
                  <w:tcW w:w="1016" w:type="dxa"/>
                  <w:vAlign w:val="center"/>
                </w:tcPr>
                <w:p>
                  <w:pPr>
                    <w:pStyle w:val="91"/>
                  </w:pPr>
                  <w:r>
                    <w:rPr>
                      <w:rFonts w:hint="eastAsia"/>
                    </w:rPr>
                    <w:t>506m（NW）</w:t>
                  </w:r>
                </w:p>
              </w:tc>
            </w:tr>
          </w:tbl>
          <w:p>
            <w:pPr>
              <w:autoSpaceDE w:val="0"/>
              <w:autoSpaceDN w:val="0"/>
              <w:adjustRightInd w:val="0"/>
              <w:snapToGrid w:val="0"/>
              <w:spacing w:line="240" w:lineRule="auto"/>
              <w:ind w:firstLine="422"/>
              <w:jc w:val="center"/>
              <w:rPr>
                <w:b/>
                <w:bCs/>
                <w:sz w:val="21"/>
                <w:szCs w:val="21"/>
              </w:rPr>
            </w:pPr>
            <w:bookmarkStart w:id="9" w:name="_Ref488155560"/>
            <w:r>
              <w:rPr>
                <w:b/>
                <w:bCs/>
                <w:sz w:val="21"/>
                <w:szCs w:val="21"/>
              </w:rPr>
              <w:t>表</w:t>
            </w:r>
            <w:bookmarkEnd w:id="9"/>
            <w:r>
              <w:rPr>
                <w:rFonts w:hint="eastAsia"/>
                <w:b/>
                <w:bCs/>
                <w:sz w:val="21"/>
                <w:szCs w:val="21"/>
              </w:rPr>
              <w:t>3-3</w:t>
            </w:r>
            <w:r>
              <w:rPr>
                <w:b/>
                <w:bCs/>
                <w:sz w:val="21"/>
                <w:szCs w:val="21"/>
              </w:rPr>
              <w:t>其他污染物环境质量现状（监测结果）表</w:t>
            </w:r>
          </w:p>
          <w:tbl>
            <w:tblPr>
              <w:tblStyle w:val="36"/>
              <w:tblW w:w="78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
              <w:gridCol w:w="1467"/>
              <w:gridCol w:w="1268"/>
              <w:gridCol w:w="559"/>
              <w:gridCol w:w="515"/>
              <w:gridCol w:w="1097"/>
              <w:gridCol w:w="1097"/>
              <w:gridCol w:w="581"/>
              <w:gridCol w:w="438"/>
              <w:gridCol w:w="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blHeader/>
                <w:jc w:val="center"/>
              </w:trPr>
              <w:tc>
                <w:tcPr>
                  <w:tcW w:w="415" w:type="dxa"/>
                  <w:vMerge w:val="restart"/>
                  <w:vAlign w:val="center"/>
                </w:tcPr>
                <w:p>
                  <w:pPr>
                    <w:pStyle w:val="84"/>
                    <w:rPr>
                      <w:color w:val="auto"/>
                    </w:rPr>
                  </w:pPr>
                  <w:r>
                    <w:rPr>
                      <w:color w:val="auto"/>
                    </w:rPr>
                    <w:t>监测点位</w:t>
                  </w:r>
                </w:p>
              </w:tc>
              <w:tc>
                <w:tcPr>
                  <w:tcW w:w="2735" w:type="dxa"/>
                  <w:gridSpan w:val="2"/>
                  <w:vAlign w:val="center"/>
                </w:tcPr>
                <w:p>
                  <w:pPr>
                    <w:pStyle w:val="84"/>
                    <w:rPr>
                      <w:color w:val="auto"/>
                    </w:rPr>
                  </w:pPr>
                  <w:r>
                    <w:rPr>
                      <w:color w:val="auto"/>
                    </w:rPr>
                    <w:t>监测点坐标/m</w:t>
                  </w:r>
                </w:p>
              </w:tc>
              <w:tc>
                <w:tcPr>
                  <w:tcW w:w="559" w:type="dxa"/>
                  <w:vMerge w:val="restart"/>
                  <w:vAlign w:val="center"/>
                </w:tcPr>
                <w:p>
                  <w:pPr>
                    <w:pStyle w:val="84"/>
                    <w:rPr>
                      <w:color w:val="auto"/>
                    </w:rPr>
                  </w:pPr>
                  <w:r>
                    <w:rPr>
                      <w:color w:val="auto"/>
                    </w:rPr>
                    <w:t>污染物</w:t>
                  </w:r>
                </w:p>
              </w:tc>
              <w:tc>
                <w:tcPr>
                  <w:tcW w:w="515" w:type="dxa"/>
                  <w:vMerge w:val="restart"/>
                  <w:vAlign w:val="center"/>
                </w:tcPr>
                <w:p>
                  <w:pPr>
                    <w:pStyle w:val="84"/>
                    <w:rPr>
                      <w:color w:val="auto"/>
                    </w:rPr>
                  </w:pPr>
                  <w:r>
                    <w:rPr>
                      <w:color w:val="auto"/>
                    </w:rPr>
                    <w:t>平均时间</w:t>
                  </w:r>
                </w:p>
              </w:tc>
              <w:tc>
                <w:tcPr>
                  <w:tcW w:w="1097" w:type="dxa"/>
                  <w:vMerge w:val="restart"/>
                  <w:vAlign w:val="center"/>
                </w:tcPr>
                <w:p>
                  <w:pPr>
                    <w:pStyle w:val="84"/>
                    <w:rPr>
                      <w:color w:val="auto"/>
                    </w:rPr>
                  </w:pPr>
                  <w:r>
                    <w:rPr>
                      <w:color w:val="auto"/>
                    </w:rPr>
                    <w:t>评价标准/（μg/m</w:t>
                  </w:r>
                  <w:r>
                    <w:rPr>
                      <w:color w:val="auto"/>
                      <w:vertAlign w:val="superscript"/>
                    </w:rPr>
                    <w:t>3</w:t>
                  </w:r>
                  <w:r>
                    <w:rPr>
                      <w:color w:val="auto"/>
                    </w:rPr>
                    <w:t>）</w:t>
                  </w:r>
                </w:p>
              </w:tc>
              <w:tc>
                <w:tcPr>
                  <w:tcW w:w="1097" w:type="dxa"/>
                  <w:vMerge w:val="restart"/>
                  <w:vAlign w:val="center"/>
                </w:tcPr>
                <w:p>
                  <w:pPr>
                    <w:pStyle w:val="84"/>
                    <w:rPr>
                      <w:color w:val="auto"/>
                    </w:rPr>
                  </w:pPr>
                  <w:r>
                    <w:rPr>
                      <w:color w:val="auto"/>
                    </w:rPr>
                    <w:t>监测浓度范围/</w:t>
                  </w:r>
                </w:p>
                <w:p>
                  <w:pPr>
                    <w:pStyle w:val="84"/>
                    <w:rPr>
                      <w:color w:val="auto"/>
                    </w:rPr>
                  </w:pPr>
                  <w:r>
                    <w:rPr>
                      <w:color w:val="auto"/>
                    </w:rPr>
                    <w:t>（μg/m</w:t>
                  </w:r>
                  <w:r>
                    <w:rPr>
                      <w:color w:val="auto"/>
                      <w:vertAlign w:val="superscript"/>
                    </w:rPr>
                    <w:t>3</w:t>
                  </w:r>
                  <w:r>
                    <w:rPr>
                      <w:color w:val="auto"/>
                    </w:rPr>
                    <w:t>）</w:t>
                  </w:r>
                </w:p>
              </w:tc>
              <w:tc>
                <w:tcPr>
                  <w:tcW w:w="581" w:type="dxa"/>
                  <w:vMerge w:val="restart"/>
                  <w:vAlign w:val="center"/>
                </w:tcPr>
                <w:p>
                  <w:pPr>
                    <w:pStyle w:val="84"/>
                    <w:rPr>
                      <w:color w:val="auto"/>
                    </w:rPr>
                  </w:pPr>
                  <w:r>
                    <w:rPr>
                      <w:color w:val="auto"/>
                    </w:rPr>
                    <w:t>最大浓度占标率/%</w:t>
                  </w:r>
                </w:p>
              </w:tc>
              <w:tc>
                <w:tcPr>
                  <w:tcW w:w="438" w:type="dxa"/>
                  <w:vMerge w:val="restart"/>
                  <w:vAlign w:val="center"/>
                </w:tcPr>
                <w:p>
                  <w:pPr>
                    <w:pStyle w:val="84"/>
                    <w:rPr>
                      <w:color w:val="auto"/>
                    </w:rPr>
                  </w:pPr>
                  <w:r>
                    <w:rPr>
                      <w:color w:val="auto"/>
                    </w:rPr>
                    <w:t>超标率/%</w:t>
                  </w:r>
                </w:p>
              </w:tc>
              <w:tc>
                <w:tcPr>
                  <w:tcW w:w="415" w:type="dxa"/>
                  <w:vMerge w:val="restart"/>
                  <w:vAlign w:val="center"/>
                </w:tcPr>
                <w:p>
                  <w:pPr>
                    <w:pStyle w:val="84"/>
                    <w:rPr>
                      <w:color w:val="auto"/>
                    </w:rPr>
                  </w:pPr>
                  <w:r>
                    <w:rPr>
                      <w:color w:val="auto"/>
                    </w:rPr>
                    <w:t>达标</w:t>
                  </w:r>
                </w:p>
                <w:p>
                  <w:pPr>
                    <w:pStyle w:val="84"/>
                    <w:rPr>
                      <w:color w:val="auto"/>
                    </w:rPr>
                  </w:pPr>
                  <w:r>
                    <w:rPr>
                      <w:color w:val="auto"/>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 w:hRule="atLeast"/>
                <w:jc w:val="center"/>
              </w:trPr>
              <w:tc>
                <w:tcPr>
                  <w:tcW w:w="415" w:type="dxa"/>
                  <w:vMerge w:val="continue"/>
                  <w:vAlign w:val="center"/>
                </w:tcPr>
                <w:p>
                  <w:pPr>
                    <w:pStyle w:val="84"/>
                    <w:rPr>
                      <w:color w:val="auto"/>
                    </w:rPr>
                  </w:pPr>
                </w:p>
              </w:tc>
              <w:tc>
                <w:tcPr>
                  <w:tcW w:w="1467" w:type="dxa"/>
                  <w:vAlign w:val="center"/>
                </w:tcPr>
                <w:p>
                  <w:pPr>
                    <w:pStyle w:val="84"/>
                    <w:rPr>
                      <w:color w:val="auto"/>
                    </w:rPr>
                  </w:pPr>
                  <w:r>
                    <w:rPr>
                      <w:color w:val="auto"/>
                    </w:rPr>
                    <w:t>X</w:t>
                  </w:r>
                </w:p>
              </w:tc>
              <w:tc>
                <w:tcPr>
                  <w:tcW w:w="1268" w:type="dxa"/>
                  <w:vAlign w:val="center"/>
                </w:tcPr>
                <w:p>
                  <w:pPr>
                    <w:pStyle w:val="84"/>
                    <w:rPr>
                      <w:color w:val="auto"/>
                    </w:rPr>
                  </w:pPr>
                  <w:r>
                    <w:rPr>
                      <w:color w:val="auto"/>
                    </w:rPr>
                    <w:t>Y</w:t>
                  </w:r>
                </w:p>
              </w:tc>
              <w:tc>
                <w:tcPr>
                  <w:tcW w:w="559" w:type="dxa"/>
                  <w:vMerge w:val="continue"/>
                  <w:vAlign w:val="center"/>
                </w:tcPr>
                <w:p>
                  <w:pPr>
                    <w:pStyle w:val="84"/>
                    <w:rPr>
                      <w:color w:val="auto"/>
                    </w:rPr>
                  </w:pPr>
                </w:p>
              </w:tc>
              <w:tc>
                <w:tcPr>
                  <w:tcW w:w="515" w:type="dxa"/>
                  <w:vMerge w:val="continue"/>
                  <w:vAlign w:val="center"/>
                </w:tcPr>
                <w:p>
                  <w:pPr>
                    <w:pStyle w:val="84"/>
                    <w:rPr>
                      <w:color w:val="auto"/>
                    </w:rPr>
                  </w:pPr>
                </w:p>
              </w:tc>
              <w:tc>
                <w:tcPr>
                  <w:tcW w:w="1097" w:type="dxa"/>
                  <w:vMerge w:val="continue"/>
                  <w:vAlign w:val="center"/>
                </w:tcPr>
                <w:p>
                  <w:pPr>
                    <w:pStyle w:val="84"/>
                    <w:rPr>
                      <w:color w:val="auto"/>
                    </w:rPr>
                  </w:pPr>
                </w:p>
              </w:tc>
              <w:tc>
                <w:tcPr>
                  <w:tcW w:w="1097" w:type="dxa"/>
                  <w:vMerge w:val="continue"/>
                  <w:vAlign w:val="center"/>
                </w:tcPr>
                <w:p>
                  <w:pPr>
                    <w:pStyle w:val="84"/>
                    <w:rPr>
                      <w:color w:val="auto"/>
                    </w:rPr>
                  </w:pPr>
                </w:p>
              </w:tc>
              <w:tc>
                <w:tcPr>
                  <w:tcW w:w="581" w:type="dxa"/>
                  <w:vMerge w:val="continue"/>
                  <w:vAlign w:val="center"/>
                </w:tcPr>
                <w:p>
                  <w:pPr>
                    <w:pStyle w:val="84"/>
                    <w:rPr>
                      <w:color w:val="auto"/>
                    </w:rPr>
                  </w:pPr>
                </w:p>
              </w:tc>
              <w:tc>
                <w:tcPr>
                  <w:tcW w:w="438" w:type="dxa"/>
                  <w:vMerge w:val="continue"/>
                  <w:vAlign w:val="center"/>
                </w:tcPr>
                <w:p>
                  <w:pPr>
                    <w:pStyle w:val="84"/>
                    <w:rPr>
                      <w:color w:val="auto"/>
                    </w:rPr>
                  </w:pPr>
                </w:p>
              </w:tc>
              <w:tc>
                <w:tcPr>
                  <w:tcW w:w="415" w:type="dxa"/>
                  <w:vMerge w:val="continue"/>
                  <w:vAlign w:val="center"/>
                </w:tcPr>
                <w:p>
                  <w:pPr>
                    <w:pStyle w:val="84"/>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415" w:type="dxa"/>
                  <w:vAlign w:val="center"/>
                </w:tcPr>
                <w:p>
                  <w:pPr>
                    <w:pStyle w:val="84"/>
                    <w:rPr>
                      <w:color w:val="auto"/>
                    </w:rPr>
                  </w:pPr>
                  <w:r>
                    <w:rPr>
                      <w:rFonts w:hint="eastAsia"/>
                      <w:color w:val="auto"/>
                    </w:rPr>
                    <w:t>项目地</w:t>
                  </w:r>
                </w:p>
              </w:tc>
              <w:tc>
                <w:tcPr>
                  <w:tcW w:w="1467" w:type="dxa"/>
                  <w:vAlign w:val="center"/>
                </w:tcPr>
                <w:p>
                  <w:pPr>
                    <w:pStyle w:val="91"/>
                  </w:pPr>
                  <w:r>
                    <w:t>10</w:t>
                  </w:r>
                  <w:r>
                    <w:rPr>
                      <w:rFonts w:hint="eastAsia"/>
                    </w:rPr>
                    <w:t>8</w:t>
                  </w:r>
                  <w:r>
                    <w:t>°1</w:t>
                  </w:r>
                  <w:r>
                    <w:rPr>
                      <w:rFonts w:hint="eastAsia"/>
                    </w:rPr>
                    <w:t>2</w:t>
                  </w:r>
                  <w:r>
                    <w:t>′</w:t>
                  </w:r>
                  <w:r>
                    <w:rPr>
                      <w:rFonts w:hint="eastAsia"/>
                    </w:rPr>
                    <w:t>52.218</w:t>
                  </w:r>
                  <w:r>
                    <w:t>″</w:t>
                  </w:r>
                </w:p>
              </w:tc>
              <w:tc>
                <w:tcPr>
                  <w:tcW w:w="1268" w:type="dxa"/>
                  <w:vAlign w:val="center"/>
                </w:tcPr>
                <w:p>
                  <w:pPr>
                    <w:pStyle w:val="91"/>
                  </w:pPr>
                  <w:r>
                    <w:t>3</w:t>
                  </w:r>
                  <w:r>
                    <w:rPr>
                      <w:rFonts w:hint="eastAsia"/>
                    </w:rPr>
                    <w:t>3</w:t>
                  </w:r>
                  <w:r>
                    <w:t>°</w:t>
                  </w:r>
                  <w:r>
                    <w:rPr>
                      <w:rFonts w:hint="eastAsia"/>
                    </w:rPr>
                    <w:t>4</w:t>
                  </w:r>
                  <w:r>
                    <w:t>′</w:t>
                  </w:r>
                  <w:r>
                    <w:rPr>
                      <w:rFonts w:hint="eastAsia"/>
                    </w:rPr>
                    <w:t>58.460</w:t>
                  </w:r>
                  <w:r>
                    <w:t>″</w:t>
                  </w:r>
                </w:p>
              </w:tc>
              <w:tc>
                <w:tcPr>
                  <w:tcW w:w="559" w:type="dxa"/>
                  <w:vAlign w:val="center"/>
                </w:tcPr>
                <w:p>
                  <w:pPr>
                    <w:pStyle w:val="84"/>
                    <w:rPr>
                      <w:color w:val="auto"/>
                    </w:rPr>
                  </w:pPr>
                  <w:r>
                    <w:rPr>
                      <w:rFonts w:hint="eastAsia"/>
                      <w:color w:val="auto"/>
                    </w:rPr>
                    <w:t>TSP</w:t>
                  </w:r>
                </w:p>
              </w:tc>
              <w:tc>
                <w:tcPr>
                  <w:tcW w:w="515" w:type="dxa"/>
                  <w:vAlign w:val="center"/>
                </w:tcPr>
                <w:p>
                  <w:pPr>
                    <w:pStyle w:val="84"/>
                    <w:rPr>
                      <w:color w:val="auto"/>
                    </w:rPr>
                  </w:pPr>
                  <w:r>
                    <w:rPr>
                      <w:color w:val="auto"/>
                    </w:rPr>
                    <w:t>24h</w:t>
                  </w:r>
                </w:p>
              </w:tc>
              <w:tc>
                <w:tcPr>
                  <w:tcW w:w="1097" w:type="dxa"/>
                  <w:vAlign w:val="center"/>
                </w:tcPr>
                <w:p>
                  <w:pPr>
                    <w:pStyle w:val="84"/>
                    <w:rPr>
                      <w:color w:val="auto"/>
                    </w:rPr>
                  </w:pPr>
                  <w:r>
                    <w:rPr>
                      <w:rFonts w:hint="eastAsia"/>
                      <w:color w:val="auto"/>
                    </w:rPr>
                    <w:t>300</w:t>
                  </w:r>
                </w:p>
              </w:tc>
              <w:tc>
                <w:tcPr>
                  <w:tcW w:w="1097" w:type="dxa"/>
                  <w:vAlign w:val="center"/>
                </w:tcPr>
                <w:p>
                  <w:pPr>
                    <w:pStyle w:val="84"/>
                    <w:rPr>
                      <w:color w:val="auto"/>
                    </w:rPr>
                  </w:pPr>
                  <w:r>
                    <w:rPr>
                      <w:rFonts w:hint="eastAsia"/>
                      <w:color w:val="auto"/>
                    </w:rPr>
                    <w:t>63~69</w:t>
                  </w:r>
                </w:p>
              </w:tc>
              <w:tc>
                <w:tcPr>
                  <w:tcW w:w="581" w:type="dxa"/>
                  <w:vAlign w:val="center"/>
                </w:tcPr>
                <w:p>
                  <w:pPr>
                    <w:pStyle w:val="84"/>
                    <w:rPr>
                      <w:color w:val="auto"/>
                    </w:rPr>
                  </w:pPr>
                  <w:r>
                    <w:rPr>
                      <w:rFonts w:hint="eastAsia"/>
                      <w:color w:val="auto"/>
                    </w:rPr>
                    <w:t>23%</w:t>
                  </w:r>
                </w:p>
              </w:tc>
              <w:tc>
                <w:tcPr>
                  <w:tcW w:w="438" w:type="dxa"/>
                  <w:vAlign w:val="center"/>
                </w:tcPr>
                <w:p>
                  <w:pPr>
                    <w:pStyle w:val="84"/>
                    <w:rPr>
                      <w:color w:val="auto"/>
                    </w:rPr>
                  </w:pPr>
                  <w:r>
                    <w:rPr>
                      <w:rFonts w:hint="eastAsia"/>
                      <w:color w:val="auto"/>
                    </w:rPr>
                    <w:t>0</w:t>
                  </w:r>
                </w:p>
              </w:tc>
              <w:tc>
                <w:tcPr>
                  <w:tcW w:w="415" w:type="dxa"/>
                  <w:vAlign w:val="center"/>
                </w:tcPr>
                <w:p>
                  <w:pPr>
                    <w:pStyle w:val="84"/>
                    <w:rPr>
                      <w:color w:val="auto"/>
                    </w:rPr>
                  </w:pPr>
                  <w:r>
                    <w:rPr>
                      <w:color w:val="auto"/>
                    </w:rPr>
                    <w:t>达标</w:t>
                  </w:r>
                </w:p>
              </w:tc>
            </w:tr>
          </w:tbl>
          <w:p>
            <w:pPr>
              <w:pStyle w:val="19"/>
              <w:ind w:firstLine="480"/>
            </w:pPr>
            <w:r>
              <w:rPr>
                <w:rFonts w:ascii="Times New Roman" w:hAnsi="Times New Roman"/>
              </w:rPr>
              <w:t>由上表数据可知，TSP24小时均值满足《环境空气质量标准》（GB3095-2012）中的二级标准要求</w:t>
            </w:r>
            <w:r>
              <w:rPr>
                <w:rFonts w:hint="eastAsia" w:ascii="Times New Roman" w:hAnsi="Times New Roma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443" w:type="dxa"/>
            <w:vAlign w:val="center"/>
          </w:tcPr>
          <w:p>
            <w:pPr>
              <w:adjustRightInd w:val="0"/>
              <w:snapToGrid w:val="0"/>
              <w:ind w:firstLine="0" w:firstLineChars="0"/>
              <w:jc w:val="center"/>
              <w:rPr>
                <w:kern w:val="0"/>
              </w:rPr>
            </w:pPr>
            <w:r>
              <w:rPr>
                <w:kern w:val="0"/>
              </w:rPr>
              <w:t>环境</w:t>
            </w:r>
          </w:p>
          <w:p>
            <w:pPr>
              <w:adjustRightInd w:val="0"/>
              <w:snapToGrid w:val="0"/>
              <w:ind w:firstLine="0" w:firstLineChars="0"/>
              <w:jc w:val="center"/>
              <w:rPr>
                <w:kern w:val="0"/>
              </w:rPr>
            </w:pPr>
            <w:r>
              <w:rPr>
                <w:kern w:val="0"/>
              </w:rPr>
              <w:t>保护</w:t>
            </w:r>
          </w:p>
          <w:p>
            <w:pPr>
              <w:adjustRightInd w:val="0"/>
              <w:snapToGrid w:val="0"/>
              <w:ind w:firstLine="0" w:firstLineChars="0"/>
              <w:jc w:val="center"/>
              <w:rPr>
                <w:kern w:val="0"/>
              </w:rPr>
            </w:pPr>
            <w:r>
              <w:rPr>
                <w:kern w:val="0"/>
              </w:rPr>
              <w:t>目标</w:t>
            </w:r>
          </w:p>
        </w:tc>
        <w:tc>
          <w:tcPr>
            <w:tcW w:w="8078" w:type="dxa"/>
            <w:vAlign w:val="center"/>
          </w:tcPr>
          <w:p>
            <w:pPr>
              <w:tabs>
                <w:tab w:val="left" w:pos="8505"/>
              </w:tabs>
              <w:adjustRightInd w:val="0"/>
              <w:spacing w:beforeLines="50"/>
              <w:ind w:firstLine="480"/>
            </w:pPr>
            <w:r>
              <w:t>本项目位于陕西省</w:t>
            </w:r>
            <w:r>
              <w:rPr>
                <w:rFonts w:hint="eastAsia"/>
              </w:rPr>
              <w:t>安康市</w:t>
            </w:r>
            <w:r>
              <w:t>石泉县省级经济技术开发区城关镇古堰工业园区，厂界外500米范围内无地下水集中式饮用水水源和热水、矿泉水、温泉等特殊地下水资源</w:t>
            </w:r>
            <w:r>
              <w:rPr>
                <w:rFonts w:hint="eastAsia"/>
              </w:rPr>
              <w:t>。本项目50m范围内无住户，500m范围内有少量住户，大气环境保护目标具体见下表：</w:t>
            </w:r>
          </w:p>
          <w:p>
            <w:pPr>
              <w:pStyle w:val="85"/>
              <w:rPr>
                <w:color w:val="auto"/>
              </w:rPr>
            </w:pPr>
            <w:r>
              <w:rPr>
                <w:rFonts w:hint="eastAsia"/>
                <w:color w:val="auto"/>
              </w:rPr>
              <w:t>表3-4大气保护目标</w:t>
            </w:r>
          </w:p>
          <w:tbl>
            <w:tblPr>
              <w:tblStyle w:val="36"/>
              <w:tblW w:w="78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39"/>
              <w:gridCol w:w="1353"/>
              <w:gridCol w:w="1254"/>
              <w:gridCol w:w="936"/>
              <w:gridCol w:w="1058"/>
              <w:gridCol w:w="570"/>
              <w:gridCol w:w="791"/>
              <w:gridCol w:w="1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639" w:type="dxa"/>
                  <w:vMerge w:val="restart"/>
                  <w:vAlign w:val="center"/>
                </w:tcPr>
                <w:p>
                  <w:pPr>
                    <w:pStyle w:val="84"/>
                    <w:rPr>
                      <w:color w:val="auto"/>
                    </w:rPr>
                  </w:pPr>
                  <w:r>
                    <w:rPr>
                      <w:color w:val="auto"/>
                    </w:rPr>
                    <w:t>名称</w:t>
                  </w:r>
                </w:p>
              </w:tc>
              <w:tc>
                <w:tcPr>
                  <w:tcW w:w="2607" w:type="dxa"/>
                  <w:gridSpan w:val="2"/>
                  <w:vAlign w:val="center"/>
                </w:tcPr>
                <w:p>
                  <w:pPr>
                    <w:pStyle w:val="84"/>
                    <w:rPr>
                      <w:color w:val="auto"/>
                    </w:rPr>
                  </w:pPr>
                  <w:r>
                    <w:rPr>
                      <w:color w:val="auto"/>
                    </w:rPr>
                    <w:t>坐标</w:t>
                  </w:r>
                </w:p>
              </w:tc>
              <w:tc>
                <w:tcPr>
                  <w:tcW w:w="936" w:type="dxa"/>
                  <w:vMerge w:val="restart"/>
                  <w:vAlign w:val="center"/>
                </w:tcPr>
                <w:p>
                  <w:pPr>
                    <w:pStyle w:val="84"/>
                    <w:rPr>
                      <w:color w:val="auto"/>
                    </w:rPr>
                  </w:pPr>
                  <w:r>
                    <w:rPr>
                      <w:color w:val="auto"/>
                    </w:rPr>
                    <w:t>保护对象</w:t>
                  </w:r>
                </w:p>
              </w:tc>
              <w:tc>
                <w:tcPr>
                  <w:tcW w:w="1058" w:type="dxa"/>
                  <w:vMerge w:val="restart"/>
                  <w:vAlign w:val="center"/>
                </w:tcPr>
                <w:p>
                  <w:pPr>
                    <w:pStyle w:val="84"/>
                    <w:rPr>
                      <w:color w:val="auto"/>
                    </w:rPr>
                  </w:pPr>
                  <w:r>
                    <w:rPr>
                      <w:color w:val="auto"/>
                    </w:rPr>
                    <w:t>保护内容</w:t>
                  </w:r>
                </w:p>
              </w:tc>
              <w:tc>
                <w:tcPr>
                  <w:tcW w:w="570" w:type="dxa"/>
                  <w:vMerge w:val="restart"/>
                  <w:vAlign w:val="center"/>
                </w:tcPr>
                <w:p>
                  <w:pPr>
                    <w:pStyle w:val="84"/>
                    <w:rPr>
                      <w:color w:val="auto"/>
                    </w:rPr>
                  </w:pPr>
                  <w:r>
                    <w:rPr>
                      <w:color w:val="auto"/>
                    </w:rPr>
                    <w:t>环境功能区</w:t>
                  </w:r>
                </w:p>
              </w:tc>
              <w:tc>
                <w:tcPr>
                  <w:tcW w:w="791" w:type="dxa"/>
                  <w:vMerge w:val="restart"/>
                  <w:vAlign w:val="center"/>
                </w:tcPr>
                <w:p>
                  <w:pPr>
                    <w:pStyle w:val="84"/>
                    <w:rPr>
                      <w:color w:val="auto"/>
                    </w:rPr>
                  </w:pPr>
                  <w:r>
                    <w:rPr>
                      <w:color w:val="auto"/>
                    </w:rPr>
                    <w:t>相对厂址方位</w:t>
                  </w:r>
                </w:p>
              </w:tc>
              <w:tc>
                <w:tcPr>
                  <w:tcW w:w="1248" w:type="dxa"/>
                  <w:vMerge w:val="restart"/>
                  <w:vAlign w:val="center"/>
                </w:tcPr>
                <w:p>
                  <w:pPr>
                    <w:pStyle w:val="84"/>
                    <w:rPr>
                      <w:color w:val="auto"/>
                    </w:rPr>
                  </w:pPr>
                  <w:r>
                    <w:rPr>
                      <w:color w:val="auto"/>
                    </w:rPr>
                    <w:t>相对厂址距离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6" w:hRule="atLeast"/>
                <w:jc w:val="center"/>
              </w:trPr>
              <w:tc>
                <w:tcPr>
                  <w:tcW w:w="639" w:type="dxa"/>
                  <w:vMerge w:val="continue"/>
                  <w:vAlign w:val="center"/>
                </w:tcPr>
                <w:p>
                  <w:pPr>
                    <w:pStyle w:val="84"/>
                    <w:rPr>
                      <w:color w:val="auto"/>
                    </w:rPr>
                  </w:pPr>
                </w:p>
              </w:tc>
              <w:tc>
                <w:tcPr>
                  <w:tcW w:w="1353" w:type="dxa"/>
                  <w:vAlign w:val="center"/>
                </w:tcPr>
                <w:p>
                  <w:pPr>
                    <w:pStyle w:val="84"/>
                    <w:rPr>
                      <w:color w:val="auto"/>
                    </w:rPr>
                  </w:pPr>
                  <w:r>
                    <w:rPr>
                      <w:color w:val="auto"/>
                    </w:rPr>
                    <w:t>经度</w:t>
                  </w:r>
                </w:p>
              </w:tc>
              <w:tc>
                <w:tcPr>
                  <w:tcW w:w="1254" w:type="dxa"/>
                  <w:vAlign w:val="center"/>
                </w:tcPr>
                <w:p>
                  <w:pPr>
                    <w:pStyle w:val="84"/>
                    <w:rPr>
                      <w:color w:val="auto"/>
                    </w:rPr>
                  </w:pPr>
                  <w:r>
                    <w:rPr>
                      <w:color w:val="auto"/>
                    </w:rPr>
                    <w:t>纬度</w:t>
                  </w:r>
                </w:p>
              </w:tc>
              <w:tc>
                <w:tcPr>
                  <w:tcW w:w="936" w:type="dxa"/>
                  <w:vMerge w:val="continue"/>
                  <w:vAlign w:val="center"/>
                </w:tcPr>
                <w:p>
                  <w:pPr>
                    <w:pStyle w:val="84"/>
                    <w:rPr>
                      <w:color w:val="auto"/>
                    </w:rPr>
                  </w:pPr>
                </w:p>
              </w:tc>
              <w:tc>
                <w:tcPr>
                  <w:tcW w:w="1058" w:type="dxa"/>
                  <w:vMerge w:val="continue"/>
                  <w:vAlign w:val="center"/>
                </w:tcPr>
                <w:p>
                  <w:pPr>
                    <w:pStyle w:val="84"/>
                    <w:rPr>
                      <w:color w:val="auto"/>
                    </w:rPr>
                  </w:pPr>
                </w:p>
              </w:tc>
              <w:tc>
                <w:tcPr>
                  <w:tcW w:w="570" w:type="dxa"/>
                  <w:vMerge w:val="continue"/>
                  <w:vAlign w:val="center"/>
                </w:tcPr>
                <w:p>
                  <w:pPr>
                    <w:pStyle w:val="84"/>
                    <w:rPr>
                      <w:color w:val="auto"/>
                    </w:rPr>
                  </w:pPr>
                </w:p>
              </w:tc>
              <w:tc>
                <w:tcPr>
                  <w:tcW w:w="791" w:type="dxa"/>
                  <w:vMerge w:val="continue"/>
                  <w:vAlign w:val="center"/>
                </w:tcPr>
                <w:p>
                  <w:pPr>
                    <w:pStyle w:val="84"/>
                    <w:rPr>
                      <w:color w:val="auto"/>
                    </w:rPr>
                  </w:pPr>
                </w:p>
              </w:tc>
              <w:tc>
                <w:tcPr>
                  <w:tcW w:w="1248" w:type="dxa"/>
                  <w:vMerge w:val="continue"/>
                  <w:vAlign w:val="center"/>
                </w:tcPr>
                <w:p>
                  <w:pPr>
                    <w:pStyle w:val="84"/>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6" w:hRule="atLeast"/>
                <w:jc w:val="center"/>
              </w:trPr>
              <w:tc>
                <w:tcPr>
                  <w:tcW w:w="639" w:type="dxa"/>
                  <w:vMerge w:val="restart"/>
                  <w:vAlign w:val="center"/>
                </w:tcPr>
                <w:p>
                  <w:pPr>
                    <w:pStyle w:val="84"/>
                    <w:rPr>
                      <w:color w:val="auto"/>
                    </w:rPr>
                  </w:pPr>
                  <w:r>
                    <w:rPr>
                      <w:rFonts w:hint="eastAsia"/>
                      <w:color w:val="auto"/>
                    </w:rPr>
                    <w:t>环境空气</w:t>
                  </w:r>
                </w:p>
              </w:tc>
              <w:tc>
                <w:tcPr>
                  <w:tcW w:w="1353" w:type="dxa"/>
                  <w:vAlign w:val="center"/>
                </w:tcPr>
                <w:p>
                  <w:pPr>
                    <w:pStyle w:val="84"/>
                    <w:rPr>
                      <w:color w:val="auto"/>
                    </w:rPr>
                  </w:pPr>
                  <w:r>
                    <w:rPr>
                      <w:color w:val="auto"/>
                    </w:rPr>
                    <w:t>108.207993037</w:t>
                  </w:r>
                </w:p>
              </w:tc>
              <w:tc>
                <w:tcPr>
                  <w:tcW w:w="1254" w:type="dxa"/>
                  <w:vAlign w:val="center"/>
                </w:tcPr>
                <w:p>
                  <w:pPr>
                    <w:pStyle w:val="84"/>
                    <w:rPr>
                      <w:color w:val="auto"/>
                    </w:rPr>
                  </w:pPr>
                  <w:r>
                    <w:rPr>
                      <w:color w:val="auto"/>
                    </w:rPr>
                    <w:t>33.074686988</w:t>
                  </w:r>
                </w:p>
              </w:tc>
              <w:tc>
                <w:tcPr>
                  <w:tcW w:w="936" w:type="dxa"/>
                  <w:vAlign w:val="center"/>
                </w:tcPr>
                <w:p>
                  <w:pPr>
                    <w:pStyle w:val="84"/>
                    <w:rPr>
                      <w:color w:val="auto"/>
                    </w:rPr>
                  </w:pPr>
                  <w:r>
                    <w:rPr>
                      <w:rFonts w:hint="eastAsia"/>
                      <w:color w:val="auto"/>
                    </w:rPr>
                    <w:t>古堰社区居民</w:t>
                  </w:r>
                </w:p>
              </w:tc>
              <w:tc>
                <w:tcPr>
                  <w:tcW w:w="1058" w:type="dxa"/>
                  <w:vAlign w:val="center"/>
                </w:tcPr>
                <w:p>
                  <w:pPr>
                    <w:pStyle w:val="84"/>
                    <w:rPr>
                      <w:color w:val="auto"/>
                    </w:rPr>
                  </w:pPr>
                  <w:r>
                    <w:rPr>
                      <w:rFonts w:hint="eastAsia"/>
                      <w:color w:val="auto"/>
                    </w:rPr>
                    <w:t>约42户；约95人；</w:t>
                  </w:r>
                </w:p>
              </w:tc>
              <w:tc>
                <w:tcPr>
                  <w:tcW w:w="570" w:type="dxa"/>
                  <w:vMerge w:val="restart"/>
                  <w:vAlign w:val="center"/>
                </w:tcPr>
                <w:p>
                  <w:pPr>
                    <w:pStyle w:val="84"/>
                    <w:rPr>
                      <w:color w:val="auto"/>
                    </w:rPr>
                  </w:pPr>
                  <w:r>
                    <w:rPr>
                      <w:color w:val="auto"/>
                    </w:rPr>
                    <w:t>环境空气二类区</w:t>
                  </w:r>
                </w:p>
              </w:tc>
              <w:tc>
                <w:tcPr>
                  <w:tcW w:w="791" w:type="dxa"/>
                  <w:vAlign w:val="center"/>
                </w:tcPr>
                <w:p>
                  <w:pPr>
                    <w:pStyle w:val="84"/>
                    <w:rPr>
                      <w:color w:val="auto"/>
                    </w:rPr>
                  </w:pPr>
                  <w:r>
                    <w:rPr>
                      <w:rFonts w:hint="eastAsia"/>
                      <w:color w:val="auto"/>
                    </w:rPr>
                    <w:t>SW</w:t>
                  </w:r>
                </w:p>
              </w:tc>
              <w:tc>
                <w:tcPr>
                  <w:tcW w:w="1248" w:type="dxa"/>
                  <w:vAlign w:val="center"/>
                </w:tcPr>
                <w:p>
                  <w:pPr>
                    <w:pStyle w:val="84"/>
                    <w:rPr>
                      <w:color w:val="auto"/>
                    </w:rPr>
                  </w:pPr>
                  <w:r>
                    <w:rPr>
                      <w:rFonts w:hint="eastAsia"/>
                      <w:color w:val="auto"/>
                    </w:rPr>
                    <w:t>367m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6" w:hRule="atLeast"/>
                <w:jc w:val="center"/>
              </w:trPr>
              <w:tc>
                <w:tcPr>
                  <w:tcW w:w="639" w:type="dxa"/>
                  <w:vMerge w:val="continue"/>
                  <w:vAlign w:val="center"/>
                </w:tcPr>
                <w:p>
                  <w:pPr>
                    <w:pStyle w:val="84"/>
                    <w:rPr>
                      <w:color w:val="auto"/>
                    </w:rPr>
                  </w:pPr>
                </w:p>
              </w:tc>
              <w:tc>
                <w:tcPr>
                  <w:tcW w:w="1353" w:type="dxa"/>
                  <w:vAlign w:val="center"/>
                </w:tcPr>
                <w:p>
                  <w:pPr>
                    <w:pStyle w:val="84"/>
                    <w:rPr>
                      <w:color w:val="auto"/>
                    </w:rPr>
                  </w:pPr>
                  <w:r>
                    <w:rPr>
                      <w:color w:val="auto"/>
                    </w:rPr>
                    <w:t>108.21951628</w:t>
                  </w:r>
                </w:p>
              </w:tc>
              <w:tc>
                <w:tcPr>
                  <w:tcW w:w="1254" w:type="dxa"/>
                  <w:vAlign w:val="center"/>
                </w:tcPr>
                <w:p>
                  <w:pPr>
                    <w:pStyle w:val="84"/>
                    <w:rPr>
                      <w:color w:val="auto"/>
                    </w:rPr>
                  </w:pPr>
                  <w:r>
                    <w:rPr>
                      <w:color w:val="auto"/>
                    </w:rPr>
                    <w:t>33.07853407</w:t>
                  </w:r>
                </w:p>
              </w:tc>
              <w:tc>
                <w:tcPr>
                  <w:tcW w:w="936" w:type="dxa"/>
                  <w:vAlign w:val="center"/>
                </w:tcPr>
                <w:p>
                  <w:pPr>
                    <w:pStyle w:val="84"/>
                    <w:rPr>
                      <w:color w:val="auto"/>
                    </w:rPr>
                  </w:pPr>
                  <w:r>
                    <w:rPr>
                      <w:rFonts w:hint="eastAsia"/>
                      <w:color w:val="auto"/>
                    </w:rPr>
                    <w:t>一四村</w:t>
                  </w:r>
                </w:p>
              </w:tc>
              <w:tc>
                <w:tcPr>
                  <w:tcW w:w="1058" w:type="dxa"/>
                  <w:vAlign w:val="center"/>
                </w:tcPr>
                <w:p>
                  <w:pPr>
                    <w:pStyle w:val="84"/>
                    <w:rPr>
                      <w:color w:val="auto"/>
                    </w:rPr>
                  </w:pPr>
                  <w:r>
                    <w:rPr>
                      <w:rFonts w:hint="eastAsia"/>
                      <w:color w:val="auto"/>
                    </w:rPr>
                    <w:t>约78户；约234人；</w:t>
                  </w:r>
                </w:p>
              </w:tc>
              <w:tc>
                <w:tcPr>
                  <w:tcW w:w="570" w:type="dxa"/>
                  <w:vMerge w:val="continue"/>
                  <w:vAlign w:val="center"/>
                </w:tcPr>
                <w:p>
                  <w:pPr>
                    <w:pStyle w:val="84"/>
                    <w:rPr>
                      <w:color w:val="auto"/>
                    </w:rPr>
                  </w:pPr>
                </w:p>
              </w:tc>
              <w:tc>
                <w:tcPr>
                  <w:tcW w:w="791" w:type="dxa"/>
                  <w:vAlign w:val="center"/>
                </w:tcPr>
                <w:p>
                  <w:pPr>
                    <w:pStyle w:val="84"/>
                    <w:rPr>
                      <w:color w:val="auto"/>
                    </w:rPr>
                  </w:pPr>
                  <w:r>
                    <w:rPr>
                      <w:rFonts w:hint="eastAsia"/>
                      <w:color w:val="auto"/>
                    </w:rPr>
                    <w:t>E</w:t>
                  </w:r>
                </w:p>
              </w:tc>
              <w:tc>
                <w:tcPr>
                  <w:tcW w:w="1248" w:type="dxa"/>
                  <w:vAlign w:val="center"/>
                </w:tcPr>
                <w:p>
                  <w:pPr>
                    <w:pStyle w:val="84"/>
                    <w:rPr>
                      <w:color w:val="auto"/>
                    </w:rPr>
                  </w:pPr>
                  <w:r>
                    <w:rPr>
                      <w:rFonts w:hint="eastAsia"/>
                      <w:color w:val="auto"/>
                    </w:rPr>
                    <w:t>163m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6" w:hRule="atLeast"/>
                <w:jc w:val="center"/>
              </w:trPr>
              <w:tc>
                <w:tcPr>
                  <w:tcW w:w="639" w:type="dxa"/>
                  <w:vMerge w:val="continue"/>
                  <w:vAlign w:val="center"/>
                </w:tcPr>
                <w:p>
                  <w:pPr>
                    <w:pStyle w:val="84"/>
                    <w:rPr>
                      <w:color w:val="auto"/>
                    </w:rPr>
                  </w:pPr>
                </w:p>
              </w:tc>
              <w:tc>
                <w:tcPr>
                  <w:tcW w:w="1353" w:type="dxa"/>
                  <w:vAlign w:val="center"/>
                </w:tcPr>
                <w:p>
                  <w:pPr>
                    <w:pStyle w:val="84"/>
                    <w:rPr>
                      <w:color w:val="auto"/>
                    </w:rPr>
                  </w:pPr>
                  <w:r>
                    <w:rPr>
                      <w:color w:val="auto"/>
                    </w:rPr>
                    <w:t>108.22267056</w:t>
                  </w:r>
                </w:p>
              </w:tc>
              <w:tc>
                <w:tcPr>
                  <w:tcW w:w="1254" w:type="dxa"/>
                  <w:vAlign w:val="center"/>
                </w:tcPr>
                <w:p>
                  <w:pPr>
                    <w:pStyle w:val="84"/>
                    <w:rPr>
                      <w:color w:val="auto"/>
                    </w:rPr>
                  </w:pPr>
                  <w:r>
                    <w:rPr>
                      <w:color w:val="auto"/>
                    </w:rPr>
                    <w:t>33.07390412</w:t>
                  </w:r>
                </w:p>
              </w:tc>
              <w:tc>
                <w:tcPr>
                  <w:tcW w:w="936" w:type="dxa"/>
                  <w:vAlign w:val="center"/>
                </w:tcPr>
                <w:p>
                  <w:pPr>
                    <w:pStyle w:val="84"/>
                    <w:rPr>
                      <w:color w:val="auto"/>
                    </w:rPr>
                  </w:pPr>
                  <w:r>
                    <w:rPr>
                      <w:rFonts w:hint="eastAsia"/>
                      <w:color w:val="auto"/>
                    </w:rPr>
                    <w:t>石泉县第三中学</w:t>
                  </w:r>
                </w:p>
              </w:tc>
              <w:tc>
                <w:tcPr>
                  <w:tcW w:w="1058" w:type="dxa"/>
                  <w:vAlign w:val="center"/>
                </w:tcPr>
                <w:p>
                  <w:pPr>
                    <w:pStyle w:val="84"/>
                    <w:rPr>
                      <w:color w:val="auto"/>
                    </w:rPr>
                  </w:pPr>
                  <w:r>
                    <w:rPr>
                      <w:rFonts w:hint="eastAsia"/>
                      <w:color w:val="auto"/>
                    </w:rPr>
                    <w:t>约师生836人</w:t>
                  </w:r>
                </w:p>
              </w:tc>
              <w:tc>
                <w:tcPr>
                  <w:tcW w:w="570" w:type="dxa"/>
                  <w:vMerge w:val="continue"/>
                  <w:vAlign w:val="center"/>
                </w:tcPr>
                <w:p>
                  <w:pPr>
                    <w:pStyle w:val="84"/>
                    <w:rPr>
                      <w:color w:val="auto"/>
                    </w:rPr>
                  </w:pPr>
                </w:p>
              </w:tc>
              <w:tc>
                <w:tcPr>
                  <w:tcW w:w="791" w:type="dxa"/>
                  <w:vAlign w:val="center"/>
                </w:tcPr>
                <w:p>
                  <w:pPr>
                    <w:pStyle w:val="84"/>
                    <w:rPr>
                      <w:color w:val="auto"/>
                    </w:rPr>
                  </w:pPr>
                  <w:r>
                    <w:rPr>
                      <w:rFonts w:hint="eastAsia"/>
                      <w:color w:val="auto"/>
                    </w:rPr>
                    <w:t>SE</w:t>
                  </w:r>
                </w:p>
              </w:tc>
              <w:tc>
                <w:tcPr>
                  <w:tcW w:w="1248" w:type="dxa"/>
                  <w:vAlign w:val="center"/>
                </w:tcPr>
                <w:p>
                  <w:pPr>
                    <w:pStyle w:val="84"/>
                    <w:rPr>
                      <w:color w:val="auto"/>
                    </w:rPr>
                  </w:pPr>
                  <w:r>
                    <w:rPr>
                      <w:rFonts w:hint="eastAsia"/>
                      <w:color w:val="auto"/>
                    </w:rPr>
                    <w:t>464m</w:t>
                  </w:r>
                </w:p>
              </w:tc>
            </w:tr>
          </w:tbl>
          <w:p>
            <w:pPr>
              <w:pStyle w:val="59"/>
              <w:adjustRightInd w:val="0"/>
              <w:spacing w:line="360" w:lineRule="auto"/>
              <w:ind w:firstLine="0" w:firstLineChars="0"/>
              <w:rPr>
                <w:rFonts w:ascii="Times New Roman"/>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jc w:val="center"/>
        </w:trPr>
        <w:tc>
          <w:tcPr>
            <w:tcW w:w="443" w:type="dxa"/>
            <w:tcMar>
              <w:left w:w="28" w:type="dxa"/>
              <w:right w:w="28" w:type="dxa"/>
            </w:tcMar>
            <w:vAlign w:val="center"/>
          </w:tcPr>
          <w:p>
            <w:pPr>
              <w:adjustRightInd w:val="0"/>
              <w:snapToGrid w:val="0"/>
              <w:ind w:firstLine="0" w:firstLineChars="0"/>
              <w:jc w:val="center"/>
              <w:rPr>
                <w:kern w:val="0"/>
              </w:rPr>
            </w:pPr>
            <w:r>
              <w:rPr>
                <w:kern w:val="0"/>
              </w:rPr>
              <w:t>污染</w:t>
            </w:r>
          </w:p>
          <w:p>
            <w:pPr>
              <w:adjustRightInd w:val="0"/>
              <w:snapToGrid w:val="0"/>
              <w:ind w:firstLine="0" w:firstLineChars="0"/>
              <w:jc w:val="center"/>
              <w:rPr>
                <w:kern w:val="0"/>
              </w:rPr>
            </w:pPr>
            <w:r>
              <w:rPr>
                <w:kern w:val="0"/>
              </w:rPr>
              <w:t>物排</w:t>
            </w:r>
          </w:p>
          <w:p>
            <w:pPr>
              <w:adjustRightInd w:val="0"/>
              <w:snapToGrid w:val="0"/>
              <w:ind w:firstLine="0" w:firstLineChars="0"/>
              <w:jc w:val="center"/>
              <w:rPr>
                <w:kern w:val="0"/>
              </w:rPr>
            </w:pPr>
            <w:r>
              <w:rPr>
                <w:kern w:val="0"/>
              </w:rPr>
              <w:t>放控</w:t>
            </w:r>
          </w:p>
          <w:p>
            <w:pPr>
              <w:adjustRightInd w:val="0"/>
              <w:snapToGrid w:val="0"/>
              <w:ind w:firstLine="0" w:firstLineChars="0"/>
              <w:jc w:val="center"/>
              <w:rPr>
                <w:kern w:val="0"/>
              </w:rPr>
            </w:pPr>
            <w:r>
              <w:rPr>
                <w:kern w:val="0"/>
              </w:rPr>
              <w:t>制标</w:t>
            </w:r>
          </w:p>
          <w:p>
            <w:pPr>
              <w:adjustRightInd w:val="0"/>
              <w:snapToGrid w:val="0"/>
              <w:ind w:firstLine="0" w:firstLineChars="0"/>
              <w:jc w:val="center"/>
              <w:rPr>
                <w:kern w:val="0"/>
              </w:rPr>
            </w:pPr>
            <w:r>
              <w:rPr>
                <w:kern w:val="0"/>
              </w:rPr>
              <w:t>准</w:t>
            </w:r>
          </w:p>
        </w:tc>
        <w:tc>
          <w:tcPr>
            <w:tcW w:w="8078" w:type="dxa"/>
            <w:vAlign w:val="center"/>
          </w:tcPr>
          <w:p>
            <w:pPr>
              <w:adjustRightInd w:val="0"/>
              <w:ind w:firstLine="0" w:firstLineChars="0"/>
              <w:rPr>
                <w:spacing w:val="-6"/>
              </w:rPr>
            </w:pPr>
          </w:p>
          <w:p>
            <w:pPr>
              <w:numPr>
                <w:ilvl w:val="0"/>
                <w:numId w:val="7"/>
              </w:numPr>
              <w:adjustRightInd w:val="0"/>
              <w:ind w:firstLine="456"/>
              <w:rPr>
                <w:spacing w:val="-6"/>
              </w:rPr>
            </w:pPr>
            <w:r>
              <w:rPr>
                <w:rFonts w:hint="eastAsia"/>
                <w:spacing w:val="-6"/>
              </w:rPr>
              <w:t>废气</w:t>
            </w:r>
            <w:r>
              <w:rPr>
                <w:spacing w:val="-6"/>
              </w:rPr>
              <w:t>排放标准</w:t>
            </w:r>
          </w:p>
          <w:p>
            <w:pPr>
              <w:ind w:firstLine="480"/>
            </w:pPr>
            <w:r>
              <w:rPr>
                <w:rFonts w:hint="eastAsia"/>
              </w:rPr>
              <w:t>施工期施工扬尘执行《施工厂界扬尘排放限值》（DB61/1078-2017）的相关规定。</w:t>
            </w:r>
          </w:p>
          <w:p>
            <w:pPr>
              <w:tabs>
                <w:tab w:val="left" w:pos="8505"/>
              </w:tabs>
              <w:adjustRightInd w:val="0"/>
              <w:spacing w:line="240" w:lineRule="auto"/>
              <w:ind w:firstLine="422"/>
              <w:jc w:val="center"/>
              <w:rPr>
                <w:b/>
                <w:kern w:val="0"/>
                <w:sz w:val="21"/>
                <w:szCs w:val="18"/>
              </w:rPr>
            </w:pPr>
            <w:r>
              <w:rPr>
                <w:rFonts w:hint="eastAsia"/>
                <w:b/>
                <w:kern w:val="0"/>
                <w:sz w:val="21"/>
                <w:szCs w:val="18"/>
              </w:rPr>
              <w:t>表3-5施工期废气排放标准</w:t>
            </w:r>
          </w:p>
          <w:tbl>
            <w:tblPr>
              <w:tblStyle w:val="37"/>
              <w:tblW w:w="78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1"/>
              <w:gridCol w:w="1206"/>
              <w:gridCol w:w="970"/>
              <w:gridCol w:w="3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521" w:type="dxa"/>
                  <w:vMerge w:val="restart"/>
                  <w:tcBorders>
                    <w:tl2br w:val="nil"/>
                    <w:tr2bl w:val="nil"/>
                  </w:tcBorders>
                  <w:vAlign w:val="center"/>
                </w:tcPr>
                <w:p>
                  <w:pPr>
                    <w:pStyle w:val="84"/>
                    <w:rPr>
                      <w:color w:val="auto"/>
                    </w:rPr>
                  </w:pPr>
                  <w:r>
                    <w:rPr>
                      <w:rFonts w:hint="eastAsia"/>
                      <w:color w:val="auto"/>
                    </w:rPr>
                    <w:t>标准名称</w:t>
                  </w:r>
                </w:p>
              </w:tc>
              <w:tc>
                <w:tcPr>
                  <w:tcW w:w="1206" w:type="dxa"/>
                  <w:vMerge w:val="restart"/>
                  <w:tcBorders>
                    <w:tl2br w:val="nil"/>
                    <w:tr2bl w:val="nil"/>
                  </w:tcBorders>
                  <w:vAlign w:val="center"/>
                </w:tcPr>
                <w:p>
                  <w:pPr>
                    <w:pStyle w:val="84"/>
                    <w:rPr>
                      <w:color w:val="auto"/>
                    </w:rPr>
                  </w:pPr>
                  <w:r>
                    <w:rPr>
                      <w:rFonts w:hint="eastAsia"/>
                      <w:color w:val="auto"/>
                    </w:rPr>
                    <w:t>使用类别</w:t>
                  </w:r>
                </w:p>
              </w:tc>
              <w:tc>
                <w:tcPr>
                  <w:tcW w:w="4122" w:type="dxa"/>
                  <w:gridSpan w:val="2"/>
                  <w:tcBorders>
                    <w:tl2br w:val="nil"/>
                    <w:tr2bl w:val="nil"/>
                  </w:tcBorders>
                  <w:vAlign w:val="center"/>
                </w:tcPr>
                <w:p>
                  <w:pPr>
                    <w:pStyle w:val="84"/>
                    <w:rPr>
                      <w:color w:val="auto"/>
                    </w:rPr>
                  </w:pPr>
                  <w:r>
                    <w:rPr>
                      <w:rFonts w:hint="eastAsia"/>
                      <w:color w:val="auto"/>
                    </w:rPr>
                    <w:t>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521" w:type="dxa"/>
                  <w:vMerge w:val="continue"/>
                  <w:tcBorders>
                    <w:tl2br w:val="nil"/>
                    <w:tr2bl w:val="nil"/>
                  </w:tcBorders>
                  <w:vAlign w:val="center"/>
                </w:tcPr>
                <w:p>
                  <w:pPr>
                    <w:pStyle w:val="84"/>
                    <w:rPr>
                      <w:color w:val="auto"/>
                    </w:rPr>
                  </w:pPr>
                </w:p>
              </w:tc>
              <w:tc>
                <w:tcPr>
                  <w:tcW w:w="1206" w:type="dxa"/>
                  <w:vMerge w:val="continue"/>
                  <w:tcBorders>
                    <w:tl2br w:val="nil"/>
                    <w:tr2bl w:val="nil"/>
                  </w:tcBorders>
                  <w:vAlign w:val="center"/>
                </w:tcPr>
                <w:p>
                  <w:pPr>
                    <w:pStyle w:val="84"/>
                    <w:rPr>
                      <w:color w:val="auto"/>
                    </w:rPr>
                  </w:pPr>
                </w:p>
              </w:tc>
              <w:tc>
                <w:tcPr>
                  <w:tcW w:w="970" w:type="dxa"/>
                  <w:tcBorders>
                    <w:tl2br w:val="nil"/>
                    <w:tr2bl w:val="nil"/>
                  </w:tcBorders>
                  <w:vAlign w:val="center"/>
                </w:tcPr>
                <w:p>
                  <w:pPr>
                    <w:pStyle w:val="84"/>
                    <w:rPr>
                      <w:color w:val="auto"/>
                    </w:rPr>
                  </w:pPr>
                  <w:r>
                    <w:rPr>
                      <w:rFonts w:hint="eastAsia"/>
                      <w:color w:val="auto"/>
                    </w:rPr>
                    <w:t>污染物</w:t>
                  </w:r>
                </w:p>
              </w:tc>
              <w:tc>
                <w:tcPr>
                  <w:tcW w:w="3152" w:type="dxa"/>
                  <w:tcBorders>
                    <w:tl2br w:val="nil"/>
                    <w:tr2bl w:val="nil"/>
                  </w:tcBorders>
                  <w:vAlign w:val="center"/>
                </w:tcPr>
                <w:p>
                  <w:pPr>
                    <w:pStyle w:val="84"/>
                    <w:rPr>
                      <w:color w:val="auto"/>
                    </w:rPr>
                  </w:pPr>
                  <w:r>
                    <w:rPr>
                      <w:rFonts w:hint="eastAsia"/>
                      <w:color w:val="auto"/>
                    </w:rPr>
                    <w:t>浓度限值mg/m</w:t>
                  </w:r>
                  <w:r>
                    <w:rPr>
                      <w:rFonts w:hint="eastAsia"/>
                      <w:color w:val="auto"/>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trPr>
              <w:tc>
                <w:tcPr>
                  <w:tcW w:w="2521" w:type="dxa"/>
                  <w:tcBorders>
                    <w:tl2br w:val="nil"/>
                    <w:tr2bl w:val="nil"/>
                  </w:tcBorders>
                  <w:vAlign w:val="center"/>
                </w:tcPr>
                <w:p>
                  <w:pPr>
                    <w:pStyle w:val="84"/>
                    <w:rPr>
                      <w:color w:val="auto"/>
                    </w:rPr>
                  </w:pPr>
                  <w:r>
                    <w:rPr>
                      <w:rFonts w:hint="eastAsia"/>
                      <w:color w:val="auto"/>
                    </w:rPr>
                    <w:t>《施工场界扬尘排放限值》（DB61/1078-2017）</w:t>
                  </w:r>
                </w:p>
              </w:tc>
              <w:tc>
                <w:tcPr>
                  <w:tcW w:w="1206" w:type="dxa"/>
                  <w:tcBorders>
                    <w:tl2br w:val="nil"/>
                    <w:tr2bl w:val="nil"/>
                  </w:tcBorders>
                  <w:vAlign w:val="center"/>
                </w:tcPr>
                <w:p>
                  <w:pPr>
                    <w:pStyle w:val="84"/>
                    <w:rPr>
                      <w:color w:val="auto"/>
                    </w:rPr>
                  </w:pPr>
                  <w:r>
                    <w:rPr>
                      <w:rFonts w:hint="eastAsia"/>
                      <w:color w:val="auto"/>
                    </w:rPr>
                    <w:t>施工扬尘</w:t>
                  </w:r>
                </w:p>
              </w:tc>
              <w:tc>
                <w:tcPr>
                  <w:tcW w:w="970" w:type="dxa"/>
                  <w:tcBorders>
                    <w:tl2br w:val="nil"/>
                    <w:tr2bl w:val="nil"/>
                  </w:tcBorders>
                  <w:vAlign w:val="center"/>
                </w:tcPr>
                <w:p>
                  <w:pPr>
                    <w:pStyle w:val="84"/>
                    <w:rPr>
                      <w:color w:val="auto"/>
                    </w:rPr>
                  </w:pPr>
                  <w:r>
                    <w:rPr>
                      <w:rFonts w:hint="eastAsia"/>
                      <w:color w:val="auto"/>
                    </w:rPr>
                    <w:t>TSP</w:t>
                  </w:r>
                </w:p>
              </w:tc>
              <w:tc>
                <w:tcPr>
                  <w:tcW w:w="3152" w:type="dxa"/>
                  <w:tcBorders>
                    <w:tl2br w:val="nil"/>
                    <w:tr2bl w:val="nil"/>
                  </w:tcBorders>
                  <w:vAlign w:val="center"/>
                </w:tcPr>
                <w:p>
                  <w:pPr>
                    <w:pStyle w:val="84"/>
                    <w:rPr>
                      <w:color w:val="auto"/>
                    </w:rPr>
                  </w:pPr>
                  <w:r>
                    <w:rPr>
                      <w:rFonts w:hint="eastAsia"/>
                      <w:color w:val="auto"/>
                    </w:rPr>
                    <w:t>基础、主体结构及装饰工程≦0.7</w:t>
                  </w:r>
                </w:p>
              </w:tc>
            </w:tr>
          </w:tbl>
          <w:p>
            <w:pPr>
              <w:ind w:firstLine="480"/>
            </w:pPr>
            <w:r>
              <w:t>运营期制粒</w:t>
            </w:r>
            <w:r>
              <w:rPr>
                <w:rFonts w:hint="eastAsia"/>
              </w:rPr>
              <w:t>、烘干</w:t>
            </w:r>
            <w:r>
              <w:t>过程粉尘排放浓度、排放速率及及厂界无组织排放浓度限值执行《大气污染物综合排放标准》（GB16297-1996）二级标准，</w:t>
            </w:r>
            <w:r>
              <w:rPr>
                <w:rFonts w:hint="eastAsia"/>
              </w:rPr>
              <w:t>天然气</w:t>
            </w:r>
            <w:r>
              <w:rPr>
                <w:rFonts w:hint="eastAsia"/>
                <w:szCs w:val="28"/>
              </w:rPr>
              <w:t>燃烧废气</w:t>
            </w:r>
            <w:r>
              <w:rPr>
                <w:szCs w:val="28"/>
              </w:rPr>
              <w:t>排放执行《锅炉大气污染物排放标准》（DB61/1226-2018）中相关标准限值</w:t>
            </w:r>
            <w:r>
              <w:rPr>
                <w:rFonts w:hint="eastAsia"/>
                <w:szCs w:val="28"/>
              </w:rPr>
              <w:t>；</w:t>
            </w:r>
            <w:r>
              <w:rPr>
                <w:rFonts w:hint="eastAsia"/>
              </w:rPr>
              <w:t>熔融</w:t>
            </w:r>
            <w:r>
              <w:t>过程粉尘</w:t>
            </w:r>
            <w:r>
              <w:rPr>
                <w:rFonts w:hint="eastAsia"/>
              </w:rPr>
              <w:t>排放满足《工业炉窑大气污染物排放标准》（GB9078-1996）二级标准；异味排放满足《恶臭污染物排放标准》（GB 14554-93）二级标准。</w:t>
            </w:r>
          </w:p>
          <w:p>
            <w:pPr>
              <w:autoSpaceDE w:val="0"/>
              <w:autoSpaceDN w:val="0"/>
              <w:adjustRightInd w:val="0"/>
              <w:snapToGrid w:val="0"/>
              <w:spacing w:line="240" w:lineRule="auto"/>
              <w:ind w:firstLine="0" w:firstLineChars="0"/>
              <w:jc w:val="center"/>
              <w:rPr>
                <w:b/>
                <w:sz w:val="21"/>
                <w:szCs w:val="21"/>
              </w:rPr>
            </w:pPr>
            <w:r>
              <w:rPr>
                <w:b/>
                <w:sz w:val="21"/>
                <w:szCs w:val="21"/>
              </w:rPr>
              <w:t>表</w:t>
            </w:r>
            <w:r>
              <w:rPr>
                <w:rFonts w:hint="eastAsia"/>
                <w:b/>
                <w:sz w:val="21"/>
                <w:szCs w:val="21"/>
              </w:rPr>
              <w:t>3-6制粒、烘干粉尘</w:t>
            </w:r>
            <w:r>
              <w:rPr>
                <w:b/>
                <w:sz w:val="21"/>
                <w:szCs w:val="21"/>
              </w:rPr>
              <w:t>执行标准</w:t>
            </w:r>
          </w:p>
          <w:tbl>
            <w:tblPr>
              <w:tblStyle w:val="37"/>
              <w:tblW w:w="78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7"/>
              <w:gridCol w:w="881"/>
              <w:gridCol w:w="1107"/>
              <w:gridCol w:w="1181"/>
              <w:gridCol w:w="1109"/>
              <w:gridCol w:w="1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2467" w:type="dxa"/>
                  <w:vMerge w:val="restart"/>
                  <w:vAlign w:val="center"/>
                </w:tcPr>
                <w:p>
                  <w:pPr>
                    <w:pStyle w:val="91"/>
                  </w:pPr>
                  <w:r>
                    <w:t>标准名称</w:t>
                  </w:r>
                </w:p>
              </w:tc>
              <w:tc>
                <w:tcPr>
                  <w:tcW w:w="881" w:type="dxa"/>
                  <w:vMerge w:val="restart"/>
                  <w:vAlign w:val="center"/>
                </w:tcPr>
                <w:p>
                  <w:pPr>
                    <w:pStyle w:val="91"/>
                  </w:pPr>
                  <w:r>
                    <w:t>污染物</w:t>
                  </w:r>
                </w:p>
              </w:tc>
              <w:tc>
                <w:tcPr>
                  <w:tcW w:w="1107" w:type="dxa"/>
                  <w:vMerge w:val="restart"/>
                  <w:vAlign w:val="center"/>
                </w:tcPr>
                <w:p>
                  <w:pPr>
                    <w:pStyle w:val="91"/>
                  </w:pPr>
                  <w:r>
                    <w:t>最高允许排放浓度mg/m</w:t>
                  </w:r>
                  <w:r>
                    <w:rPr>
                      <w:vertAlign w:val="superscript"/>
                    </w:rPr>
                    <w:t>3</w:t>
                  </w:r>
                </w:p>
              </w:tc>
              <w:tc>
                <w:tcPr>
                  <w:tcW w:w="2290" w:type="dxa"/>
                  <w:gridSpan w:val="2"/>
                  <w:vAlign w:val="center"/>
                </w:tcPr>
                <w:p>
                  <w:pPr>
                    <w:pStyle w:val="91"/>
                  </w:pPr>
                  <w:r>
                    <w:t>最高允许排放速率</w:t>
                  </w:r>
                </w:p>
              </w:tc>
              <w:tc>
                <w:tcPr>
                  <w:tcW w:w="1098" w:type="dxa"/>
                  <w:vMerge w:val="restart"/>
                  <w:vAlign w:val="center"/>
                </w:tcPr>
                <w:p>
                  <w:pPr>
                    <w:pStyle w:val="91"/>
                  </w:pPr>
                  <w:r>
                    <w:t>无组织排放限值mg/m</w:t>
                  </w:r>
                  <w:r>
                    <w:rPr>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2467" w:type="dxa"/>
                  <w:vMerge w:val="continue"/>
                  <w:vAlign w:val="center"/>
                </w:tcPr>
                <w:p>
                  <w:pPr>
                    <w:pStyle w:val="91"/>
                  </w:pPr>
                </w:p>
              </w:tc>
              <w:tc>
                <w:tcPr>
                  <w:tcW w:w="881" w:type="dxa"/>
                  <w:vMerge w:val="continue"/>
                  <w:vAlign w:val="center"/>
                </w:tcPr>
                <w:p>
                  <w:pPr>
                    <w:pStyle w:val="91"/>
                  </w:pPr>
                </w:p>
              </w:tc>
              <w:tc>
                <w:tcPr>
                  <w:tcW w:w="1107" w:type="dxa"/>
                  <w:vMerge w:val="continue"/>
                  <w:vAlign w:val="center"/>
                </w:tcPr>
                <w:p>
                  <w:pPr>
                    <w:pStyle w:val="91"/>
                  </w:pPr>
                </w:p>
              </w:tc>
              <w:tc>
                <w:tcPr>
                  <w:tcW w:w="1181" w:type="dxa"/>
                  <w:vAlign w:val="center"/>
                </w:tcPr>
                <w:p>
                  <w:pPr>
                    <w:pStyle w:val="91"/>
                  </w:pPr>
                  <w:r>
                    <w:t>排气筒高度</w:t>
                  </w:r>
                </w:p>
              </w:tc>
              <w:tc>
                <w:tcPr>
                  <w:tcW w:w="1109" w:type="dxa"/>
                  <w:vAlign w:val="center"/>
                </w:tcPr>
                <w:p>
                  <w:pPr>
                    <w:pStyle w:val="91"/>
                  </w:pPr>
                  <w:r>
                    <w:t>二级kg/h</w:t>
                  </w:r>
                </w:p>
              </w:tc>
              <w:tc>
                <w:tcPr>
                  <w:tcW w:w="1098" w:type="dxa"/>
                  <w:vMerge w:val="continue"/>
                  <w:vAlign w:val="center"/>
                </w:tcPr>
                <w:p>
                  <w:pPr>
                    <w:pStyle w:val="9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7" w:type="dxa"/>
                  <w:vAlign w:val="center"/>
                </w:tcPr>
                <w:p>
                  <w:pPr>
                    <w:pStyle w:val="91"/>
                  </w:pPr>
                  <w:r>
                    <w:t>《大气污染物综合排放标准》（GB16297-1996）</w:t>
                  </w:r>
                </w:p>
              </w:tc>
              <w:tc>
                <w:tcPr>
                  <w:tcW w:w="881" w:type="dxa"/>
                  <w:vAlign w:val="center"/>
                </w:tcPr>
                <w:p>
                  <w:pPr>
                    <w:pStyle w:val="91"/>
                  </w:pPr>
                  <w:r>
                    <w:t>颗粒物</w:t>
                  </w:r>
                </w:p>
              </w:tc>
              <w:tc>
                <w:tcPr>
                  <w:tcW w:w="1107" w:type="dxa"/>
                  <w:vAlign w:val="center"/>
                </w:tcPr>
                <w:p>
                  <w:pPr>
                    <w:pStyle w:val="91"/>
                  </w:pPr>
                  <w:r>
                    <w:t>120</w:t>
                  </w:r>
                </w:p>
              </w:tc>
              <w:tc>
                <w:tcPr>
                  <w:tcW w:w="1181" w:type="dxa"/>
                  <w:vAlign w:val="center"/>
                </w:tcPr>
                <w:p>
                  <w:pPr>
                    <w:pStyle w:val="91"/>
                  </w:pPr>
                  <w:r>
                    <w:t>15</w:t>
                  </w:r>
                </w:p>
              </w:tc>
              <w:tc>
                <w:tcPr>
                  <w:tcW w:w="1109" w:type="dxa"/>
                  <w:vAlign w:val="center"/>
                </w:tcPr>
                <w:p>
                  <w:pPr>
                    <w:pStyle w:val="91"/>
                  </w:pPr>
                  <w:r>
                    <w:t>1.75</w:t>
                  </w:r>
                </w:p>
              </w:tc>
              <w:tc>
                <w:tcPr>
                  <w:tcW w:w="1098" w:type="dxa"/>
                  <w:vAlign w:val="center"/>
                </w:tcPr>
                <w:p>
                  <w:pPr>
                    <w:pStyle w:val="91"/>
                  </w:pPr>
                  <w:r>
                    <w:t>1.0</w:t>
                  </w:r>
                </w:p>
              </w:tc>
            </w:tr>
          </w:tbl>
          <w:p>
            <w:pPr>
              <w:autoSpaceDE w:val="0"/>
              <w:autoSpaceDN w:val="0"/>
              <w:adjustRightInd w:val="0"/>
              <w:snapToGrid w:val="0"/>
              <w:spacing w:line="240" w:lineRule="auto"/>
              <w:ind w:firstLine="0" w:firstLineChars="0"/>
              <w:jc w:val="center"/>
              <w:rPr>
                <w:b/>
                <w:sz w:val="21"/>
                <w:szCs w:val="21"/>
              </w:rPr>
            </w:pPr>
          </w:p>
          <w:p>
            <w:pPr>
              <w:autoSpaceDE w:val="0"/>
              <w:autoSpaceDN w:val="0"/>
              <w:adjustRightInd w:val="0"/>
              <w:snapToGrid w:val="0"/>
              <w:spacing w:line="240" w:lineRule="auto"/>
              <w:ind w:firstLine="0" w:firstLineChars="0"/>
              <w:jc w:val="center"/>
              <w:rPr>
                <w:b/>
                <w:sz w:val="21"/>
                <w:szCs w:val="21"/>
              </w:rPr>
            </w:pPr>
            <w:r>
              <w:rPr>
                <w:b/>
                <w:sz w:val="21"/>
                <w:szCs w:val="21"/>
              </w:rPr>
              <w:t>表</w:t>
            </w:r>
            <w:r>
              <w:rPr>
                <w:rFonts w:hint="eastAsia"/>
                <w:b/>
                <w:sz w:val="21"/>
                <w:szCs w:val="21"/>
              </w:rPr>
              <w:t>3-7天然气燃烧废气</w:t>
            </w:r>
            <w:r>
              <w:rPr>
                <w:b/>
                <w:sz w:val="21"/>
                <w:szCs w:val="21"/>
              </w:rPr>
              <w:t>执行标准</w:t>
            </w:r>
          </w:p>
          <w:tbl>
            <w:tblPr>
              <w:tblStyle w:val="37"/>
              <w:tblW w:w="7851" w:type="dxa"/>
              <w:tblInd w:w="3" w:type="dxa"/>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4001"/>
              <w:gridCol w:w="1468"/>
              <w:gridCol w:w="2382"/>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001" w:type="dxa"/>
                  <w:tcBorders>
                    <w:tl2br w:val="nil"/>
                    <w:tr2bl w:val="nil"/>
                  </w:tcBorders>
                  <w:vAlign w:val="center"/>
                </w:tcPr>
                <w:p>
                  <w:pPr>
                    <w:pStyle w:val="42"/>
                    <w:snapToGrid w:val="0"/>
                    <w:jc w:val="center"/>
                    <w:rPr>
                      <w:rFonts w:ascii="Times New Roman" w:eastAsia="宋体" w:cs="Times New Roman"/>
                      <w:bCs/>
                      <w:snapToGrid w:val="0"/>
                      <w:color w:val="auto"/>
                      <w:sz w:val="21"/>
                      <w:szCs w:val="21"/>
                    </w:rPr>
                  </w:pPr>
                  <w:r>
                    <w:rPr>
                      <w:rFonts w:ascii="Times New Roman" w:eastAsia="宋体" w:cs="Times New Roman"/>
                      <w:bCs/>
                      <w:snapToGrid w:val="0"/>
                      <w:color w:val="auto"/>
                      <w:sz w:val="21"/>
                      <w:szCs w:val="21"/>
                    </w:rPr>
                    <w:t>标准名称</w:t>
                  </w:r>
                </w:p>
              </w:tc>
              <w:tc>
                <w:tcPr>
                  <w:tcW w:w="1468" w:type="dxa"/>
                  <w:tcBorders>
                    <w:tl2br w:val="nil"/>
                    <w:tr2bl w:val="nil"/>
                  </w:tcBorders>
                  <w:vAlign w:val="center"/>
                </w:tcPr>
                <w:p>
                  <w:pPr>
                    <w:pStyle w:val="42"/>
                    <w:snapToGrid w:val="0"/>
                    <w:jc w:val="center"/>
                    <w:rPr>
                      <w:rFonts w:ascii="Times New Roman" w:eastAsia="宋体" w:cs="Times New Roman"/>
                      <w:bCs/>
                      <w:snapToGrid w:val="0"/>
                      <w:color w:val="auto"/>
                      <w:sz w:val="21"/>
                      <w:szCs w:val="21"/>
                    </w:rPr>
                  </w:pPr>
                  <w:r>
                    <w:rPr>
                      <w:rFonts w:ascii="Times New Roman" w:eastAsia="宋体" w:cs="Times New Roman"/>
                      <w:bCs/>
                      <w:snapToGrid w:val="0"/>
                      <w:color w:val="auto"/>
                      <w:sz w:val="21"/>
                      <w:szCs w:val="21"/>
                    </w:rPr>
                    <w:t>污染物</w:t>
                  </w:r>
                </w:p>
              </w:tc>
              <w:tc>
                <w:tcPr>
                  <w:tcW w:w="2382" w:type="dxa"/>
                  <w:tcBorders>
                    <w:tl2br w:val="nil"/>
                    <w:tr2bl w:val="nil"/>
                  </w:tcBorders>
                  <w:vAlign w:val="center"/>
                </w:tcPr>
                <w:p>
                  <w:pPr>
                    <w:pStyle w:val="42"/>
                    <w:snapToGrid w:val="0"/>
                    <w:jc w:val="center"/>
                    <w:rPr>
                      <w:rFonts w:ascii="Times New Roman" w:eastAsia="宋体" w:cs="Times New Roman"/>
                      <w:bCs/>
                      <w:snapToGrid w:val="0"/>
                      <w:color w:val="auto"/>
                      <w:sz w:val="21"/>
                      <w:szCs w:val="21"/>
                    </w:rPr>
                  </w:pPr>
                  <w:r>
                    <w:rPr>
                      <w:rFonts w:ascii="Times New Roman" w:eastAsia="宋体" w:cs="Times New Roman"/>
                      <w:bCs/>
                      <w:snapToGrid w:val="0"/>
                      <w:color w:val="auto"/>
                      <w:sz w:val="21"/>
                      <w:szCs w:val="21"/>
                    </w:rPr>
                    <w:t>最高允许排放浓度</w:t>
                  </w:r>
                  <w:r>
                    <w:rPr>
                      <w:rFonts w:ascii="Times New Roman" w:cs="Times New Roman" w:eastAsiaTheme="minorEastAsia"/>
                      <w:bCs/>
                      <w:snapToGrid w:val="0"/>
                      <w:color w:val="auto"/>
                      <w:sz w:val="21"/>
                      <w:szCs w:val="21"/>
                    </w:rPr>
                    <w:t>mg/m</w:t>
                  </w:r>
                  <w:r>
                    <w:rPr>
                      <w:rFonts w:ascii="Times New Roman" w:cs="Times New Roman" w:eastAsiaTheme="minorEastAsia"/>
                      <w:bCs/>
                      <w:snapToGrid w:val="0"/>
                      <w:color w:val="auto"/>
                      <w:sz w:val="21"/>
                      <w:szCs w:val="21"/>
                      <w:vertAlign w:val="superscript"/>
                    </w:rPr>
                    <w:t>3</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trPr>
              <w:tc>
                <w:tcPr>
                  <w:tcW w:w="4001" w:type="dxa"/>
                  <w:vMerge w:val="restart"/>
                  <w:tcBorders>
                    <w:tl2br w:val="nil"/>
                    <w:tr2bl w:val="nil"/>
                  </w:tcBorders>
                  <w:vAlign w:val="center"/>
                </w:tcPr>
                <w:p>
                  <w:pPr>
                    <w:pStyle w:val="19"/>
                    <w:tabs>
                      <w:tab w:val="left" w:pos="0"/>
                      <w:tab w:val="left" w:pos="1365"/>
                    </w:tabs>
                    <w:adjustRightInd w:val="0"/>
                    <w:snapToGrid w:val="0"/>
                    <w:spacing w:line="240" w:lineRule="auto"/>
                    <w:ind w:firstLine="0" w:firstLineChars="0"/>
                    <w:jc w:val="center"/>
                    <w:rPr>
                      <w:rFonts w:ascii="Times New Roman" w:hAnsi="Times New Roman"/>
                      <w:bCs/>
                      <w:sz w:val="21"/>
                      <w:szCs w:val="21"/>
                    </w:rPr>
                  </w:pPr>
                  <w:r>
                    <w:rPr>
                      <w:rFonts w:ascii="Times New Roman" w:hAnsi="Times New Roman"/>
                      <w:bCs/>
                      <w:sz w:val="21"/>
                      <w:szCs w:val="21"/>
                    </w:rPr>
                    <w:t>《锅炉大气污染物排放标准》（DB61/1226-2018）</w:t>
                  </w:r>
                </w:p>
              </w:tc>
              <w:tc>
                <w:tcPr>
                  <w:tcW w:w="1468" w:type="dxa"/>
                  <w:tcBorders>
                    <w:tl2br w:val="nil"/>
                    <w:tr2bl w:val="nil"/>
                  </w:tcBorders>
                  <w:vAlign w:val="center"/>
                </w:tcPr>
                <w:p>
                  <w:pPr>
                    <w:pStyle w:val="19"/>
                    <w:tabs>
                      <w:tab w:val="left" w:pos="0"/>
                      <w:tab w:val="left" w:pos="1365"/>
                    </w:tabs>
                    <w:adjustRightInd w:val="0"/>
                    <w:snapToGrid w:val="0"/>
                    <w:spacing w:line="240" w:lineRule="auto"/>
                    <w:ind w:firstLine="0" w:firstLineChars="0"/>
                    <w:jc w:val="center"/>
                    <w:rPr>
                      <w:rFonts w:ascii="Times New Roman" w:hAnsi="Times New Roman"/>
                      <w:bCs/>
                      <w:sz w:val="21"/>
                      <w:szCs w:val="21"/>
                    </w:rPr>
                  </w:pPr>
                  <w:r>
                    <w:rPr>
                      <w:rFonts w:ascii="Times New Roman" w:hAnsi="Times New Roman"/>
                      <w:bCs/>
                      <w:sz w:val="21"/>
                      <w:szCs w:val="21"/>
                    </w:rPr>
                    <w:t>颗粒物</w:t>
                  </w:r>
                </w:p>
              </w:tc>
              <w:tc>
                <w:tcPr>
                  <w:tcW w:w="2382" w:type="dxa"/>
                  <w:tcBorders>
                    <w:tl2br w:val="nil"/>
                    <w:tr2bl w:val="nil"/>
                  </w:tcBorders>
                  <w:vAlign w:val="center"/>
                </w:tcPr>
                <w:p>
                  <w:pPr>
                    <w:adjustRightInd w:val="0"/>
                    <w:snapToGrid w:val="0"/>
                    <w:spacing w:line="240" w:lineRule="auto"/>
                    <w:ind w:firstLine="0" w:firstLineChars="0"/>
                    <w:jc w:val="center"/>
                    <w:textAlignment w:val="baseline"/>
                    <w:rPr>
                      <w:bCs/>
                      <w:snapToGrid w:val="0"/>
                      <w:sz w:val="21"/>
                      <w:szCs w:val="21"/>
                    </w:rPr>
                  </w:pPr>
                  <w:r>
                    <w:rPr>
                      <w:bCs/>
                      <w:sz w:val="21"/>
                      <w:szCs w:val="21"/>
                    </w:rPr>
                    <w:t>10</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trPr>
              <w:tc>
                <w:tcPr>
                  <w:tcW w:w="4001" w:type="dxa"/>
                  <w:vMerge w:val="continue"/>
                  <w:tcBorders>
                    <w:tl2br w:val="nil"/>
                    <w:tr2bl w:val="nil"/>
                  </w:tcBorders>
                  <w:vAlign w:val="center"/>
                </w:tcPr>
                <w:p>
                  <w:pPr>
                    <w:pStyle w:val="42"/>
                    <w:snapToGrid w:val="0"/>
                    <w:jc w:val="center"/>
                    <w:rPr>
                      <w:rFonts w:ascii="Times New Roman" w:cs="Times New Roman"/>
                      <w:bCs/>
                      <w:color w:val="auto"/>
                      <w:sz w:val="21"/>
                      <w:szCs w:val="21"/>
                    </w:rPr>
                  </w:pPr>
                </w:p>
              </w:tc>
              <w:tc>
                <w:tcPr>
                  <w:tcW w:w="1468" w:type="dxa"/>
                  <w:tcBorders>
                    <w:tl2br w:val="nil"/>
                    <w:tr2bl w:val="nil"/>
                  </w:tcBorders>
                  <w:vAlign w:val="center"/>
                </w:tcPr>
                <w:p>
                  <w:pPr>
                    <w:pStyle w:val="19"/>
                    <w:tabs>
                      <w:tab w:val="left" w:pos="0"/>
                      <w:tab w:val="left" w:pos="1365"/>
                    </w:tabs>
                    <w:adjustRightInd w:val="0"/>
                    <w:snapToGrid w:val="0"/>
                    <w:spacing w:line="240" w:lineRule="auto"/>
                    <w:ind w:firstLine="0" w:firstLineChars="0"/>
                    <w:jc w:val="center"/>
                    <w:rPr>
                      <w:rFonts w:ascii="Times New Roman" w:hAnsi="Times New Roman"/>
                      <w:bCs/>
                      <w:sz w:val="21"/>
                      <w:szCs w:val="21"/>
                    </w:rPr>
                  </w:pPr>
                  <w:r>
                    <w:rPr>
                      <w:rFonts w:ascii="Times New Roman" w:hAnsi="Times New Roman"/>
                      <w:bCs/>
                      <w:sz w:val="21"/>
                      <w:szCs w:val="21"/>
                    </w:rPr>
                    <w:t>SO</w:t>
                  </w:r>
                  <w:r>
                    <w:rPr>
                      <w:rFonts w:ascii="Times New Roman" w:hAnsi="Times New Roman"/>
                      <w:bCs/>
                      <w:sz w:val="21"/>
                      <w:szCs w:val="21"/>
                      <w:vertAlign w:val="subscript"/>
                    </w:rPr>
                    <w:t>2</w:t>
                  </w:r>
                </w:p>
              </w:tc>
              <w:tc>
                <w:tcPr>
                  <w:tcW w:w="2382" w:type="dxa"/>
                  <w:tcBorders>
                    <w:tl2br w:val="nil"/>
                    <w:tr2bl w:val="nil"/>
                  </w:tcBorders>
                  <w:vAlign w:val="center"/>
                </w:tcPr>
                <w:p>
                  <w:pPr>
                    <w:adjustRightInd w:val="0"/>
                    <w:snapToGrid w:val="0"/>
                    <w:spacing w:line="240" w:lineRule="auto"/>
                    <w:ind w:firstLine="0" w:firstLineChars="0"/>
                    <w:jc w:val="center"/>
                    <w:textAlignment w:val="baseline"/>
                    <w:rPr>
                      <w:bCs/>
                      <w:sz w:val="21"/>
                      <w:szCs w:val="21"/>
                    </w:rPr>
                  </w:pPr>
                  <w:r>
                    <w:rPr>
                      <w:bCs/>
                      <w:sz w:val="21"/>
                      <w:szCs w:val="21"/>
                    </w:rPr>
                    <w:t>20</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trPr>
              <w:tc>
                <w:tcPr>
                  <w:tcW w:w="4001" w:type="dxa"/>
                  <w:vMerge w:val="continue"/>
                  <w:tcBorders>
                    <w:tl2br w:val="nil"/>
                    <w:tr2bl w:val="nil"/>
                  </w:tcBorders>
                  <w:vAlign w:val="center"/>
                </w:tcPr>
                <w:p>
                  <w:pPr>
                    <w:pStyle w:val="42"/>
                    <w:snapToGrid w:val="0"/>
                    <w:jc w:val="center"/>
                    <w:rPr>
                      <w:rFonts w:ascii="Times New Roman" w:eastAsia="宋体" w:cs="Times New Roman"/>
                      <w:bCs/>
                      <w:color w:val="auto"/>
                      <w:sz w:val="21"/>
                      <w:szCs w:val="21"/>
                    </w:rPr>
                  </w:pPr>
                </w:p>
              </w:tc>
              <w:tc>
                <w:tcPr>
                  <w:tcW w:w="1468" w:type="dxa"/>
                  <w:tcBorders>
                    <w:tl2br w:val="nil"/>
                    <w:tr2bl w:val="nil"/>
                  </w:tcBorders>
                  <w:vAlign w:val="center"/>
                </w:tcPr>
                <w:p>
                  <w:pPr>
                    <w:pStyle w:val="19"/>
                    <w:tabs>
                      <w:tab w:val="left" w:pos="0"/>
                      <w:tab w:val="left" w:pos="1365"/>
                    </w:tabs>
                    <w:adjustRightInd w:val="0"/>
                    <w:snapToGrid w:val="0"/>
                    <w:spacing w:line="240" w:lineRule="auto"/>
                    <w:ind w:firstLine="0" w:firstLineChars="0"/>
                    <w:jc w:val="center"/>
                    <w:rPr>
                      <w:rFonts w:ascii="Times New Roman" w:hAnsi="Times New Roman"/>
                      <w:bCs/>
                      <w:sz w:val="21"/>
                      <w:szCs w:val="21"/>
                    </w:rPr>
                  </w:pPr>
                  <w:r>
                    <w:rPr>
                      <w:rFonts w:ascii="Times New Roman" w:hAnsi="Times New Roman"/>
                      <w:bCs/>
                      <w:sz w:val="21"/>
                      <w:szCs w:val="21"/>
                    </w:rPr>
                    <w:t>NO</w:t>
                  </w:r>
                  <w:r>
                    <w:rPr>
                      <w:rFonts w:ascii="Times New Roman" w:hAnsi="Times New Roman"/>
                      <w:bCs/>
                      <w:sz w:val="21"/>
                      <w:szCs w:val="21"/>
                      <w:vertAlign w:val="subscript"/>
                    </w:rPr>
                    <w:t>X</w:t>
                  </w:r>
                </w:p>
              </w:tc>
              <w:tc>
                <w:tcPr>
                  <w:tcW w:w="2382" w:type="dxa"/>
                  <w:tcBorders>
                    <w:tl2br w:val="nil"/>
                    <w:tr2bl w:val="nil"/>
                  </w:tcBorders>
                  <w:vAlign w:val="center"/>
                </w:tcPr>
                <w:p>
                  <w:pPr>
                    <w:adjustRightInd w:val="0"/>
                    <w:snapToGrid w:val="0"/>
                    <w:spacing w:line="240" w:lineRule="auto"/>
                    <w:ind w:firstLine="0" w:firstLineChars="0"/>
                    <w:jc w:val="center"/>
                    <w:textAlignment w:val="baseline"/>
                    <w:rPr>
                      <w:bCs/>
                      <w:sz w:val="21"/>
                      <w:szCs w:val="21"/>
                    </w:rPr>
                  </w:pPr>
                  <w:r>
                    <w:rPr>
                      <w:bCs/>
                      <w:sz w:val="21"/>
                      <w:szCs w:val="21"/>
                    </w:rPr>
                    <w:t>50</w:t>
                  </w:r>
                </w:p>
              </w:tc>
            </w:tr>
          </w:tbl>
          <w:p>
            <w:pPr>
              <w:autoSpaceDE w:val="0"/>
              <w:autoSpaceDN w:val="0"/>
              <w:adjustRightInd w:val="0"/>
              <w:snapToGrid w:val="0"/>
              <w:spacing w:line="240" w:lineRule="auto"/>
              <w:ind w:firstLine="0" w:firstLineChars="0"/>
              <w:jc w:val="center"/>
              <w:rPr>
                <w:b/>
                <w:sz w:val="21"/>
                <w:szCs w:val="21"/>
              </w:rPr>
            </w:pPr>
          </w:p>
          <w:p>
            <w:pPr>
              <w:autoSpaceDE w:val="0"/>
              <w:autoSpaceDN w:val="0"/>
              <w:adjustRightInd w:val="0"/>
              <w:snapToGrid w:val="0"/>
              <w:spacing w:line="240" w:lineRule="auto"/>
              <w:ind w:firstLine="0" w:firstLineChars="0"/>
              <w:jc w:val="center"/>
              <w:rPr>
                <w:b/>
                <w:sz w:val="21"/>
                <w:szCs w:val="21"/>
              </w:rPr>
            </w:pPr>
            <w:r>
              <w:rPr>
                <w:b/>
                <w:sz w:val="21"/>
                <w:szCs w:val="21"/>
              </w:rPr>
              <w:t>表</w:t>
            </w:r>
            <w:r>
              <w:rPr>
                <w:rFonts w:hint="eastAsia"/>
                <w:b/>
                <w:sz w:val="21"/>
                <w:szCs w:val="21"/>
              </w:rPr>
              <w:t>3-8熔融粉尘</w:t>
            </w:r>
            <w:r>
              <w:rPr>
                <w:b/>
                <w:sz w:val="21"/>
                <w:szCs w:val="21"/>
              </w:rPr>
              <w:t>执行标准</w:t>
            </w:r>
          </w:p>
          <w:tbl>
            <w:tblPr>
              <w:tblStyle w:val="37"/>
              <w:tblW w:w="78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5"/>
              <w:gridCol w:w="1361"/>
              <w:gridCol w:w="2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4345" w:type="dxa"/>
                  <w:vMerge w:val="restart"/>
                  <w:vAlign w:val="center"/>
                </w:tcPr>
                <w:p>
                  <w:pPr>
                    <w:pStyle w:val="91"/>
                  </w:pPr>
                  <w:r>
                    <w:t>标准名称</w:t>
                  </w:r>
                </w:p>
              </w:tc>
              <w:tc>
                <w:tcPr>
                  <w:tcW w:w="1361" w:type="dxa"/>
                  <w:vMerge w:val="restart"/>
                  <w:vAlign w:val="center"/>
                </w:tcPr>
                <w:p>
                  <w:pPr>
                    <w:pStyle w:val="91"/>
                  </w:pPr>
                  <w:r>
                    <w:t>污染物</w:t>
                  </w:r>
                </w:p>
              </w:tc>
              <w:tc>
                <w:tcPr>
                  <w:tcW w:w="2143" w:type="dxa"/>
                  <w:vMerge w:val="restart"/>
                  <w:vAlign w:val="center"/>
                </w:tcPr>
                <w:p>
                  <w:pPr>
                    <w:pStyle w:val="91"/>
                  </w:pPr>
                  <w:r>
                    <w:t>最高允许排放浓度mg/m</w:t>
                  </w:r>
                  <w:r>
                    <w:rPr>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4345" w:type="dxa"/>
                  <w:vMerge w:val="continue"/>
                  <w:vAlign w:val="center"/>
                </w:tcPr>
                <w:p>
                  <w:pPr>
                    <w:pStyle w:val="91"/>
                  </w:pPr>
                </w:p>
              </w:tc>
              <w:tc>
                <w:tcPr>
                  <w:tcW w:w="1361" w:type="dxa"/>
                  <w:vMerge w:val="continue"/>
                  <w:vAlign w:val="center"/>
                </w:tcPr>
                <w:p>
                  <w:pPr>
                    <w:pStyle w:val="91"/>
                  </w:pPr>
                </w:p>
              </w:tc>
              <w:tc>
                <w:tcPr>
                  <w:tcW w:w="2143" w:type="dxa"/>
                  <w:vMerge w:val="continue"/>
                  <w:vAlign w:val="center"/>
                </w:tcPr>
                <w:p>
                  <w:pPr>
                    <w:pStyle w:val="9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45" w:type="dxa"/>
                  <w:vAlign w:val="center"/>
                </w:tcPr>
                <w:p>
                  <w:pPr>
                    <w:pStyle w:val="91"/>
                  </w:pPr>
                  <w:r>
                    <w:t>《工业炉窑大气污染物排放标准》（GB9078-1996）二级标准</w:t>
                  </w:r>
                </w:p>
              </w:tc>
              <w:tc>
                <w:tcPr>
                  <w:tcW w:w="1361" w:type="dxa"/>
                  <w:vAlign w:val="center"/>
                </w:tcPr>
                <w:p>
                  <w:pPr>
                    <w:pStyle w:val="91"/>
                  </w:pPr>
                  <w:r>
                    <w:t>颗粒物</w:t>
                  </w:r>
                </w:p>
              </w:tc>
              <w:tc>
                <w:tcPr>
                  <w:tcW w:w="2143" w:type="dxa"/>
                  <w:vAlign w:val="center"/>
                </w:tcPr>
                <w:p>
                  <w:pPr>
                    <w:pStyle w:val="91"/>
                  </w:pPr>
                  <w:r>
                    <w:rPr>
                      <w:rFonts w:hint="eastAsia"/>
                    </w:rPr>
                    <w:t>100</w:t>
                  </w:r>
                </w:p>
              </w:tc>
            </w:tr>
          </w:tbl>
          <w:p>
            <w:pPr>
              <w:autoSpaceDE w:val="0"/>
              <w:autoSpaceDN w:val="0"/>
              <w:adjustRightInd w:val="0"/>
              <w:snapToGrid w:val="0"/>
              <w:spacing w:line="240" w:lineRule="auto"/>
              <w:ind w:firstLine="0" w:firstLineChars="0"/>
              <w:jc w:val="center"/>
              <w:rPr>
                <w:b/>
                <w:sz w:val="21"/>
                <w:szCs w:val="21"/>
              </w:rPr>
            </w:pPr>
          </w:p>
          <w:p>
            <w:pPr>
              <w:autoSpaceDE w:val="0"/>
              <w:autoSpaceDN w:val="0"/>
              <w:adjustRightInd w:val="0"/>
              <w:snapToGrid w:val="0"/>
              <w:spacing w:line="240" w:lineRule="auto"/>
              <w:ind w:firstLine="0" w:firstLineChars="0"/>
              <w:jc w:val="center"/>
              <w:rPr>
                <w:b/>
                <w:sz w:val="21"/>
                <w:szCs w:val="21"/>
              </w:rPr>
            </w:pPr>
            <w:r>
              <w:rPr>
                <w:b/>
                <w:sz w:val="21"/>
                <w:szCs w:val="21"/>
              </w:rPr>
              <w:t>表</w:t>
            </w:r>
            <w:r>
              <w:rPr>
                <w:rFonts w:hint="eastAsia"/>
                <w:b/>
                <w:sz w:val="21"/>
                <w:szCs w:val="21"/>
              </w:rPr>
              <w:t>3-9恶臭气体排放</w:t>
            </w:r>
            <w:r>
              <w:rPr>
                <w:b/>
                <w:sz w:val="21"/>
                <w:szCs w:val="21"/>
              </w:rPr>
              <w:t>执行标准</w:t>
            </w:r>
          </w:p>
          <w:tbl>
            <w:tblPr>
              <w:tblStyle w:val="37"/>
              <w:tblW w:w="78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670"/>
              <w:gridCol w:w="2903"/>
              <w:gridCol w:w="1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312" w:type="dxa"/>
                  <w:vAlign w:val="center"/>
                </w:tcPr>
                <w:p>
                  <w:pPr>
                    <w:pStyle w:val="91"/>
                  </w:pPr>
                  <w:r>
                    <w:rPr>
                      <w:rFonts w:hint="eastAsia"/>
                    </w:rPr>
                    <w:t>序号</w:t>
                  </w:r>
                </w:p>
              </w:tc>
              <w:tc>
                <w:tcPr>
                  <w:tcW w:w="1670" w:type="dxa"/>
                  <w:vAlign w:val="center"/>
                </w:tcPr>
                <w:p>
                  <w:pPr>
                    <w:pStyle w:val="91"/>
                  </w:pPr>
                  <w:r>
                    <w:rPr>
                      <w:rFonts w:hint="eastAsia"/>
                    </w:rPr>
                    <w:t>控制项目</w:t>
                  </w:r>
                </w:p>
              </w:tc>
              <w:tc>
                <w:tcPr>
                  <w:tcW w:w="2903" w:type="dxa"/>
                  <w:vAlign w:val="center"/>
                </w:tcPr>
                <w:p>
                  <w:pPr>
                    <w:pStyle w:val="91"/>
                  </w:pPr>
                  <w:r>
                    <w:rPr>
                      <w:rFonts w:hint="eastAsia"/>
                    </w:rPr>
                    <w:t>20</w:t>
                  </w:r>
                  <w:r>
                    <w:t>m</w:t>
                  </w:r>
                  <w:r>
                    <w:rPr>
                      <w:rFonts w:hint="eastAsia"/>
                    </w:rPr>
                    <w:t>高</w:t>
                  </w:r>
                  <w:r>
                    <w:t>排⽓筒对应排放限值</w:t>
                  </w:r>
                </w:p>
              </w:tc>
              <w:tc>
                <w:tcPr>
                  <w:tcW w:w="1964" w:type="dxa"/>
                  <w:vAlign w:val="center"/>
                </w:tcPr>
                <w:p>
                  <w:pPr>
                    <w:pStyle w:val="91"/>
                  </w:pPr>
                  <w:r>
                    <w:rPr>
                      <w:rFonts w:hint="eastAsia"/>
                    </w:rPr>
                    <w:t>二级厂界</w:t>
                  </w:r>
                  <w:r>
                    <w:t>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312" w:type="dxa"/>
                  <w:vAlign w:val="center"/>
                </w:tcPr>
                <w:p>
                  <w:pPr>
                    <w:pStyle w:val="91"/>
                  </w:pPr>
                  <w:r>
                    <w:rPr>
                      <w:rFonts w:hint="eastAsia"/>
                    </w:rPr>
                    <w:t>1</w:t>
                  </w:r>
                </w:p>
              </w:tc>
              <w:tc>
                <w:tcPr>
                  <w:tcW w:w="1670" w:type="dxa"/>
                  <w:vAlign w:val="center"/>
                </w:tcPr>
                <w:p>
                  <w:pPr>
                    <w:pStyle w:val="91"/>
                  </w:pPr>
                  <w:r>
                    <w:rPr>
                      <w:rFonts w:hint="eastAsia"/>
                    </w:rPr>
                    <w:t>臭气浓度</w:t>
                  </w:r>
                </w:p>
              </w:tc>
              <w:tc>
                <w:tcPr>
                  <w:tcW w:w="2903" w:type="dxa"/>
                  <w:vAlign w:val="center"/>
                </w:tcPr>
                <w:p>
                  <w:pPr>
                    <w:pStyle w:val="91"/>
                  </w:pPr>
                  <w:r>
                    <w:rPr>
                      <w:rFonts w:hint="eastAsia"/>
                    </w:rPr>
                    <w:t>2000（无量纲）</w:t>
                  </w:r>
                </w:p>
              </w:tc>
              <w:tc>
                <w:tcPr>
                  <w:tcW w:w="1964" w:type="dxa"/>
                  <w:vAlign w:val="center"/>
                </w:tcPr>
                <w:p>
                  <w:pPr>
                    <w:pStyle w:val="91"/>
                  </w:pPr>
                  <w:r>
                    <w:rPr>
                      <w:rFonts w:hint="eastAsia"/>
                    </w:rPr>
                    <w:t>20（无量纲）</w:t>
                  </w:r>
                </w:p>
              </w:tc>
            </w:tr>
          </w:tbl>
          <w:p>
            <w:pPr>
              <w:widowControl/>
              <w:adjustRightInd w:val="0"/>
              <w:ind w:firstLine="456"/>
              <w:jc w:val="left"/>
              <w:rPr>
                <w:spacing w:val="-6"/>
              </w:rPr>
            </w:pPr>
          </w:p>
          <w:p>
            <w:pPr>
              <w:widowControl/>
              <w:adjustRightInd w:val="0"/>
              <w:ind w:firstLine="456"/>
              <w:jc w:val="left"/>
              <w:rPr>
                <w:spacing w:val="-6"/>
              </w:rPr>
            </w:pPr>
            <w:r>
              <w:rPr>
                <w:spacing w:val="-6"/>
              </w:rPr>
              <w:t>2、</w:t>
            </w:r>
            <w:r>
              <w:rPr>
                <w:rFonts w:hint="eastAsia"/>
                <w:spacing w:val="-6"/>
              </w:rPr>
              <w:t>废水排放标准</w:t>
            </w:r>
          </w:p>
          <w:p>
            <w:pPr>
              <w:pStyle w:val="59"/>
              <w:adjustRightInd w:val="0"/>
              <w:spacing w:line="360" w:lineRule="auto"/>
              <w:ind w:firstLine="480"/>
              <w:rPr>
                <w:color w:val="auto"/>
              </w:rPr>
            </w:pPr>
            <w:r>
              <w:rPr>
                <w:rFonts w:hint="eastAsia"/>
                <w:color w:val="auto"/>
              </w:rPr>
              <w:t>运营期不新增生活污水；制粒用水进入硅泥颗粒中，冷却水循环使用不外排；喷淋废水经沉淀后循环使用不外排；除雾废水经收集后用于厂区洒水，不外排。</w:t>
            </w:r>
          </w:p>
          <w:p>
            <w:pPr>
              <w:pStyle w:val="59"/>
              <w:adjustRightInd w:val="0"/>
              <w:spacing w:line="360" w:lineRule="auto"/>
              <w:ind w:firstLine="480"/>
              <w:rPr>
                <w:rFonts w:ascii="Times New Roman"/>
                <w:color w:val="auto"/>
              </w:rPr>
            </w:pPr>
            <w:r>
              <w:rPr>
                <w:rFonts w:ascii="Times New Roman"/>
                <w:color w:val="auto"/>
              </w:rPr>
              <w:t>3、</w:t>
            </w:r>
            <w:r>
              <w:rPr>
                <w:rFonts w:hint="eastAsia" w:ascii="Times New Roman"/>
                <w:color w:val="auto"/>
              </w:rPr>
              <w:t>噪声排放标准</w:t>
            </w:r>
          </w:p>
          <w:p>
            <w:pPr>
              <w:pStyle w:val="59"/>
              <w:adjustRightInd w:val="0"/>
              <w:spacing w:line="360" w:lineRule="auto"/>
              <w:ind w:firstLine="480"/>
              <w:rPr>
                <w:rFonts w:ascii="Times New Roman"/>
                <w:color w:val="auto"/>
              </w:rPr>
            </w:pPr>
            <w:r>
              <w:rPr>
                <w:rFonts w:ascii="Times New Roman"/>
                <w:color w:val="auto"/>
              </w:rPr>
              <w:t>施工期噪声执行《建筑施工场界环境噪声排放标准》（GB12523-2011）中有关规定；运营期环境噪声执行《工业企业厂界环境噪声排放标准》（GB12348-2008）中</w:t>
            </w:r>
            <w:r>
              <w:rPr>
                <w:rFonts w:hint="eastAsia" w:ascii="Times New Roman"/>
                <w:color w:val="auto"/>
              </w:rPr>
              <w:t>3类</w:t>
            </w:r>
            <w:r>
              <w:rPr>
                <w:rFonts w:ascii="Times New Roman"/>
                <w:color w:val="auto"/>
              </w:rPr>
              <w:t>标准。</w:t>
            </w:r>
          </w:p>
          <w:p>
            <w:pPr>
              <w:pStyle w:val="85"/>
              <w:rPr>
                <w:color w:val="auto"/>
                <w:lang w:val="en-GB"/>
              </w:rPr>
            </w:pPr>
            <w:r>
              <w:rPr>
                <w:color w:val="auto"/>
                <w:lang w:val="en-GB"/>
              </w:rPr>
              <w:t>表</w:t>
            </w:r>
            <w:r>
              <w:rPr>
                <w:color w:val="auto"/>
              </w:rPr>
              <w:t>3-</w:t>
            </w:r>
            <w:r>
              <w:rPr>
                <w:rFonts w:hint="eastAsia"/>
                <w:color w:val="auto"/>
              </w:rPr>
              <w:t>9</w:t>
            </w:r>
            <w:r>
              <w:rPr>
                <w:color w:val="auto"/>
                <w:lang w:val="en-GB"/>
              </w:rPr>
              <w:t>工业企业厂界环境噪声排放标准单位：dB（A）</w:t>
            </w:r>
          </w:p>
          <w:tbl>
            <w:tblPr>
              <w:tblStyle w:val="36"/>
              <w:tblW w:w="78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37"/>
              <w:gridCol w:w="1811"/>
              <w:gridCol w:w="954"/>
              <w:gridCol w:w="1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037" w:type="dxa"/>
                  <w:vMerge w:val="restart"/>
                  <w:tcBorders>
                    <w:tl2br w:val="nil"/>
                    <w:tr2bl w:val="nil"/>
                  </w:tcBorders>
                  <w:vAlign w:val="center"/>
                </w:tcPr>
                <w:p>
                  <w:pPr>
                    <w:pStyle w:val="84"/>
                    <w:rPr>
                      <w:color w:val="auto"/>
                      <w:lang w:val="en-GB"/>
                    </w:rPr>
                  </w:pPr>
                  <w:r>
                    <w:rPr>
                      <w:color w:val="auto"/>
                      <w:lang w:val="en-GB"/>
                    </w:rPr>
                    <w:t>执行标准</w:t>
                  </w:r>
                </w:p>
              </w:tc>
              <w:tc>
                <w:tcPr>
                  <w:tcW w:w="1811" w:type="dxa"/>
                  <w:vMerge w:val="restart"/>
                  <w:tcBorders>
                    <w:tl2br w:val="nil"/>
                    <w:tr2bl w:val="nil"/>
                  </w:tcBorders>
                  <w:vAlign w:val="center"/>
                </w:tcPr>
                <w:p>
                  <w:pPr>
                    <w:pStyle w:val="84"/>
                    <w:rPr>
                      <w:color w:val="auto"/>
                      <w:lang w:val="en-GB"/>
                    </w:rPr>
                  </w:pPr>
                  <w:r>
                    <w:rPr>
                      <w:color w:val="auto"/>
                      <w:lang w:val="en-GB"/>
                    </w:rPr>
                    <w:t>级别</w:t>
                  </w:r>
                </w:p>
              </w:tc>
              <w:tc>
                <w:tcPr>
                  <w:tcW w:w="2001" w:type="dxa"/>
                  <w:gridSpan w:val="2"/>
                  <w:tcBorders>
                    <w:tl2br w:val="nil"/>
                    <w:tr2bl w:val="nil"/>
                  </w:tcBorders>
                  <w:vAlign w:val="center"/>
                </w:tcPr>
                <w:p>
                  <w:pPr>
                    <w:pStyle w:val="84"/>
                    <w:rPr>
                      <w:color w:val="auto"/>
                      <w:lang w:val="en-GB"/>
                    </w:rPr>
                  </w:pPr>
                  <w:r>
                    <w:rPr>
                      <w:color w:val="auto"/>
                      <w:lang w:val="en-GB"/>
                    </w:rPr>
                    <w:t>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037" w:type="dxa"/>
                  <w:vMerge w:val="continue"/>
                  <w:tcBorders>
                    <w:tl2br w:val="nil"/>
                    <w:tr2bl w:val="nil"/>
                  </w:tcBorders>
                  <w:vAlign w:val="center"/>
                </w:tcPr>
                <w:p>
                  <w:pPr>
                    <w:pStyle w:val="84"/>
                    <w:rPr>
                      <w:color w:val="auto"/>
                      <w:lang w:val="en-GB"/>
                    </w:rPr>
                  </w:pPr>
                </w:p>
              </w:tc>
              <w:tc>
                <w:tcPr>
                  <w:tcW w:w="1811" w:type="dxa"/>
                  <w:vMerge w:val="continue"/>
                  <w:tcBorders>
                    <w:tl2br w:val="nil"/>
                    <w:tr2bl w:val="nil"/>
                  </w:tcBorders>
                  <w:vAlign w:val="center"/>
                </w:tcPr>
                <w:p>
                  <w:pPr>
                    <w:pStyle w:val="84"/>
                    <w:rPr>
                      <w:color w:val="auto"/>
                      <w:lang w:val="en-GB"/>
                    </w:rPr>
                  </w:pPr>
                </w:p>
              </w:tc>
              <w:tc>
                <w:tcPr>
                  <w:tcW w:w="954" w:type="dxa"/>
                  <w:tcBorders>
                    <w:tl2br w:val="nil"/>
                    <w:tr2bl w:val="nil"/>
                  </w:tcBorders>
                  <w:vAlign w:val="center"/>
                </w:tcPr>
                <w:p>
                  <w:pPr>
                    <w:pStyle w:val="84"/>
                    <w:rPr>
                      <w:color w:val="auto"/>
                      <w:lang w:val="en-GB"/>
                    </w:rPr>
                  </w:pPr>
                  <w:r>
                    <w:rPr>
                      <w:color w:val="auto"/>
                      <w:lang w:val="en-GB"/>
                    </w:rPr>
                    <w:t>昼间</w:t>
                  </w:r>
                </w:p>
              </w:tc>
              <w:tc>
                <w:tcPr>
                  <w:tcW w:w="1047" w:type="dxa"/>
                  <w:tcBorders>
                    <w:tl2br w:val="nil"/>
                    <w:tr2bl w:val="nil"/>
                  </w:tcBorders>
                  <w:vAlign w:val="center"/>
                </w:tcPr>
                <w:p>
                  <w:pPr>
                    <w:pStyle w:val="84"/>
                    <w:rPr>
                      <w:color w:val="auto"/>
                      <w:lang w:val="en-GB"/>
                    </w:rPr>
                  </w:pPr>
                  <w:r>
                    <w:rPr>
                      <w:color w:val="auto"/>
                      <w:lang w:val="en-GB"/>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037" w:type="dxa"/>
                  <w:tcBorders>
                    <w:tl2br w:val="nil"/>
                    <w:tr2bl w:val="nil"/>
                  </w:tcBorders>
                  <w:vAlign w:val="center"/>
                </w:tcPr>
                <w:p>
                  <w:pPr>
                    <w:pStyle w:val="84"/>
                    <w:rPr>
                      <w:color w:val="auto"/>
                      <w:lang w:val="en-GB"/>
                    </w:rPr>
                  </w:pPr>
                  <w:r>
                    <w:rPr>
                      <w:color w:val="auto"/>
                      <w:lang w:val="en-GB"/>
                    </w:rPr>
                    <w:t>《建筑施工场界环境噪声排放标准》（</w:t>
                  </w:r>
                  <w:r>
                    <w:rPr>
                      <w:color w:val="auto"/>
                    </w:rPr>
                    <w:t>GB12523-2011</w:t>
                  </w:r>
                  <w:r>
                    <w:rPr>
                      <w:color w:val="auto"/>
                      <w:lang w:val="en-GB"/>
                    </w:rPr>
                    <w:t>）</w:t>
                  </w:r>
                </w:p>
              </w:tc>
              <w:tc>
                <w:tcPr>
                  <w:tcW w:w="1811" w:type="dxa"/>
                  <w:tcBorders>
                    <w:tl2br w:val="nil"/>
                    <w:tr2bl w:val="nil"/>
                  </w:tcBorders>
                  <w:vAlign w:val="center"/>
                </w:tcPr>
                <w:p>
                  <w:pPr>
                    <w:pStyle w:val="84"/>
                    <w:rPr>
                      <w:color w:val="auto"/>
                      <w:lang w:val="en-GB"/>
                    </w:rPr>
                  </w:pPr>
                  <w:r>
                    <w:rPr>
                      <w:color w:val="auto"/>
                    </w:rPr>
                    <w:t>/</w:t>
                  </w:r>
                </w:p>
              </w:tc>
              <w:tc>
                <w:tcPr>
                  <w:tcW w:w="954" w:type="dxa"/>
                  <w:tcBorders>
                    <w:tl2br w:val="nil"/>
                    <w:tr2bl w:val="nil"/>
                  </w:tcBorders>
                  <w:vAlign w:val="center"/>
                </w:tcPr>
                <w:p>
                  <w:pPr>
                    <w:pStyle w:val="84"/>
                    <w:rPr>
                      <w:color w:val="auto"/>
                      <w:lang w:val="en-GB"/>
                    </w:rPr>
                  </w:pPr>
                  <w:r>
                    <w:rPr>
                      <w:color w:val="auto"/>
                    </w:rPr>
                    <w:t>70</w:t>
                  </w:r>
                </w:p>
              </w:tc>
              <w:tc>
                <w:tcPr>
                  <w:tcW w:w="1047" w:type="dxa"/>
                  <w:tcBorders>
                    <w:tl2br w:val="nil"/>
                    <w:tr2bl w:val="nil"/>
                  </w:tcBorders>
                  <w:vAlign w:val="center"/>
                </w:tcPr>
                <w:p>
                  <w:pPr>
                    <w:pStyle w:val="84"/>
                    <w:rPr>
                      <w:color w:val="auto"/>
                      <w:lang w:val="en-GB"/>
                    </w:rPr>
                  </w:pPr>
                  <w:r>
                    <w:rPr>
                      <w:color w:val="auto"/>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24" w:hRule="atLeast"/>
                <w:jc w:val="center"/>
              </w:trPr>
              <w:tc>
                <w:tcPr>
                  <w:tcW w:w="4037" w:type="dxa"/>
                  <w:tcBorders>
                    <w:tl2br w:val="nil"/>
                    <w:tr2bl w:val="nil"/>
                  </w:tcBorders>
                  <w:vAlign w:val="center"/>
                </w:tcPr>
                <w:p>
                  <w:pPr>
                    <w:pStyle w:val="84"/>
                    <w:rPr>
                      <w:color w:val="auto"/>
                    </w:rPr>
                  </w:pPr>
                  <w:r>
                    <w:rPr>
                      <w:color w:val="auto"/>
                    </w:rPr>
                    <w:t>《工业企业厂界环境噪声排放标准》（GB12348-2008）</w:t>
                  </w:r>
                </w:p>
              </w:tc>
              <w:tc>
                <w:tcPr>
                  <w:tcW w:w="1811" w:type="dxa"/>
                  <w:tcBorders>
                    <w:tl2br w:val="nil"/>
                    <w:tr2bl w:val="nil"/>
                  </w:tcBorders>
                  <w:vAlign w:val="center"/>
                </w:tcPr>
                <w:p>
                  <w:pPr>
                    <w:pStyle w:val="84"/>
                    <w:rPr>
                      <w:color w:val="auto"/>
                    </w:rPr>
                  </w:pPr>
                  <w:r>
                    <w:rPr>
                      <w:rFonts w:hint="eastAsia"/>
                      <w:color w:val="auto"/>
                    </w:rPr>
                    <w:t>3类</w:t>
                  </w:r>
                </w:p>
              </w:tc>
              <w:tc>
                <w:tcPr>
                  <w:tcW w:w="954" w:type="dxa"/>
                  <w:tcBorders>
                    <w:tl2br w:val="nil"/>
                    <w:tr2bl w:val="nil"/>
                  </w:tcBorders>
                  <w:vAlign w:val="center"/>
                </w:tcPr>
                <w:p>
                  <w:pPr>
                    <w:pStyle w:val="84"/>
                    <w:rPr>
                      <w:color w:val="auto"/>
                    </w:rPr>
                  </w:pPr>
                  <w:r>
                    <w:rPr>
                      <w:rFonts w:hint="eastAsia"/>
                      <w:color w:val="auto"/>
                    </w:rPr>
                    <w:t>65</w:t>
                  </w:r>
                </w:p>
              </w:tc>
              <w:tc>
                <w:tcPr>
                  <w:tcW w:w="1047" w:type="dxa"/>
                  <w:tcBorders>
                    <w:tl2br w:val="nil"/>
                    <w:tr2bl w:val="nil"/>
                  </w:tcBorders>
                  <w:vAlign w:val="center"/>
                </w:tcPr>
                <w:p>
                  <w:pPr>
                    <w:pStyle w:val="84"/>
                    <w:rPr>
                      <w:color w:val="auto"/>
                    </w:rPr>
                  </w:pPr>
                  <w:r>
                    <w:rPr>
                      <w:rFonts w:hint="eastAsia"/>
                      <w:color w:val="auto"/>
                    </w:rPr>
                    <w:t>55</w:t>
                  </w:r>
                </w:p>
              </w:tc>
            </w:tr>
          </w:tbl>
          <w:p>
            <w:pPr>
              <w:adjustRightInd w:val="0"/>
              <w:spacing w:beforeLines="50"/>
              <w:ind w:firstLine="480"/>
            </w:pPr>
            <w:r>
              <w:t>4、</w:t>
            </w:r>
            <w:r>
              <w:rPr>
                <w:rFonts w:hint="eastAsia"/>
              </w:rPr>
              <w:t>固废处置标准</w:t>
            </w:r>
          </w:p>
          <w:p>
            <w:pPr>
              <w:adjustRightInd w:val="0"/>
              <w:ind w:firstLine="480"/>
              <w:rPr>
                <w:kern w:val="0"/>
                <w:szCs w:val="21"/>
              </w:rPr>
            </w:pPr>
            <w:r>
              <w:t>一般工业固体废物</w:t>
            </w:r>
            <w:r>
              <w:rPr>
                <w:rFonts w:hint="eastAsia"/>
              </w:rPr>
              <w:t>参照执行</w:t>
            </w:r>
            <w:r>
              <w:rPr>
                <w:kern w:val="0"/>
              </w:rPr>
              <w:t>《一般工业固体废物贮存和填埋污染控制标准》（GB18599-2020）</w:t>
            </w:r>
            <w:r>
              <w:rPr>
                <w:rFonts w:hint="eastAsia"/>
                <w:kern w:val="0"/>
              </w:rPr>
              <w:t>，</w:t>
            </w:r>
            <w:r>
              <w:rPr>
                <w:kern w:val="0"/>
              </w:rPr>
              <w:t>贮存</w:t>
            </w:r>
            <w:r>
              <w:rPr>
                <w:rFonts w:hint="eastAsia"/>
                <w:kern w:val="0"/>
              </w:rPr>
              <w:t>应满足相应防渗漏、防雨淋、防扬尘等环境保护要求</w:t>
            </w:r>
            <w:r>
              <w:t>；危险废物排放执行《危险废物贮存污染控制标准》（GB18597-20</w:t>
            </w:r>
            <w:r>
              <w:rPr>
                <w:rFonts w:hint="eastAsia"/>
              </w:rPr>
              <w:t>23）中</w:t>
            </w:r>
            <w:r>
              <w:t>的</w:t>
            </w:r>
            <w:r>
              <w:rPr>
                <w:rFonts w:hint="eastAsia"/>
              </w:rPr>
              <w:t>相</w:t>
            </w:r>
            <w:r>
              <w:t>关规定。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3" w:type="dxa"/>
            <w:vAlign w:val="center"/>
          </w:tcPr>
          <w:p>
            <w:pPr>
              <w:adjustRightInd w:val="0"/>
              <w:snapToGrid w:val="0"/>
              <w:ind w:firstLine="0" w:firstLineChars="0"/>
              <w:jc w:val="center"/>
            </w:pPr>
            <w:r>
              <w:rPr>
                <w:szCs w:val="32"/>
              </w:rPr>
              <w:t>总量控制指标</w:t>
            </w:r>
          </w:p>
        </w:tc>
        <w:tc>
          <w:tcPr>
            <w:tcW w:w="8078" w:type="dxa"/>
            <w:vAlign w:val="center"/>
          </w:tcPr>
          <w:p>
            <w:pPr>
              <w:pStyle w:val="59"/>
              <w:adjustRightInd w:val="0"/>
              <w:spacing w:line="360" w:lineRule="auto"/>
              <w:ind w:firstLine="0" w:firstLineChars="0"/>
              <w:rPr>
                <w:rFonts w:ascii="Times New Roman"/>
                <w:bCs/>
                <w:color w:val="auto"/>
              </w:rPr>
            </w:pPr>
          </w:p>
          <w:p>
            <w:pPr>
              <w:pStyle w:val="6"/>
              <w:adjustRightInd w:val="0"/>
              <w:ind w:firstLine="480"/>
              <w:jc w:val="both"/>
              <w:rPr>
                <w:b w:val="0"/>
                <w:szCs w:val="24"/>
              </w:rPr>
            </w:pPr>
            <w:r>
              <w:rPr>
                <w:rFonts w:hint="eastAsia"/>
                <w:b w:val="0"/>
                <w:szCs w:val="24"/>
              </w:rPr>
              <w:t>根据关于印发《陕西省“十四五”生态环境保护规划》的通知（陕政办发（2021）25号），“十四五”污染物控制指标为：NO</w:t>
            </w:r>
            <w:r>
              <w:rPr>
                <w:rFonts w:hint="eastAsia"/>
                <w:b w:val="0"/>
                <w:szCs w:val="24"/>
                <w:vertAlign w:val="subscript"/>
              </w:rPr>
              <w:t>X</w:t>
            </w:r>
            <w:r>
              <w:rPr>
                <w:rFonts w:hint="eastAsia"/>
                <w:b w:val="0"/>
                <w:szCs w:val="24"/>
              </w:rPr>
              <w:t>、VOC</w:t>
            </w:r>
            <w:r>
              <w:rPr>
                <w:rFonts w:hint="eastAsia"/>
                <w:b w:val="0"/>
                <w:szCs w:val="24"/>
                <w:vertAlign w:val="subscript"/>
              </w:rPr>
              <w:t>S</w:t>
            </w:r>
            <w:r>
              <w:rPr>
                <w:rFonts w:hint="eastAsia"/>
                <w:b w:val="0"/>
                <w:szCs w:val="24"/>
              </w:rPr>
              <w:t>、COD和NH</w:t>
            </w:r>
            <w:r>
              <w:rPr>
                <w:rFonts w:hint="eastAsia"/>
                <w:b w:val="0"/>
                <w:szCs w:val="24"/>
                <w:vertAlign w:val="subscript"/>
              </w:rPr>
              <w:t>3</w:t>
            </w:r>
            <w:r>
              <w:rPr>
                <w:rFonts w:hint="eastAsia"/>
                <w:b w:val="0"/>
                <w:szCs w:val="24"/>
              </w:rPr>
              <w:t>-N。</w:t>
            </w:r>
          </w:p>
          <w:p>
            <w:pPr>
              <w:pStyle w:val="6"/>
              <w:adjustRightInd w:val="0"/>
              <w:ind w:firstLine="480"/>
              <w:jc w:val="both"/>
              <w:rPr>
                <w:b w:val="0"/>
                <w:szCs w:val="24"/>
              </w:rPr>
            </w:pPr>
            <w:r>
              <w:rPr>
                <w:rFonts w:hint="eastAsia"/>
                <w:b w:val="0"/>
                <w:szCs w:val="24"/>
              </w:rPr>
              <w:t>本项目运营过程中不新增生活污水，生产废水不外排；本项目烘干环节采用的燃料为天然气，结合项目工艺特征和排污特点，确定本项目污染物总量控制指标：</w:t>
            </w:r>
          </w:p>
          <w:p>
            <w:pPr>
              <w:ind w:firstLine="480"/>
            </w:pPr>
            <w:r>
              <w:t>NOX：</w:t>
            </w:r>
            <w:r>
              <w:rPr>
                <w:rFonts w:hint="eastAsia"/>
              </w:rPr>
              <w:t>0.147</w:t>
            </w:r>
            <w:r>
              <w:t>t/a。</w:t>
            </w:r>
          </w:p>
          <w:p>
            <w:pPr>
              <w:ind w:firstLine="480"/>
            </w:pPr>
          </w:p>
          <w:p>
            <w:pPr>
              <w:pStyle w:val="3"/>
              <w:ind w:firstLine="723"/>
              <w:rPr>
                <w:rFonts w:hint="default"/>
              </w:rPr>
            </w:pPr>
          </w:p>
          <w:p>
            <w:pPr>
              <w:ind w:firstLine="480"/>
            </w:pPr>
          </w:p>
          <w:p>
            <w:pPr>
              <w:pStyle w:val="3"/>
              <w:ind w:firstLine="723"/>
              <w:rPr>
                <w:rFonts w:hint="default"/>
              </w:rPr>
            </w:pPr>
          </w:p>
          <w:p>
            <w:pPr>
              <w:ind w:firstLine="480"/>
            </w:pPr>
          </w:p>
          <w:p>
            <w:pPr>
              <w:pStyle w:val="59"/>
              <w:adjustRightInd w:val="0"/>
              <w:spacing w:line="360" w:lineRule="auto"/>
              <w:ind w:firstLine="0" w:firstLineChars="0"/>
              <w:rPr>
                <w:rFonts w:ascii="Times New Roman"/>
                <w:color w:val="auto"/>
              </w:rPr>
            </w:pPr>
          </w:p>
        </w:tc>
      </w:tr>
    </w:tbl>
    <w:p>
      <w:pPr>
        <w:pStyle w:val="28"/>
        <w:jc w:val="center"/>
        <w:outlineLvl w:val="0"/>
        <w:rPr>
          <w:rFonts w:ascii="黑体" w:hAnsi="黑体" w:eastAsia="黑体"/>
          <w:snapToGrid w:val="0"/>
          <w:sz w:val="30"/>
          <w:szCs w:val="30"/>
        </w:rPr>
      </w:pPr>
      <w:r>
        <w:rPr>
          <w:rFonts w:ascii="黑体" w:hAnsi="黑体" w:eastAsia="黑体"/>
          <w:snapToGrid w:val="0"/>
          <w:sz w:val="36"/>
          <w:szCs w:val="36"/>
        </w:rPr>
        <w:br w:type="page"/>
      </w:r>
      <w:bookmarkStart w:id="10" w:name="_Toc31287"/>
      <w:r>
        <w:rPr>
          <w:rFonts w:hint="eastAsia" w:ascii="黑体" w:hAnsi="黑体" w:eastAsia="黑体"/>
          <w:snapToGrid w:val="0"/>
          <w:sz w:val="30"/>
          <w:szCs w:val="30"/>
        </w:rPr>
        <w:t>四、主要环境影响和保护措施</w:t>
      </w:r>
      <w:bookmarkEnd w:id="10"/>
    </w:p>
    <w:tbl>
      <w:tblPr>
        <w:tblStyle w:val="36"/>
        <w:tblW w:w="8601"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15"/>
        <w:gridCol w:w="778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15" w:type="dxa"/>
            <w:tcMar>
              <w:left w:w="28" w:type="dxa"/>
              <w:right w:w="28" w:type="dxa"/>
            </w:tcMar>
            <w:vAlign w:val="center"/>
          </w:tcPr>
          <w:p>
            <w:pPr>
              <w:pStyle w:val="28"/>
              <w:adjustRightInd w:val="0"/>
              <w:snapToGrid w:val="0"/>
              <w:spacing w:before="0" w:beforeAutospacing="0" w:after="0" w:afterAutospacing="0"/>
              <w:ind w:firstLine="0" w:firstLineChars="0"/>
              <w:jc w:val="center"/>
              <w:rPr>
                <w:rFonts w:cs="宋体"/>
                <w:kern w:val="2"/>
                <w:szCs w:val="24"/>
              </w:rPr>
            </w:pPr>
            <w:r>
              <w:rPr>
                <w:rFonts w:hint="eastAsia" w:cs="宋体"/>
                <w:kern w:val="2"/>
                <w:szCs w:val="24"/>
              </w:rPr>
              <w:t>施工</w:t>
            </w:r>
          </w:p>
          <w:p>
            <w:pPr>
              <w:pStyle w:val="28"/>
              <w:adjustRightInd w:val="0"/>
              <w:snapToGrid w:val="0"/>
              <w:spacing w:before="0" w:beforeAutospacing="0" w:after="0" w:afterAutospacing="0"/>
              <w:ind w:firstLine="0" w:firstLineChars="0"/>
              <w:jc w:val="center"/>
              <w:rPr>
                <w:rFonts w:cs="宋体"/>
                <w:kern w:val="2"/>
                <w:szCs w:val="24"/>
              </w:rPr>
            </w:pPr>
            <w:r>
              <w:rPr>
                <w:rFonts w:hint="eastAsia" w:cs="宋体"/>
                <w:kern w:val="2"/>
                <w:szCs w:val="24"/>
              </w:rPr>
              <w:t>期环</w:t>
            </w:r>
          </w:p>
          <w:p>
            <w:pPr>
              <w:pStyle w:val="28"/>
              <w:adjustRightInd w:val="0"/>
              <w:snapToGrid w:val="0"/>
              <w:spacing w:before="0" w:beforeAutospacing="0" w:after="0" w:afterAutospacing="0"/>
              <w:ind w:firstLine="0" w:firstLineChars="0"/>
              <w:jc w:val="center"/>
              <w:rPr>
                <w:rFonts w:cs="宋体"/>
                <w:kern w:val="2"/>
                <w:szCs w:val="24"/>
              </w:rPr>
            </w:pPr>
            <w:r>
              <w:rPr>
                <w:rFonts w:hint="eastAsia" w:cs="宋体"/>
                <w:kern w:val="2"/>
                <w:szCs w:val="24"/>
              </w:rPr>
              <w:t>境保</w:t>
            </w:r>
          </w:p>
          <w:p>
            <w:pPr>
              <w:pStyle w:val="28"/>
              <w:adjustRightInd w:val="0"/>
              <w:snapToGrid w:val="0"/>
              <w:spacing w:before="0" w:beforeAutospacing="0" w:after="0" w:afterAutospacing="0"/>
              <w:ind w:firstLine="0" w:firstLineChars="0"/>
              <w:jc w:val="center"/>
              <w:rPr>
                <w:rFonts w:cs="宋体"/>
                <w:kern w:val="2"/>
                <w:szCs w:val="24"/>
              </w:rPr>
            </w:pPr>
            <w:r>
              <w:rPr>
                <w:rFonts w:hint="eastAsia" w:cs="宋体"/>
                <w:kern w:val="2"/>
                <w:szCs w:val="24"/>
              </w:rPr>
              <w:t>护措</w:t>
            </w:r>
          </w:p>
          <w:p>
            <w:pPr>
              <w:pStyle w:val="28"/>
              <w:adjustRightInd w:val="0"/>
              <w:snapToGrid w:val="0"/>
              <w:spacing w:before="0" w:beforeAutospacing="0" w:after="0" w:afterAutospacing="0"/>
              <w:ind w:firstLine="0" w:firstLineChars="0"/>
              <w:jc w:val="center"/>
              <w:rPr>
                <w:rFonts w:cs="宋体"/>
                <w:bCs/>
                <w:kern w:val="2"/>
                <w:szCs w:val="24"/>
              </w:rPr>
            </w:pPr>
            <w:r>
              <w:rPr>
                <w:rFonts w:hint="eastAsia" w:cs="宋体"/>
                <w:kern w:val="2"/>
                <w:szCs w:val="24"/>
              </w:rPr>
              <w:t>施</w:t>
            </w:r>
          </w:p>
        </w:tc>
        <w:tc>
          <w:tcPr>
            <w:tcW w:w="7786" w:type="dxa"/>
            <w:vAlign w:val="center"/>
          </w:tcPr>
          <w:p>
            <w:pPr>
              <w:numPr>
                <w:ilvl w:val="0"/>
                <w:numId w:val="8"/>
              </w:numPr>
              <w:ind w:firstLine="480"/>
            </w:pPr>
            <w:bookmarkStart w:id="11" w:name="_Toc26232"/>
            <w:r>
              <w:rPr>
                <w:rFonts w:hint="eastAsia"/>
              </w:rPr>
              <w:t>本项目施工过程环境保护措施分析</w:t>
            </w:r>
          </w:p>
          <w:p>
            <w:pPr>
              <w:ind w:firstLine="480"/>
            </w:pPr>
            <w:r>
              <w:rPr>
                <w:rFonts w:hint="eastAsia"/>
              </w:rPr>
              <w:t>本次项目施工期仅为设备的安装和车间装修，不涉及土建工程，主要污染物为设备安装和装修过程中产生的噪声、施工人员生活污水以及废弃包装等。</w:t>
            </w:r>
          </w:p>
          <w:p>
            <w:pPr>
              <w:autoSpaceDE w:val="0"/>
              <w:autoSpaceDN w:val="0"/>
              <w:adjustRightInd w:val="0"/>
              <w:ind w:firstLine="480"/>
              <w:jc w:val="left"/>
              <w:outlineLvl w:val="0"/>
            </w:pPr>
            <w:r>
              <w:rPr>
                <w:rFonts w:hint="eastAsia"/>
              </w:rPr>
              <w:t>本项目施工期噪声多为瞬时噪声，且位于车间内，噪声对周围环境影响较小；项目通过采用车间隔声来减轻对周边环境的影响；施工期产生的少量施工人员生活污水，依托厂区已有化粪池进行处理后，不外排；废包装材料均统一收集，交由环卫部门处理。</w:t>
            </w:r>
            <w:bookmarkEnd w:id="11"/>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33" w:hRule="atLeast"/>
          <w:jc w:val="center"/>
        </w:trPr>
        <w:tc>
          <w:tcPr>
            <w:tcW w:w="815" w:type="dxa"/>
            <w:tcMar>
              <w:left w:w="28" w:type="dxa"/>
              <w:right w:w="28" w:type="dxa"/>
            </w:tcMar>
            <w:vAlign w:val="center"/>
          </w:tcPr>
          <w:p>
            <w:pPr>
              <w:adjustRightInd w:val="0"/>
              <w:snapToGrid w:val="0"/>
              <w:ind w:firstLine="0" w:firstLineChars="0"/>
              <w:jc w:val="center"/>
              <w:rPr>
                <w:rFonts w:ascii="宋体" w:hAnsi="宋体" w:cs="宋体"/>
                <w:bCs/>
              </w:rPr>
            </w:pPr>
            <w:r>
              <w:rPr>
                <w:rFonts w:hint="eastAsia" w:ascii="宋体" w:hAnsi="宋体" w:cs="宋体"/>
                <w:bCs/>
              </w:rPr>
              <w:t>运营</w:t>
            </w:r>
          </w:p>
          <w:p>
            <w:pPr>
              <w:adjustRightInd w:val="0"/>
              <w:snapToGrid w:val="0"/>
              <w:ind w:firstLine="0" w:firstLineChars="0"/>
              <w:jc w:val="center"/>
              <w:rPr>
                <w:rFonts w:ascii="宋体" w:hAnsi="宋体" w:cs="宋体"/>
                <w:bCs/>
              </w:rPr>
            </w:pPr>
            <w:r>
              <w:rPr>
                <w:rFonts w:hint="eastAsia" w:ascii="宋体" w:hAnsi="宋体" w:cs="宋体"/>
                <w:bCs/>
              </w:rPr>
              <w:t>期环</w:t>
            </w:r>
          </w:p>
          <w:p>
            <w:pPr>
              <w:adjustRightInd w:val="0"/>
              <w:snapToGrid w:val="0"/>
              <w:ind w:firstLine="0" w:firstLineChars="0"/>
              <w:jc w:val="center"/>
              <w:rPr>
                <w:rFonts w:ascii="宋体" w:hAnsi="宋体" w:cs="宋体"/>
                <w:bCs/>
              </w:rPr>
            </w:pPr>
            <w:r>
              <w:rPr>
                <w:rFonts w:hint="eastAsia" w:ascii="宋体" w:hAnsi="宋体" w:cs="宋体"/>
                <w:bCs/>
              </w:rPr>
              <w:t>境影</w:t>
            </w:r>
          </w:p>
          <w:p>
            <w:pPr>
              <w:adjustRightInd w:val="0"/>
              <w:snapToGrid w:val="0"/>
              <w:ind w:firstLine="0" w:firstLineChars="0"/>
              <w:jc w:val="center"/>
              <w:rPr>
                <w:rFonts w:ascii="宋体" w:hAnsi="宋体" w:cs="宋体"/>
                <w:bCs/>
              </w:rPr>
            </w:pPr>
            <w:r>
              <w:rPr>
                <w:rFonts w:hint="eastAsia" w:ascii="宋体" w:hAnsi="宋体" w:cs="宋体"/>
                <w:bCs/>
              </w:rPr>
              <w:t>响和</w:t>
            </w:r>
          </w:p>
          <w:p>
            <w:pPr>
              <w:adjustRightInd w:val="0"/>
              <w:snapToGrid w:val="0"/>
              <w:ind w:firstLine="0" w:firstLineChars="0"/>
              <w:jc w:val="center"/>
              <w:rPr>
                <w:rFonts w:ascii="宋体" w:hAnsi="宋体" w:cs="宋体"/>
                <w:bCs/>
              </w:rPr>
            </w:pPr>
            <w:r>
              <w:rPr>
                <w:rFonts w:hint="eastAsia" w:ascii="宋体" w:hAnsi="宋体" w:cs="宋体"/>
                <w:bCs/>
              </w:rPr>
              <w:t>保护</w:t>
            </w:r>
          </w:p>
          <w:p>
            <w:pPr>
              <w:adjustRightInd w:val="0"/>
              <w:snapToGrid w:val="0"/>
              <w:ind w:firstLine="0" w:firstLineChars="0"/>
              <w:jc w:val="center"/>
              <w:rPr>
                <w:rFonts w:ascii="宋体" w:hAnsi="宋体" w:cs="宋体"/>
                <w:bCs/>
              </w:rPr>
            </w:pPr>
            <w:r>
              <w:rPr>
                <w:rFonts w:hint="eastAsia" w:ascii="宋体" w:hAnsi="宋体" w:cs="宋体"/>
                <w:bCs/>
              </w:rPr>
              <w:t>措施</w:t>
            </w:r>
          </w:p>
        </w:tc>
        <w:tc>
          <w:tcPr>
            <w:tcW w:w="7786" w:type="dxa"/>
            <w:vAlign w:val="center"/>
          </w:tcPr>
          <w:p>
            <w:pPr>
              <w:autoSpaceDE w:val="0"/>
              <w:autoSpaceDN w:val="0"/>
              <w:adjustRightInd w:val="0"/>
              <w:ind w:firstLine="480"/>
              <w:jc w:val="left"/>
              <w:outlineLvl w:val="0"/>
            </w:pPr>
            <w:bookmarkStart w:id="12" w:name="_Toc7396"/>
            <w:r>
              <w:rPr>
                <w:rFonts w:hint="eastAsia"/>
              </w:rPr>
              <w:t>1、</w:t>
            </w:r>
            <w:r>
              <w:t>大气环境影响分析及防治对策</w:t>
            </w:r>
            <w:bookmarkEnd w:id="12"/>
          </w:p>
          <w:p>
            <w:pPr>
              <w:ind w:firstLine="480"/>
            </w:pPr>
            <w:bookmarkStart w:id="13" w:name="_Toc15857"/>
            <w:r>
              <w:rPr>
                <w:rFonts w:hint="eastAsia"/>
              </w:rPr>
              <w:t>（1）废气源强分析</w:t>
            </w:r>
          </w:p>
          <w:p>
            <w:pPr>
              <w:ind w:firstLine="480"/>
            </w:pPr>
            <w:r>
              <w:t>①</w:t>
            </w:r>
            <w:r>
              <w:rPr>
                <w:rFonts w:hint="eastAsia"/>
              </w:rPr>
              <w:t>制粒粉尘</w:t>
            </w:r>
          </w:p>
          <w:p>
            <w:pPr>
              <w:ind w:firstLine="480"/>
            </w:pPr>
            <w:r>
              <w:rPr>
                <w:rFonts w:hint="eastAsia"/>
              </w:rPr>
              <w:t>本项目建设1条制粒生产线，项目制粒生产线原辅材料上料、输送、出料过程均有粉尘产生，项目原辅材料转运输送采用上料输送机、螺旋输送机和爬坡输送机。根据《逸散性工业粉尘控制技术》（中国环境出版社，1989年），本项目制粒粉尘产生系数按0.98kg/t-原料计，由于本项目硅泥具有一定的水分（约50%之间），制粒过程粉尘产生量较少。</w:t>
            </w:r>
          </w:p>
          <w:p>
            <w:pPr>
              <w:ind w:firstLine="480"/>
            </w:pPr>
            <w:r>
              <w:rPr>
                <w:rFonts w:hint="eastAsia"/>
              </w:rPr>
              <w:t>项目硅泥中需进行制粒工艺的量约为4150t/a，制粒生产线的输送廊道均封闭，制粒工序的进料和出料口上方设置集气罩，分别将含尘废气收集后引至布袋除尘器处理后经15m高排气筒排放（本项目制粒生产线设置1个排气筒）。根据建设单位提供的资料，集气罩粉尘收集效率可达到</w:t>
            </w:r>
            <w:r>
              <w:t>9</w:t>
            </w:r>
            <w:r>
              <w:rPr>
                <w:rFonts w:hint="eastAsia"/>
              </w:rPr>
              <w:t>0</w:t>
            </w:r>
            <w:r>
              <w:t>%</w:t>
            </w:r>
            <w:r>
              <w:rPr>
                <w:rFonts w:hint="eastAsia"/>
              </w:rPr>
              <w:t>，除尘效率可达</w:t>
            </w:r>
            <w:r>
              <w:t>99%</w:t>
            </w:r>
            <w:r>
              <w:rPr>
                <w:rFonts w:hint="eastAsia"/>
              </w:rPr>
              <w:t>。</w:t>
            </w:r>
          </w:p>
          <w:p>
            <w:pPr>
              <w:adjustRightInd w:val="0"/>
              <w:spacing w:line="240" w:lineRule="auto"/>
              <w:ind w:firstLine="0" w:firstLineChars="0"/>
              <w:jc w:val="center"/>
              <w:rPr>
                <w:b/>
                <w:bCs/>
                <w:sz w:val="21"/>
                <w:szCs w:val="21"/>
              </w:rPr>
            </w:pPr>
            <w:r>
              <w:rPr>
                <w:b/>
                <w:bCs/>
                <w:sz w:val="21"/>
                <w:szCs w:val="21"/>
              </w:rPr>
              <w:t>表</w:t>
            </w:r>
            <w:r>
              <w:rPr>
                <w:rFonts w:hint="eastAsia"/>
                <w:b/>
                <w:bCs/>
                <w:sz w:val="21"/>
                <w:szCs w:val="21"/>
              </w:rPr>
              <w:t>4</w:t>
            </w:r>
            <w:r>
              <w:rPr>
                <w:b/>
                <w:bCs/>
                <w:sz w:val="21"/>
                <w:szCs w:val="21"/>
              </w:rPr>
              <w:t>-</w:t>
            </w:r>
            <w:r>
              <w:rPr>
                <w:rFonts w:hint="eastAsia"/>
                <w:b/>
                <w:bCs/>
                <w:sz w:val="21"/>
                <w:szCs w:val="21"/>
              </w:rPr>
              <w:t>1制粒、烘干粉尘</w:t>
            </w:r>
            <w:r>
              <w:rPr>
                <w:b/>
                <w:bCs/>
                <w:sz w:val="21"/>
                <w:szCs w:val="21"/>
              </w:rPr>
              <w:t>产</w:t>
            </w:r>
            <w:r>
              <w:rPr>
                <w:rFonts w:hint="eastAsia"/>
                <w:b/>
                <w:bCs/>
                <w:sz w:val="21"/>
                <w:szCs w:val="21"/>
              </w:rPr>
              <w:t>生</w:t>
            </w:r>
            <w:r>
              <w:rPr>
                <w:b/>
                <w:bCs/>
                <w:sz w:val="21"/>
                <w:szCs w:val="21"/>
              </w:rPr>
              <w:t>情况一览表</w:t>
            </w:r>
          </w:p>
          <w:tbl>
            <w:tblPr>
              <w:tblStyle w:val="36"/>
              <w:tblW w:w="7549"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55"/>
              <w:gridCol w:w="993"/>
              <w:gridCol w:w="897"/>
              <w:gridCol w:w="904"/>
              <w:gridCol w:w="1261"/>
              <w:gridCol w:w="1221"/>
              <w:gridCol w:w="171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73" w:hRule="atLeast"/>
                <w:jc w:val="center"/>
              </w:trPr>
              <w:tc>
                <w:tcPr>
                  <w:tcW w:w="555" w:type="dxa"/>
                  <w:vMerge w:val="restart"/>
                  <w:vAlign w:val="center"/>
                </w:tcPr>
                <w:p>
                  <w:pPr>
                    <w:pStyle w:val="91"/>
                  </w:pPr>
                  <w:r>
                    <w:t>工序</w:t>
                  </w:r>
                </w:p>
              </w:tc>
              <w:tc>
                <w:tcPr>
                  <w:tcW w:w="993" w:type="dxa"/>
                  <w:vMerge w:val="restart"/>
                  <w:vAlign w:val="center"/>
                </w:tcPr>
                <w:p>
                  <w:pPr>
                    <w:pStyle w:val="91"/>
                  </w:pPr>
                  <w:r>
                    <w:t>污染源名称</w:t>
                  </w:r>
                </w:p>
              </w:tc>
              <w:tc>
                <w:tcPr>
                  <w:tcW w:w="897" w:type="dxa"/>
                  <w:vMerge w:val="restart"/>
                  <w:vAlign w:val="center"/>
                </w:tcPr>
                <w:p>
                  <w:pPr>
                    <w:pStyle w:val="91"/>
                  </w:pPr>
                  <w:r>
                    <w:t>运行时间(h)</w:t>
                  </w:r>
                </w:p>
              </w:tc>
              <w:tc>
                <w:tcPr>
                  <w:tcW w:w="904" w:type="dxa"/>
                  <w:vMerge w:val="restart"/>
                  <w:vAlign w:val="center"/>
                </w:tcPr>
                <w:p>
                  <w:pPr>
                    <w:pStyle w:val="91"/>
                  </w:pPr>
                  <w:r>
                    <w:t>污染物名称</w:t>
                  </w:r>
                </w:p>
              </w:tc>
              <w:tc>
                <w:tcPr>
                  <w:tcW w:w="2482" w:type="dxa"/>
                  <w:gridSpan w:val="2"/>
                  <w:vAlign w:val="center"/>
                </w:tcPr>
                <w:p>
                  <w:pPr>
                    <w:pStyle w:val="91"/>
                  </w:pPr>
                  <w:r>
                    <w:t>产生情况</w:t>
                  </w:r>
                </w:p>
              </w:tc>
              <w:tc>
                <w:tcPr>
                  <w:tcW w:w="1718" w:type="dxa"/>
                  <w:vMerge w:val="restart"/>
                  <w:vAlign w:val="center"/>
                </w:tcPr>
                <w:p>
                  <w:pPr>
                    <w:pStyle w:val="91"/>
                  </w:pPr>
                  <w:r>
                    <w:t>拟采取的处理方式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45" w:hRule="atLeast"/>
                <w:jc w:val="center"/>
              </w:trPr>
              <w:tc>
                <w:tcPr>
                  <w:tcW w:w="555" w:type="dxa"/>
                  <w:vMerge w:val="continue"/>
                  <w:vAlign w:val="center"/>
                </w:tcPr>
                <w:p>
                  <w:pPr>
                    <w:pStyle w:val="91"/>
                  </w:pPr>
                </w:p>
              </w:tc>
              <w:tc>
                <w:tcPr>
                  <w:tcW w:w="993" w:type="dxa"/>
                  <w:vMerge w:val="continue"/>
                  <w:vAlign w:val="center"/>
                </w:tcPr>
                <w:p>
                  <w:pPr>
                    <w:pStyle w:val="91"/>
                  </w:pPr>
                </w:p>
              </w:tc>
              <w:tc>
                <w:tcPr>
                  <w:tcW w:w="897" w:type="dxa"/>
                  <w:vMerge w:val="continue"/>
                  <w:vAlign w:val="center"/>
                </w:tcPr>
                <w:p>
                  <w:pPr>
                    <w:pStyle w:val="91"/>
                  </w:pPr>
                </w:p>
              </w:tc>
              <w:tc>
                <w:tcPr>
                  <w:tcW w:w="904" w:type="dxa"/>
                  <w:vMerge w:val="continue"/>
                  <w:vAlign w:val="center"/>
                </w:tcPr>
                <w:p>
                  <w:pPr>
                    <w:pStyle w:val="91"/>
                  </w:pPr>
                </w:p>
              </w:tc>
              <w:tc>
                <w:tcPr>
                  <w:tcW w:w="1261" w:type="dxa"/>
                  <w:vAlign w:val="center"/>
                </w:tcPr>
                <w:p>
                  <w:pPr>
                    <w:pStyle w:val="91"/>
                  </w:pPr>
                  <w:r>
                    <w:t>产生速率(kg/h)</w:t>
                  </w:r>
                </w:p>
              </w:tc>
              <w:tc>
                <w:tcPr>
                  <w:tcW w:w="1221" w:type="dxa"/>
                  <w:vAlign w:val="center"/>
                </w:tcPr>
                <w:p>
                  <w:pPr>
                    <w:pStyle w:val="91"/>
                  </w:pPr>
                  <w:r>
                    <w:t>产生量(t/a)</w:t>
                  </w:r>
                </w:p>
              </w:tc>
              <w:tc>
                <w:tcPr>
                  <w:tcW w:w="1718" w:type="dxa"/>
                  <w:vMerge w:val="continue"/>
                  <w:vAlign w:val="center"/>
                </w:tcPr>
                <w:p>
                  <w:pPr>
                    <w:pStyle w:val="91"/>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41" w:hRule="atLeast"/>
                <w:jc w:val="center"/>
              </w:trPr>
              <w:tc>
                <w:tcPr>
                  <w:tcW w:w="555" w:type="dxa"/>
                  <w:vAlign w:val="center"/>
                </w:tcPr>
                <w:p>
                  <w:pPr>
                    <w:pStyle w:val="91"/>
                  </w:pPr>
                  <w:r>
                    <w:t>制粒</w:t>
                  </w:r>
                </w:p>
              </w:tc>
              <w:tc>
                <w:tcPr>
                  <w:tcW w:w="993" w:type="dxa"/>
                  <w:vAlign w:val="center"/>
                </w:tcPr>
                <w:p>
                  <w:pPr>
                    <w:pStyle w:val="91"/>
                  </w:pPr>
                  <w:r>
                    <w:t>G1</w:t>
                  </w:r>
                </w:p>
              </w:tc>
              <w:tc>
                <w:tcPr>
                  <w:tcW w:w="897" w:type="dxa"/>
                  <w:vAlign w:val="center"/>
                </w:tcPr>
                <w:p>
                  <w:pPr>
                    <w:pStyle w:val="91"/>
                  </w:pPr>
                  <w:r>
                    <w:rPr>
                      <w:rFonts w:hint="eastAsia"/>
                    </w:rPr>
                    <w:t>24</w:t>
                  </w:r>
                  <w:r>
                    <w:t>00</w:t>
                  </w:r>
                </w:p>
              </w:tc>
              <w:tc>
                <w:tcPr>
                  <w:tcW w:w="904" w:type="dxa"/>
                  <w:vAlign w:val="center"/>
                </w:tcPr>
                <w:p>
                  <w:pPr>
                    <w:pStyle w:val="91"/>
                  </w:pPr>
                  <w:r>
                    <w:t>粉尘</w:t>
                  </w:r>
                </w:p>
              </w:tc>
              <w:tc>
                <w:tcPr>
                  <w:tcW w:w="1261" w:type="dxa"/>
                  <w:vAlign w:val="center"/>
                </w:tcPr>
                <w:p>
                  <w:pPr>
                    <w:pStyle w:val="91"/>
                  </w:pPr>
                  <w:r>
                    <w:rPr>
                      <w:rFonts w:hint="eastAsia"/>
                    </w:rPr>
                    <w:t>1.69</w:t>
                  </w:r>
                </w:p>
              </w:tc>
              <w:tc>
                <w:tcPr>
                  <w:tcW w:w="1221" w:type="dxa"/>
                  <w:vAlign w:val="center"/>
                </w:tcPr>
                <w:p>
                  <w:pPr>
                    <w:pStyle w:val="91"/>
                  </w:pPr>
                  <w:r>
                    <w:rPr>
                      <w:rFonts w:hint="eastAsia"/>
                    </w:rPr>
                    <w:t>4.067</w:t>
                  </w:r>
                </w:p>
              </w:tc>
              <w:tc>
                <w:tcPr>
                  <w:tcW w:w="1718" w:type="dxa"/>
                  <w:vAlign w:val="center"/>
                </w:tcPr>
                <w:p>
                  <w:pPr>
                    <w:pStyle w:val="91"/>
                  </w:pPr>
                  <w:r>
                    <w:t>废气</w:t>
                  </w:r>
                  <w:r>
                    <w:rPr>
                      <w:rFonts w:hint="eastAsia"/>
                    </w:rPr>
                    <w:t>经</w:t>
                  </w:r>
                  <w:r>
                    <w:t>集气收集后经布袋除尘器处理后</w:t>
                  </w:r>
                  <w:r>
                    <w:rPr>
                      <w:rFonts w:hint="eastAsia"/>
                    </w:rPr>
                    <w:t>通过</w:t>
                  </w:r>
                  <w:r>
                    <w:t>15m排气筒（1#）排放</w:t>
                  </w:r>
                </w:p>
              </w:tc>
            </w:tr>
          </w:tbl>
          <w:p>
            <w:pPr>
              <w:ind w:firstLine="480"/>
            </w:pPr>
            <w:r>
              <w:rPr>
                <w:rFonts w:hint="eastAsia"/>
              </w:rPr>
              <w:t>本项目制粒通过1套布袋除尘器处理后经15m高排气筒（1#）排放，根据设备参数，其中风机风量均按19000m</w:t>
            </w:r>
            <w:r>
              <w:rPr>
                <w:rFonts w:hint="eastAsia"/>
                <w:vertAlign w:val="superscript"/>
              </w:rPr>
              <w:t>3</w:t>
            </w:r>
            <w:r>
              <w:rPr>
                <w:rFonts w:hint="eastAsia"/>
              </w:rPr>
              <w:t>/h考虑，制粒工序粉尘有组织的排放量为0.037</w:t>
            </w:r>
            <w:r>
              <w:t>t/a</w:t>
            </w:r>
            <w:r>
              <w:rPr>
                <w:rFonts w:hint="eastAsia"/>
              </w:rPr>
              <w:t>，排放速率为0.015</w:t>
            </w:r>
            <w:r>
              <w:t>kg/h</w:t>
            </w:r>
            <w:r>
              <w:rPr>
                <w:rFonts w:hint="eastAsia"/>
              </w:rPr>
              <w:t>，排放浓度0.8mg/m</w:t>
            </w:r>
            <w:r>
              <w:rPr>
                <w:rFonts w:hint="eastAsia"/>
                <w:vertAlign w:val="superscript"/>
              </w:rPr>
              <w:t>3</w:t>
            </w:r>
            <w:r>
              <w:rPr>
                <w:rFonts w:hint="eastAsia"/>
              </w:rPr>
              <w:t>；考虑到制粒粉尘经过车间的阻隔，会有一部分沉降在车间内部，沉降量按约为70%，烘干工序无组织粉尘排放量为0.12</w:t>
            </w:r>
            <w:r>
              <w:t>t/a</w:t>
            </w:r>
            <w:r>
              <w:rPr>
                <w:rFonts w:hint="eastAsia"/>
              </w:rPr>
              <w:t>。</w:t>
            </w:r>
          </w:p>
          <w:p>
            <w:pPr>
              <w:ind w:firstLine="480"/>
            </w:pPr>
            <w:r>
              <w:t>②</w:t>
            </w:r>
            <w:r>
              <w:rPr>
                <w:rFonts w:hint="eastAsia"/>
              </w:rPr>
              <w:t>烘干粉尘</w:t>
            </w:r>
          </w:p>
          <w:p>
            <w:pPr>
              <w:ind w:firstLine="480"/>
            </w:pPr>
            <w:r>
              <w:rPr>
                <w:rFonts w:hint="eastAsia"/>
              </w:rPr>
              <w:t>项目共建设2条烘干生产线，烘干生产线材料上料、输送、烘干、出料过程均有粉尘产生，根据《逸散性工业粉尘控制技术》（中国环境出版社，1989年），烘干工序的粉尘产生系数按1.4kg/t-物料计。</w:t>
            </w:r>
          </w:p>
          <w:p>
            <w:pPr>
              <w:ind w:firstLine="480"/>
            </w:pPr>
            <w:r>
              <w:rPr>
                <w:rFonts w:hint="eastAsia"/>
              </w:rPr>
              <w:t>本项目要求物料输送过程廊道封闭，烘干过程的进料、出料口上方均设置集气罩，分别将含尘废气收集后引至各喷淋除尘装置进行处理后再经过除雾器处理后经20m高排气筒排放（2条烘干生产线共连接1套除尘装置，设置1个排气筒）。根据建设单位提供的资料，集气罩粉尘收集效率可达到</w:t>
            </w:r>
            <w:r>
              <w:t>9</w:t>
            </w:r>
            <w:r>
              <w:rPr>
                <w:rFonts w:hint="eastAsia"/>
              </w:rPr>
              <w:t>0</w:t>
            </w:r>
            <w:r>
              <w:t>%</w:t>
            </w:r>
            <w:r>
              <w:rPr>
                <w:rFonts w:hint="eastAsia"/>
              </w:rPr>
              <w:t>，除尘效率可达</w:t>
            </w:r>
            <w:r>
              <w:t>9</w:t>
            </w:r>
            <w:r>
              <w:rPr>
                <w:rFonts w:hint="eastAsia"/>
              </w:rPr>
              <w:t>3</w:t>
            </w:r>
            <w:r>
              <w:t>%</w:t>
            </w:r>
            <w:r>
              <w:rPr>
                <w:rFonts w:hint="eastAsia"/>
              </w:rPr>
              <w:t>。</w:t>
            </w:r>
          </w:p>
          <w:p>
            <w:pPr>
              <w:adjustRightInd w:val="0"/>
              <w:spacing w:line="240" w:lineRule="auto"/>
              <w:ind w:firstLine="0" w:firstLineChars="0"/>
              <w:jc w:val="center"/>
              <w:rPr>
                <w:b/>
                <w:bCs/>
                <w:sz w:val="21"/>
                <w:szCs w:val="21"/>
              </w:rPr>
            </w:pPr>
            <w:r>
              <w:rPr>
                <w:b/>
                <w:bCs/>
                <w:sz w:val="21"/>
                <w:szCs w:val="21"/>
              </w:rPr>
              <w:t>表</w:t>
            </w:r>
            <w:r>
              <w:rPr>
                <w:rFonts w:hint="eastAsia"/>
                <w:b/>
                <w:bCs/>
                <w:sz w:val="21"/>
                <w:szCs w:val="21"/>
              </w:rPr>
              <w:t>4</w:t>
            </w:r>
            <w:r>
              <w:rPr>
                <w:b/>
                <w:bCs/>
                <w:sz w:val="21"/>
                <w:szCs w:val="21"/>
              </w:rPr>
              <w:t>-</w:t>
            </w:r>
            <w:r>
              <w:rPr>
                <w:rFonts w:hint="eastAsia"/>
                <w:b/>
                <w:bCs/>
                <w:sz w:val="21"/>
                <w:szCs w:val="21"/>
              </w:rPr>
              <w:t>2烘干粉尘</w:t>
            </w:r>
            <w:r>
              <w:rPr>
                <w:b/>
                <w:bCs/>
                <w:sz w:val="21"/>
                <w:szCs w:val="21"/>
              </w:rPr>
              <w:t>产</w:t>
            </w:r>
            <w:r>
              <w:rPr>
                <w:rFonts w:hint="eastAsia"/>
                <w:b/>
                <w:bCs/>
                <w:sz w:val="21"/>
                <w:szCs w:val="21"/>
              </w:rPr>
              <w:t>生</w:t>
            </w:r>
            <w:r>
              <w:rPr>
                <w:b/>
                <w:bCs/>
                <w:sz w:val="21"/>
                <w:szCs w:val="21"/>
              </w:rPr>
              <w:t>情况一览表</w:t>
            </w:r>
          </w:p>
          <w:tbl>
            <w:tblPr>
              <w:tblStyle w:val="36"/>
              <w:tblW w:w="7549"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55"/>
              <w:gridCol w:w="993"/>
              <w:gridCol w:w="897"/>
              <w:gridCol w:w="904"/>
              <w:gridCol w:w="1261"/>
              <w:gridCol w:w="1221"/>
              <w:gridCol w:w="171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73" w:hRule="atLeast"/>
                <w:jc w:val="center"/>
              </w:trPr>
              <w:tc>
                <w:tcPr>
                  <w:tcW w:w="555" w:type="dxa"/>
                  <w:vMerge w:val="restart"/>
                  <w:vAlign w:val="center"/>
                </w:tcPr>
                <w:p>
                  <w:pPr>
                    <w:pStyle w:val="91"/>
                  </w:pPr>
                  <w:r>
                    <w:t>工序</w:t>
                  </w:r>
                </w:p>
              </w:tc>
              <w:tc>
                <w:tcPr>
                  <w:tcW w:w="993" w:type="dxa"/>
                  <w:vMerge w:val="restart"/>
                  <w:vAlign w:val="center"/>
                </w:tcPr>
                <w:p>
                  <w:pPr>
                    <w:pStyle w:val="91"/>
                  </w:pPr>
                  <w:r>
                    <w:t>污染源名称</w:t>
                  </w:r>
                </w:p>
              </w:tc>
              <w:tc>
                <w:tcPr>
                  <w:tcW w:w="897" w:type="dxa"/>
                  <w:vMerge w:val="restart"/>
                  <w:vAlign w:val="center"/>
                </w:tcPr>
                <w:p>
                  <w:pPr>
                    <w:pStyle w:val="91"/>
                  </w:pPr>
                  <w:r>
                    <w:t>运行时间(h)</w:t>
                  </w:r>
                </w:p>
              </w:tc>
              <w:tc>
                <w:tcPr>
                  <w:tcW w:w="904" w:type="dxa"/>
                  <w:vMerge w:val="restart"/>
                  <w:vAlign w:val="center"/>
                </w:tcPr>
                <w:p>
                  <w:pPr>
                    <w:pStyle w:val="91"/>
                  </w:pPr>
                  <w:r>
                    <w:t>污染物名称</w:t>
                  </w:r>
                </w:p>
              </w:tc>
              <w:tc>
                <w:tcPr>
                  <w:tcW w:w="2482" w:type="dxa"/>
                  <w:gridSpan w:val="2"/>
                  <w:vAlign w:val="center"/>
                </w:tcPr>
                <w:p>
                  <w:pPr>
                    <w:pStyle w:val="91"/>
                  </w:pPr>
                  <w:r>
                    <w:t>产生情况</w:t>
                  </w:r>
                </w:p>
              </w:tc>
              <w:tc>
                <w:tcPr>
                  <w:tcW w:w="1718" w:type="dxa"/>
                  <w:vMerge w:val="restart"/>
                  <w:vAlign w:val="center"/>
                </w:tcPr>
                <w:p>
                  <w:pPr>
                    <w:pStyle w:val="91"/>
                  </w:pPr>
                  <w:r>
                    <w:t>拟采取的处理方式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45" w:hRule="atLeast"/>
                <w:jc w:val="center"/>
              </w:trPr>
              <w:tc>
                <w:tcPr>
                  <w:tcW w:w="555" w:type="dxa"/>
                  <w:vMerge w:val="continue"/>
                  <w:vAlign w:val="center"/>
                </w:tcPr>
                <w:p>
                  <w:pPr>
                    <w:pStyle w:val="91"/>
                  </w:pPr>
                </w:p>
              </w:tc>
              <w:tc>
                <w:tcPr>
                  <w:tcW w:w="993" w:type="dxa"/>
                  <w:vMerge w:val="continue"/>
                  <w:vAlign w:val="center"/>
                </w:tcPr>
                <w:p>
                  <w:pPr>
                    <w:pStyle w:val="91"/>
                  </w:pPr>
                </w:p>
              </w:tc>
              <w:tc>
                <w:tcPr>
                  <w:tcW w:w="897" w:type="dxa"/>
                  <w:vMerge w:val="continue"/>
                  <w:vAlign w:val="center"/>
                </w:tcPr>
                <w:p>
                  <w:pPr>
                    <w:pStyle w:val="91"/>
                  </w:pPr>
                </w:p>
              </w:tc>
              <w:tc>
                <w:tcPr>
                  <w:tcW w:w="904" w:type="dxa"/>
                  <w:vMerge w:val="continue"/>
                  <w:vAlign w:val="center"/>
                </w:tcPr>
                <w:p>
                  <w:pPr>
                    <w:pStyle w:val="91"/>
                  </w:pPr>
                </w:p>
              </w:tc>
              <w:tc>
                <w:tcPr>
                  <w:tcW w:w="1261" w:type="dxa"/>
                  <w:vAlign w:val="center"/>
                </w:tcPr>
                <w:p>
                  <w:pPr>
                    <w:pStyle w:val="91"/>
                  </w:pPr>
                  <w:r>
                    <w:t>产生速率(kg/h)</w:t>
                  </w:r>
                </w:p>
              </w:tc>
              <w:tc>
                <w:tcPr>
                  <w:tcW w:w="1221" w:type="dxa"/>
                  <w:vAlign w:val="center"/>
                </w:tcPr>
                <w:p>
                  <w:pPr>
                    <w:pStyle w:val="91"/>
                  </w:pPr>
                  <w:r>
                    <w:t>产生量(t/a)</w:t>
                  </w:r>
                </w:p>
              </w:tc>
              <w:tc>
                <w:tcPr>
                  <w:tcW w:w="1718" w:type="dxa"/>
                  <w:vMerge w:val="continue"/>
                  <w:vAlign w:val="center"/>
                </w:tcPr>
                <w:p>
                  <w:pPr>
                    <w:pStyle w:val="91"/>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41" w:hRule="atLeast"/>
                <w:jc w:val="center"/>
              </w:trPr>
              <w:tc>
                <w:tcPr>
                  <w:tcW w:w="555" w:type="dxa"/>
                  <w:vAlign w:val="center"/>
                </w:tcPr>
                <w:p>
                  <w:pPr>
                    <w:pStyle w:val="91"/>
                  </w:pPr>
                  <w:r>
                    <w:t>烘干</w:t>
                  </w:r>
                </w:p>
              </w:tc>
              <w:tc>
                <w:tcPr>
                  <w:tcW w:w="993" w:type="dxa"/>
                  <w:vAlign w:val="center"/>
                </w:tcPr>
                <w:p>
                  <w:pPr>
                    <w:pStyle w:val="91"/>
                  </w:pPr>
                  <w:r>
                    <w:t>G2</w:t>
                  </w:r>
                </w:p>
              </w:tc>
              <w:tc>
                <w:tcPr>
                  <w:tcW w:w="897" w:type="dxa"/>
                  <w:vAlign w:val="center"/>
                </w:tcPr>
                <w:p>
                  <w:pPr>
                    <w:pStyle w:val="91"/>
                  </w:pPr>
                  <w:r>
                    <w:rPr>
                      <w:rFonts w:hint="eastAsia"/>
                    </w:rPr>
                    <w:t>24</w:t>
                  </w:r>
                  <w:r>
                    <w:t>00</w:t>
                  </w:r>
                </w:p>
              </w:tc>
              <w:tc>
                <w:tcPr>
                  <w:tcW w:w="904" w:type="dxa"/>
                  <w:vAlign w:val="center"/>
                </w:tcPr>
                <w:p>
                  <w:pPr>
                    <w:pStyle w:val="91"/>
                  </w:pPr>
                  <w:r>
                    <w:t>粉尘</w:t>
                  </w:r>
                </w:p>
              </w:tc>
              <w:tc>
                <w:tcPr>
                  <w:tcW w:w="1261" w:type="dxa"/>
                  <w:vAlign w:val="center"/>
                </w:tcPr>
                <w:p>
                  <w:pPr>
                    <w:pStyle w:val="91"/>
                  </w:pPr>
                  <w:r>
                    <w:rPr>
                      <w:rFonts w:hint="eastAsia"/>
                    </w:rPr>
                    <w:t>19.31</w:t>
                  </w:r>
                </w:p>
              </w:tc>
              <w:tc>
                <w:tcPr>
                  <w:tcW w:w="1221" w:type="dxa"/>
                  <w:vAlign w:val="center"/>
                </w:tcPr>
                <w:p>
                  <w:pPr>
                    <w:pStyle w:val="91"/>
                  </w:pPr>
                  <w:r>
                    <w:rPr>
                      <w:rFonts w:hint="eastAsia"/>
                    </w:rPr>
                    <w:t>46.34</w:t>
                  </w:r>
                </w:p>
              </w:tc>
              <w:tc>
                <w:tcPr>
                  <w:tcW w:w="1718" w:type="dxa"/>
                  <w:vAlign w:val="center"/>
                </w:tcPr>
                <w:p>
                  <w:pPr>
                    <w:pStyle w:val="91"/>
                  </w:pPr>
                  <w:r>
                    <w:t>废气</w:t>
                  </w:r>
                  <w:r>
                    <w:rPr>
                      <w:rFonts w:hint="eastAsia"/>
                    </w:rPr>
                    <w:t>经</w:t>
                  </w:r>
                  <w:r>
                    <w:t>集气收集后</w:t>
                  </w:r>
                  <w:r>
                    <w:rPr>
                      <w:rFonts w:hint="eastAsia"/>
                    </w:rPr>
                    <w:t>依次</w:t>
                  </w:r>
                  <w:r>
                    <w:t>经</w:t>
                  </w:r>
                  <w:r>
                    <w:rPr>
                      <w:rFonts w:hint="eastAsia"/>
                    </w:rPr>
                    <w:t>喷淋除尘装置进行处理后再经过折流板式除雾器处理引至20</w:t>
                  </w:r>
                  <w:r>
                    <w:t>m排气筒（2#）排放</w:t>
                  </w:r>
                </w:p>
              </w:tc>
            </w:tr>
          </w:tbl>
          <w:p>
            <w:pPr>
              <w:ind w:firstLine="480"/>
            </w:pPr>
            <w:r>
              <w:rPr>
                <w:rFonts w:hint="eastAsia"/>
              </w:rPr>
              <w:t>本项目2条烘干生产线共用1套除尘装置，产尘通过1套喷淋除尘装置处理后经再经过除雾器处理引至20m高排气筒（2#）排放，根据设备参数，其中风机风量均按65000m</w:t>
            </w:r>
            <w:r>
              <w:rPr>
                <w:rFonts w:hint="eastAsia"/>
                <w:vertAlign w:val="superscript"/>
              </w:rPr>
              <w:t>3</w:t>
            </w:r>
            <w:r>
              <w:rPr>
                <w:rFonts w:hint="eastAsia"/>
              </w:rPr>
              <w:t>/h考虑，烘干工序粉尘有组织的排放量为2.92</w:t>
            </w:r>
            <w:r>
              <w:t>t/a</w:t>
            </w:r>
            <w:r>
              <w:rPr>
                <w:rFonts w:hint="eastAsia"/>
              </w:rPr>
              <w:t>，排放速率为1.22</w:t>
            </w:r>
            <w:r>
              <w:t>kg/h</w:t>
            </w:r>
            <w:r>
              <w:rPr>
                <w:rFonts w:hint="eastAsia"/>
              </w:rPr>
              <w:t>，排放浓度18.71mg/m</w:t>
            </w:r>
            <w:r>
              <w:rPr>
                <w:rFonts w:hint="eastAsia"/>
                <w:vertAlign w:val="superscript"/>
              </w:rPr>
              <w:t>3</w:t>
            </w:r>
            <w:r>
              <w:rPr>
                <w:rFonts w:hint="eastAsia"/>
              </w:rPr>
              <w:t>；考虑到烘干粉尘经过车间的阻隔，会有一部分沉降在车间内部，沉降量按约为70%，烘干工序无组织粉尘排放量为1.39</w:t>
            </w:r>
            <w:r>
              <w:t>t/a</w:t>
            </w:r>
            <w:r>
              <w:rPr>
                <w:rFonts w:hint="eastAsia"/>
              </w:rPr>
              <w:t>。</w:t>
            </w:r>
          </w:p>
          <w:p>
            <w:pPr>
              <w:ind w:firstLine="480"/>
            </w:pPr>
            <w:r>
              <w:rPr>
                <w:rFonts w:hint="eastAsia"/>
              </w:rPr>
              <w:t>本项目建设1座沉淀池用于存储喷淋用水和除雾水，沉淀池长约10m、宽2m、深2.5m。</w:t>
            </w:r>
          </w:p>
          <w:p>
            <w:pPr>
              <w:ind w:firstLine="480"/>
            </w:pPr>
            <w:r>
              <w:t>③中频炉烟（粉）尘</w:t>
            </w:r>
          </w:p>
          <w:p>
            <w:pPr>
              <w:ind w:firstLine="480"/>
              <w:rPr>
                <w:szCs w:val="28"/>
              </w:rPr>
            </w:pPr>
            <w:r>
              <w:rPr>
                <w:rFonts w:hint="eastAsia"/>
                <w:szCs w:val="28"/>
              </w:rPr>
              <w:t>本项目建设两台中频炉进行熔融工序，</w:t>
            </w:r>
            <w:r>
              <w:rPr>
                <w:szCs w:val="28"/>
              </w:rPr>
              <w:t>项目中频炉采用电加热，熔融过程有烟（粉）尘产生，污染物主要成分为含SiO</w:t>
            </w:r>
            <w:r>
              <w:rPr>
                <w:szCs w:val="28"/>
                <w:vertAlign w:val="subscript"/>
              </w:rPr>
              <w:t>2</w:t>
            </w:r>
            <w:r>
              <w:rPr>
                <w:szCs w:val="28"/>
              </w:rPr>
              <w:t>粉尘</w:t>
            </w:r>
            <w:r>
              <w:rPr>
                <w:rFonts w:hint="eastAsia"/>
                <w:szCs w:val="28"/>
              </w:rPr>
              <w:t>和钙粉粉尘</w:t>
            </w:r>
            <w:r>
              <w:rPr>
                <w:szCs w:val="28"/>
              </w:rPr>
              <w:t>。中频炉除加料时需打开炉门，其余时段均封闭，</w:t>
            </w:r>
            <w:r>
              <w:rPr>
                <w:rFonts w:hint="eastAsia"/>
                <w:szCs w:val="28"/>
              </w:rPr>
              <w:t>本项目于中频炉上方设有集气罩并配套设置防火软帘进行集气收集，</w:t>
            </w:r>
            <w:r>
              <w:rPr>
                <w:szCs w:val="28"/>
              </w:rPr>
              <w:t>根据同类设备运行经验，废气捕集率可达到</w:t>
            </w:r>
            <w:r>
              <w:rPr>
                <w:rFonts w:hint="eastAsia"/>
                <w:szCs w:val="28"/>
              </w:rPr>
              <w:t>75</w:t>
            </w:r>
            <w:r>
              <w:rPr>
                <w:szCs w:val="28"/>
              </w:rPr>
              <w:t>%以上，即约</w:t>
            </w:r>
            <w:r>
              <w:rPr>
                <w:rFonts w:hint="eastAsia"/>
                <w:szCs w:val="28"/>
              </w:rPr>
              <w:t>75</w:t>
            </w:r>
            <w:r>
              <w:rPr>
                <w:szCs w:val="28"/>
              </w:rPr>
              <w:t>%的烟气均经由烟气主管道进入除尘系统处理，剩余</w:t>
            </w:r>
            <w:r>
              <w:rPr>
                <w:rFonts w:hint="eastAsia"/>
                <w:szCs w:val="28"/>
              </w:rPr>
              <w:t>25</w:t>
            </w:r>
            <w:r>
              <w:rPr>
                <w:szCs w:val="28"/>
              </w:rPr>
              <w:t>%在炉门开启时无组织排放。根据《逸散性工业粉尘控制技术》（中国环境出版社，1989年），中频炉熔融、出料过程烟（粉）尘产生系数约6.0kg/t-物料。</w:t>
            </w:r>
          </w:p>
          <w:p>
            <w:pPr>
              <w:adjustRightInd w:val="0"/>
              <w:spacing w:line="240" w:lineRule="auto"/>
              <w:ind w:firstLine="0" w:firstLineChars="0"/>
              <w:jc w:val="center"/>
              <w:rPr>
                <w:b/>
                <w:bCs/>
                <w:sz w:val="21"/>
                <w:szCs w:val="21"/>
              </w:rPr>
            </w:pPr>
            <w:r>
              <w:rPr>
                <w:b/>
                <w:bCs/>
                <w:sz w:val="21"/>
                <w:szCs w:val="21"/>
              </w:rPr>
              <w:t>表</w:t>
            </w:r>
            <w:r>
              <w:rPr>
                <w:rFonts w:hint="eastAsia"/>
                <w:b/>
                <w:bCs/>
                <w:sz w:val="21"/>
                <w:szCs w:val="21"/>
              </w:rPr>
              <w:t>4</w:t>
            </w:r>
            <w:r>
              <w:rPr>
                <w:b/>
                <w:bCs/>
                <w:sz w:val="21"/>
                <w:szCs w:val="21"/>
              </w:rPr>
              <w:t>-</w:t>
            </w:r>
            <w:r>
              <w:rPr>
                <w:rFonts w:hint="eastAsia"/>
                <w:b/>
                <w:bCs/>
                <w:sz w:val="21"/>
                <w:szCs w:val="21"/>
              </w:rPr>
              <w:t>3中频炉烟（粉）尘</w:t>
            </w:r>
            <w:r>
              <w:rPr>
                <w:b/>
                <w:bCs/>
                <w:sz w:val="21"/>
                <w:szCs w:val="21"/>
              </w:rPr>
              <w:t>产</w:t>
            </w:r>
            <w:r>
              <w:rPr>
                <w:rFonts w:hint="eastAsia"/>
                <w:b/>
                <w:bCs/>
                <w:sz w:val="21"/>
                <w:szCs w:val="21"/>
              </w:rPr>
              <w:t>生</w:t>
            </w:r>
            <w:r>
              <w:rPr>
                <w:b/>
                <w:bCs/>
                <w:sz w:val="21"/>
                <w:szCs w:val="21"/>
              </w:rPr>
              <w:t>情况一览表</w:t>
            </w:r>
          </w:p>
          <w:tbl>
            <w:tblPr>
              <w:tblStyle w:val="36"/>
              <w:tblW w:w="7549"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57"/>
              <w:gridCol w:w="992"/>
              <w:gridCol w:w="897"/>
              <w:gridCol w:w="904"/>
              <w:gridCol w:w="1261"/>
              <w:gridCol w:w="1220"/>
              <w:gridCol w:w="171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73" w:hRule="atLeast"/>
                <w:jc w:val="center"/>
              </w:trPr>
              <w:tc>
                <w:tcPr>
                  <w:tcW w:w="557" w:type="dxa"/>
                  <w:vMerge w:val="restart"/>
                  <w:vAlign w:val="center"/>
                </w:tcPr>
                <w:p>
                  <w:pPr>
                    <w:pStyle w:val="91"/>
                  </w:pPr>
                  <w:r>
                    <w:t>工序</w:t>
                  </w:r>
                </w:p>
              </w:tc>
              <w:tc>
                <w:tcPr>
                  <w:tcW w:w="992" w:type="dxa"/>
                  <w:vMerge w:val="restart"/>
                  <w:vAlign w:val="center"/>
                </w:tcPr>
                <w:p>
                  <w:pPr>
                    <w:pStyle w:val="91"/>
                  </w:pPr>
                  <w:r>
                    <w:t>污染源名称</w:t>
                  </w:r>
                </w:p>
              </w:tc>
              <w:tc>
                <w:tcPr>
                  <w:tcW w:w="897" w:type="dxa"/>
                  <w:vMerge w:val="restart"/>
                  <w:vAlign w:val="center"/>
                </w:tcPr>
                <w:p>
                  <w:pPr>
                    <w:pStyle w:val="91"/>
                  </w:pPr>
                  <w:r>
                    <w:t>运行时间(h)</w:t>
                  </w:r>
                </w:p>
              </w:tc>
              <w:tc>
                <w:tcPr>
                  <w:tcW w:w="904" w:type="dxa"/>
                  <w:vMerge w:val="restart"/>
                  <w:vAlign w:val="center"/>
                </w:tcPr>
                <w:p>
                  <w:pPr>
                    <w:pStyle w:val="91"/>
                  </w:pPr>
                  <w:r>
                    <w:t>污染物名称</w:t>
                  </w:r>
                </w:p>
              </w:tc>
              <w:tc>
                <w:tcPr>
                  <w:tcW w:w="2481" w:type="dxa"/>
                  <w:gridSpan w:val="2"/>
                  <w:vAlign w:val="center"/>
                </w:tcPr>
                <w:p>
                  <w:pPr>
                    <w:pStyle w:val="91"/>
                  </w:pPr>
                  <w:r>
                    <w:t>产生情况</w:t>
                  </w:r>
                </w:p>
              </w:tc>
              <w:tc>
                <w:tcPr>
                  <w:tcW w:w="1718" w:type="dxa"/>
                  <w:vMerge w:val="restart"/>
                  <w:vAlign w:val="center"/>
                </w:tcPr>
                <w:p>
                  <w:pPr>
                    <w:pStyle w:val="91"/>
                  </w:pPr>
                  <w:r>
                    <w:t>拟采取的处理方式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45" w:hRule="atLeast"/>
                <w:jc w:val="center"/>
              </w:trPr>
              <w:tc>
                <w:tcPr>
                  <w:tcW w:w="557" w:type="dxa"/>
                  <w:vMerge w:val="continue"/>
                  <w:vAlign w:val="center"/>
                </w:tcPr>
                <w:p>
                  <w:pPr>
                    <w:pStyle w:val="91"/>
                  </w:pPr>
                </w:p>
              </w:tc>
              <w:tc>
                <w:tcPr>
                  <w:tcW w:w="992" w:type="dxa"/>
                  <w:vMerge w:val="continue"/>
                  <w:vAlign w:val="center"/>
                </w:tcPr>
                <w:p>
                  <w:pPr>
                    <w:pStyle w:val="91"/>
                  </w:pPr>
                </w:p>
              </w:tc>
              <w:tc>
                <w:tcPr>
                  <w:tcW w:w="897" w:type="dxa"/>
                  <w:vMerge w:val="continue"/>
                  <w:vAlign w:val="center"/>
                </w:tcPr>
                <w:p>
                  <w:pPr>
                    <w:pStyle w:val="91"/>
                  </w:pPr>
                </w:p>
              </w:tc>
              <w:tc>
                <w:tcPr>
                  <w:tcW w:w="904" w:type="dxa"/>
                  <w:vMerge w:val="continue"/>
                  <w:vAlign w:val="center"/>
                </w:tcPr>
                <w:p>
                  <w:pPr>
                    <w:pStyle w:val="91"/>
                  </w:pPr>
                </w:p>
              </w:tc>
              <w:tc>
                <w:tcPr>
                  <w:tcW w:w="1261" w:type="dxa"/>
                  <w:vAlign w:val="center"/>
                </w:tcPr>
                <w:p>
                  <w:pPr>
                    <w:pStyle w:val="91"/>
                  </w:pPr>
                  <w:r>
                    <w:t>产生速率(kg/h)</w:t>
                  </w:r>
                </w:p>
              </w:tc>
              <w:tc>
                <w:tcPr>
                  <w:tcW w:w="1220" w:type="dxa"/>
                  <w:vAlign w:val="center"/>
                </w:tcPr>
                <w:p>
                  <w:pPr>
                    <w:pStyle w:val="91"/>
                  </w:pPr>
                  <w:r>
                    <w:t>产生量(t/a)</w:t>
                  </w:r>
                </w:p>
              </w:tc>
              <w:tc>
                <w:tcPr>
                  <w:tcW w:w="1718" w:type="dxa"/>
                  <w:vMerge w:val="continue"/>
                  <w:vAlign w:val="center"/>
                </w:tcPr>
                <w:p>
                  <w:pPr>
                    <w:pStyle w:val="91"/>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41" w:hRule="atLeast"/>
                <w:jc w:val="center"/>
              </w:trPr>
              <w:tc>
                <w:tcPr>
                  <w:tcW w:w="557" w:type="dxa"/>
                  <w:vAlign w:val="center"/>
                </w:tcPr>
                <w:p>
                  <w:pPr>
                    <w:pStyle w:val="91"/>
                  </w:pPr>
                  <w:r>
                    <w:t>熔融</w:t>
                  </w:r>
                </w:p>
              </w:tc>
              <w:tc>
                <w:tcPr>
                  <w:tcW w:w="992" w:type="dxa"/>
                  <w:vAlign w:val="center"/>
                </w:tcPr>
                <w:p>
                  <w:pPr>
                    <w:pStyle w:val="91"/>
                  </w:pPr>
                  <w:r>
                    <w:t>G</w:t>
                  </w:r>
                  <w:r>
                    <w:rPr>
                      <w:rFonts w:hint="eastAsia"/>
                    </w:rPr>
                    <w:t>3</w:t>
                  </w:r>
                </w:p>
              </w:tc>
              <w:tc>
                <w:tcPr>
                  <w:tcW w:w="897" w:type="dxa"/>
                  <w:vAlign w:val="center"/>
                </w:tcPr>
                <w:p>
                  <w:pPr>
                    <w:pStyle w:val="91"/>
                  </w:pPr>
                  <w:r>
                    <w:rPr>
                      <w:rFonts w:hint="eastAsia"/>
                    </w:rPr>
                    <w:t>24</w:t>
                  </w:r>
                  <w:r>
                    <w:t>00</w:t>
                  </w:r>
                </w:p>
              </w:tc>
              <w:tc>
                <w:tcPr>
                  <w:tcW w:w="904" w:type="dxa"/>
                  <w:vAlign w:val="center"/>
                </w:tcPr>
                <w:p>
                  <w:pPr>
                    <w:pStyle w:val="91"/>
                  </w:pPr>
                  <w:r>
                    <w:t>粉尘</w:t>
                  </w:r>
                </w:p>
              </w:tc>
              <w:tc>
                <w:tcPr>
                  <w:tcW w:w="1261" w:type="dxa"/>
                  <w:vAlign w:val="center"/>
                </w:tcPr>
                <w:p>
                  <w:pPr>
                    <w:pStyle w:val="91"/>
                  </w:pPr>
                  <w:r>
                    <w:rPr>
                      <w:rFonts w:hint="eastAsia"/>
                    </w:rPr>
                    <w:t>58.28</w:t>
                  </w:r>
                </w:p>
              </w:tc>
              <w:tc>
                <w:tcPr>
                  <w:tcW w:w="1220" w:type="dxa"/>
                  <w:vAlign w:val="center"/>
                </w:tcPr>
                <w:p>
                  <w:pPr>
                    <w:pStyle w:val="91"/>
                  </w:pPr>
                  <w:r>
                    <w:rPr>
                      <w:rFonts w:hint="eastAsia"/>
                    </w:rPr>
                    <w:t>139.86</w:t>
                  </w:r>
                </w:p>
              </w:tc>
              <w:tc>
                <w:tcPr>
                  <w:tcW w:w="1718" w:type="dxa"/>
                  <w:vAlign w:val="center"/>
                </w:tcPr>
                <w:p>
                  <w:pPr>
                    <w:pStyle w:val="91"/>
                  </w:pPr>
                  <w:r>
                    <w:t>废气</w:t>
                  </w:r>
                  <w:r>
                    <w:rPr>
                      <w:rFonts w:hint="eastAsia"/>
                    </w:rPr>
                    <w:t>经</w:t>
                  </w:r>
                  <w:r>
                    <w:t>集气收集后分别经布袋除尘器处理后</w:t>
                  </w:r>
                  <w:r>
                    <w:rPr>
                      <w:rFonts w:hint="eastAsia"/>
                    </w:rPr>
                    <w:t>通过</w:t>
                  </w:r>
                  <w:r>
                    <w:t>15m排气筒（1#）排放</w:t>
                  </w:r>
                </w:p>
              </w:tc>
            </w:tr>
          </w:tbl>
          <w:p>
            <w:pPr>
              <w:ind w:firstLine="480"/>
            </w:pPr>
            <w:r>
              <w:rPr>
                <w:rFonts w:hint="eastAsia"/>
              </w:rPr>
              <w:t>本项目2台中频炉废气经收集后连接至1台处理措施，熔融过程产尘通过1套布袋除尘器处理后经15m高排气筒（3#）排放，根据设备参数，其中风机风量均按82000m</w:t>
            </w:r>
            <w:r>
              <w:rPr>
                <w:rFonts w:hint="eastAsia"/>
                <w:vertAlign w:val="superscript"/>
              </w:rPr>
              <w:t>3</w:t>
            </w:r>
            <w:r>
              <w:rPr>
                <w:rFonts w:hint="eastAsia"/>
              </w:rPr>
              <w:t>/h考虑，熔融工序粉尘有组织的排放量为1.05</w:t>
            </w:r>
            <w:r>
              <w:t>t/a</w:t>
            </w:r>
            <w:r>
              <w:rPr>
                <w:rFonts w:hint="eastAsia"/>
              </w:rPr>
              <w:t>，排放速率为0.44</w:t>
            </w:r>
            <w:r>
              <w:t>kg/h</w:t>
            </w:r>
            <w:r>
              <w:rPr>
                <w:rFonts w:hint="eastAsia"/>
              </w:rPr>
              <w:t>，排放浓度5.33mg/m</w:t>
            </w:r>
            <w:r>
              <w:rPr>
                <w:rFonts w:hint="eastAsia"/>
                <w:vertAlign w:val="superscript"/>
              </w:rPr>
              <w:t>3</w:t>
            </w:r>
            <w:r>
              <w:rPr>
                <w:rFonts w:hint="eastAsia"/>
              </w:rPr>
              <w:t>；考虑到熔融粉尘经过车间的阻隔，会有一部分沉降在车间内部，沉降量按约为70%，熔融工序无组织粉尘排放量为5.24</w:t>
            </w:r>
            <w:r>
              <w:t>t/a</w:t>
            </w:r>
            <w:r>
              <w:rPr>
                <w:rFonts w:hint="eastAsia"/>
              </w:rPr>
              <w:t>。</w:t>
            </w:r>
          </w:p>
          <w:p>
            <w:pPr>
              <w:ind w:firstLine="480"/>
            </w:pPr>
            <w:r>
              <w:rPr>
                <w:rFonts w:hint="eastAsia" w:ascii="宋体" w:hAnsi="宋体" w:cs="宋体"/>
                <w:szCs w:val="28"/>
              </w:rPr>
              <w:t>④</w:t>
            </w:r>
            <w:r>
              <w:rPr>
                <w:szCs w:val="28"/>
              </w:rPr>
              <w:t>天然气燃烧烟气</w:t>
            </w:r>
          </w:p>
          <w:p>
            <w:pPr>
              <w:ind w:firstLine="480"/>
              <w:rPr>
                <w:kern w:val="0"/>
              </w:rPr>
            </w:pPr>
            <w:r>
              <w:t>项目烘干机热风炉采用液化天然气作为燃料，烘干机LNG耗量约为7.5万m</w:t>
            </w:r>
            <w:r>
              <w:rPr>
                <w:vertAlign w:val="superscript"/>
              </w:rPr>
              <w:t>3</w:t>
            </w:r>
            <w:r>
              <w:t>/a。</w:t>
            </w:r>
            <w:r>
              <w:rPr>
                <w:rFonts w:hint="eastAsia"/>
              </w:rPr>
              <w:t>天然气燃烧</w:t>
            </w:r>
            <w:r>
              <w:t>过程中会有一定量的燃烧废气产生，主要污染物为烟尘、SO</w:t>
            </w:r>
            <w:r>
              <w:rPr>
                <w:vertAlign w:val="subscript"/>
              </w:rPr>
              <w:t>2</w:t>
            </w:r>
            <w:r>
              <w:t>及NO</w:t>
            </w:r>
            <w:r>
              <w:rPr>
                <w:vertAlign w:val="subscript"/>
              </w:rPr>
              <w:t>X</w:t>
            </w:r>
            <w:r>
              <w:rPr>
                <w:rFonts w:hint="eastAsia"/>
              </w:rPr>
              <w:t>，烘干工序</w:t>
            </w:r>
            <w:r>
              <w:rPr>
                <w:rFonts w:hint="eastAsia"/>
                <w:kern w:val="0"/>
              </w:rPr>
              <w:t>年工作2400h计，天然气燃烧烟气l连接烘干粉尘的处理装置处理后通过20m高排气筒（2#）进行排放，此装置对烟尘有一定的去除效率，约93%</w:t>
            </w:r>
            <w:r>
              <w:rPr>
                <w:rFonts w:hint="eastAsia"/>
              </w:rPr>
              <w:t>。</w:t>
            </w:r>
          </w:p>
          <w:p>
            <w:pPr>
              <w:ind w:firstLine="480"/>
            </w:pPr>
            <w:r>
              <w:rPr>
                <w:kern w:val="0"/>
              </w:rPr>
              <w:t>参照</w:t>
            </w:r>
            <w:r>
              <w:rPr>
                <w:rFonts w:hint="eastAsia"/>
              </w:rPr>
              <w:t>《排放源统计调查产排污核算方法和系数手册》（2021年颁发）、《污染源产排污系数手册》和《环境保护实用数据手册》，天然气燃烧废气</w:t>
            </w:r>
            <w:r>
              <w:t>的排污系数</w:t>
            </w:r>
            <w:r>
              <w:rPr>
                <w:rFonts w:hint="eastAsia"/>
              </w:rPr>
              <w:t>以及产排量</w:t>
            </w:r>
            <w:r>
              <w:t>见表</w:t>
            </w:r>
            <w:r>
              <w:rPr>
                <w:rFonts w:hint="eastAsia"/>
              </w:rPr>
              <w:t>4-4</w:t>
            </w:r>
            <w:r>
              <w:t>。</w:t>
            </w:r>
          </w:p>
          <w:p>
            <w:pPr>
              <w:autoSpaceDE w:val="0"/>
              <w:autoSpaceDN w:val="0"/>
              <w:adjustRightInd w:val="0"/>
              <w:spacing w:line="240" w:lineRule="auto"/>
              <w:ind w:firstLine="0" w:firstLineChars="0"/>
              <w:jc w:val="center"/>
              <w:rPr>
                <w:b/>
                <w:bCs/>
                <w:sz w:val="21"/>
                <w:szCs w:val="21"/>
              </w:rPr>
            </w:pPr>
            <w:r>
              <w:rPr>
                <w:b/>
                <w:bCs/>
                <w:sz w:val="21"/>
                <w:szCs w:val="21"/>
              </w:rPr>
              <w:t>表</w:t>
            </w:r>
            <w:r>
              <w:rPr>
                <w:rFonts w:hint="eastAsia"/>
                <w:b/>
                <w:bCs/>
                <w:sz w:val="21"/>
                <w:szCs w:val="21"/>
              </w:rPr>
              <w:t>4-4项目烘干筒燃气废气产</w:t>
            </w:r>
            <w:r>
              <w:rPr>
                <w:b/>
                <w:bCs/>
                <w:sz w:val="21"/>
                <w:szCs w:val="21"/>
              </w:rPr>
              <w:t>排情况一览表</w:t>
            </w:r>
          </w:p>
          <w:tbl>
            <w:tblPr>
              <w:tblStyle w:val="36"/>
              <w:tblW w:w="7558" w:type="dxa"/>
              <w:tblInd w:w="5" w:type="dxa"/>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865"/>
              <w:gridCol w:w="1537"/>
              <w:gridCol w:w="1280"/>
              <w:gridCol w:w="1370"/>
              <w:gridCol w:w="1412"/>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trPr>
              <w:tc>
                <w:tcPr>
                  <w:tcW w:w="1959" w:type="dxa"/>
                  <w:gridSpan w:val="2"/>
                  <w:tcBorders>
                    <w:tl2br w:val="nil"/>
                    <w:tr2bl w:val="nil"/>
                  </w:tcBorders>
                  <w:vAlign w:val="center"/>
                </w:tcPr>
                <w:p>
                  <w:pPr>
                    <w:adjustRightInd w:val="0"/>
                    <w:spacing w:line="240" w:lineRule="auto"/>
                    <w:ind w:firstLine="0" w:firstLineChars="0"/>
                    <w:jc w:val="center"/>
                    <w:rPr>
                      <w:rFonts w:hAnsi="宋体" w:cs="宋体"/>
                      <w:sz w:val="21"/>
                      <w:szCs w:val="21"/>
                    </w:rPr>
                  </w:pPr>
                  <w:r>
                    <w:rPr>
                      <w:rFonts w:hAnsi="宋体" w:cs="宋体"/>
                      <w:sz w:val="21"/>
                      <w:szCs w:val="21"/>
                    </w:rPr>
                    <w:t>项目</w:t>
                  </w:r>
                </w:p>
              </w:tc>
              <w:tc>
                <w:tcPr>
                  <w:tcW w:w="1537" w:type="dxa"/>
                  <w:tcBorders>
                    <w:tl2br w:val="nil"/>
                    <w:tr2bl w:val="nil"/>
                  </w:tcBorders>
                  <w:vAlign w:val="center"/>
                </w:tcPr>
                <w:p>
                  <w:pPr>
                    <w:adjustRightInd w:val="0"/>
                    <w:spacing w:line="240" w:lineRule="auto"/>
                    <w:ind w:firstLine="0" w:firstLineChars="0"/>
                    <w:jc w:val="center"/>
                    <w:rPr>
                      <w:rFonts w:hAnsi="宋体" w:cs="宋体"/>
                      <w:sz w:val="21"/>
                      <w:szCs w:val="21"/>
                    </w:rPr>
                  </w:pPr>
                  <w:r>
                    <w:rPr>
                      <w:rFonts w:hint="eastAsia" w:hAnsi="宋体" w:cs="宋体"/>
                      <w:sz w:val="21"/>
                      <w:szCs w:val="21"/>
                    </w:rPr>
                    <w:t>废气量</w:t>
                  </w:r>
                </w:p>
              </w:tc>
              <w:tc>
                <w:tcPr>
                  <w:tcW w:w="1280" w:type="dxa"/>
                  <w:tcBorders>
                    <w:tl2br w:val="nil"/>
                    <w:tr2bl w:val="nil"/>
                  </w:tcBorders>
                  <w:vAlign w:val="center"/>
                </w:tcPr>
                <w:p>
                  <w:pPr>
                    <w:adjustRightInd w:val="0"/>
                    <w:spacing w:line="240" w:lineRule="auto"/>
                    <w:ind w:firstLine="0" w:firstLineChars="0"/>
                    <w:jc w:val="center"/>
                    <w:rPr>
                      <w:rFonts w:hAnsi="宋体" w:cs="宋体"/>
                      <w:sz w:val="21"/>
                      <w:szCs w:val="21"/>
                    </w:rPr>
                  </w:pPr>
                  <w:r>
                    <w:rPr>
                      <w:rFonts w:hAnsi="宋体" w:cs="宋体"/>
                      <w:sz w:val="21"/>
                      <w:szCs w:val="21"/>
                    </w:rPr>
                    <w:t>NO</w:t>
                  </w:r>
                  <w:r>
                    <w:rPr>
                      <w:rFonts w:hint="eastAsia" w:hAnsi="宋体" w:cs="宋体"/>
                      <w:sz w:val="21"/>
                      <w:szCs w:val="21"/>
                      <w:vertAlign w:val="subscript"/>
                    </w:rPr>
                    <w:t>x</w:t>
                  </w:r>
                </w:p>
              </w:tc>
              <w:tc>
                <w:tcPr>
                  <w:tcW w:w="1370" w:type="dxa"/>
                  <w:tcBorders>
                    <w:tl2br w:val="nil"/>
                    <w:tr2bl w:val="nil"/>
                  </w:tcBorders>
                  <w:vAlign w:val="center"/>
                </w:tcPr>
                <w:p>
                  <w:pPr>
                    <w:adjustRightInd w:val="0"/>
                    <w:spacing w:line="240" w:lineRule="auto"/>
                    <w:ind w:firstLine="0" w:firstLineChars="0"/>
                    <w:jc w:val="center"/>
                    <w:rPr>
                      <w:rFonts w:hAnsi="宋体" w:cs="宋体"/>
                      <w:sz w:val="21"/>
                      <w:szCs w:val="21"/>
                    </w:rPr>
                  </w:pPr>
                  <w:r>
                    <w:rPr>
                      <w:rFonts w:hAnsi="宋体" w:cs="宋体"/>
                      <w:sz w:val="21"/>
                      <w:szCs w:val="21"/>
                    </w:rPr>
                    <w:t>SO</w:t>
                  </w:r>
                  <w:r>
                    <w:rPr>
                      <w:rFonts w:hAnsi="宋体" w:cs="宋体"/>
                      <w:sz w:val="21"/>
                      <w:szCs w:val="21"/>
                      <w:vertAlign w:val="subscript"/>
                    </w:rPr>
                    <w:t>2</w:t>
                  </w:r>
                </w:p>
              </w:tc>
              <w:tc>
                <w:tcPr>
                  <w:tcW w:w="1412" w:type="dxa"/>
                  <w:tcBorders>
                    <w:tl2br w:val="nil"/>
                    <w:tr2bl w:val="nil"/>
                  </w:tcBorders>
                  <w:vAlign w:val="center"/>
                </w:tcPr>
                <w:p>
                  <w:pPr>
                    <w:adjustRightInd w:val="0"/>
                    <w:spacing w:line="240" w:lineRule="auto"/>
                    <w:ind w:firstLine="0" w:firstLineChars="0"/>
                    <w:jc w:val="center"/>
                    <w:rPr>
                      <w:rFonts w:hAnsi="宋体" w:cs="宋体"/>
                      <w:sz w:val="21"/>
                      <w:szCs w:val="21"/>
                    </w:rPr>
                  </w:pPr>
                  <w:r>
                    <w:rPr>
                      <w:rFonts w:hAnsi="宋体" w:cs="宋体"/>
                      <w:sz w:val="21"/>
                      <w:szCs w:val="21"/>
                    </w:rPr>
                    <w:t>烟尘</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959" w:type="dxa"/>
                  <w:gridSpan w:val="2"/>
                  <w:tcBorders>
                    <w:tl2br w:val="nil"/>
                    <w:tr2bl w:val="nil"/>
                  </w:tcBorders>
                  <w:vAlign w:val="center"/>
                </w:tcPr>
                <w:p>
                  <w:pPr>
                    <w:adjustRightInd w:val="0"/>
                    <w:spacing w:line="240" w:lineRule="auto"/>
                    <w:ind w:firstLine="0" w:firstLineChars="0"/>
                    <w:jc w:val="center"/>
                    <w:rPr>
                      <w:rFonts w:hAnsi="宋体" w:cs="宋体"/>
                      <w:sz w:val="21"/>
                      <w:szCs w:val="21"/>
                    </w:rPr>
                  </w:pPr>
                  <w:r>
                    <w:rPr>
                      <w:rFonts w:hint="eastAsia" w:hAnsi="宋体" w:cs="宋体"/>
                      <w:sz w:val="21"/>
                      <w:szCs w:val="21"/>
                    </w:rPr>
                    <w:t>天然气总</w:t>
                  </w:r>
                  <w:r>
                    <w:rPr>
                      <w:rFonts w:hAnsi="宋体" w:cs="宋体"/>
                      <w:sz w:val="21"/>
                      <w:szCs w:val="21"/>
                    </w:rPr>
                    <w:t>用量</w:t>
                  </w:r>
                </w:p>
              </w:tc>
              <w:tc>
                <w:tcPr>
                  <w:tcW w:w="5599" w:type="dxa"/>
                  <w:gridSpan w:val="4"/>
                  <w:tcBorders>
                    <w:tl2br w:val="nil"/>
                    <w:tr2bl w:val="nil"/>
                  </w:tcBorders>
                  <w:vAlign w:val="center"/>
                </w:tcPr>
                <w:p>
                  <w:pPr>
                    <w:adjustRightInd w:val="0"/>
                    <w:spacing w:line="240" w:lineRule="auto"/>
                    <w:ind w:firstLine="0" w:firstLineChars="0"/>
                    <w:jc w:val="center"/>
                    <w:rPr>
                      <w:rFonts w:hAnsi="宋体" w:cs="宋体"/>
                      <w:sz w:val="21"/>
                      <w:szCs w:val="21"/>
                    </w:rPr>
                  </w:pPr>
                  <w:r>
                    <w:rPr>
                      <w:rFonts w:hint="eastAsia" w:hAnsi="宋体" w:cs="宋体"/>
                      <w:sz w:val="21"/>
                      <w:szCs w:val="21"/>
                    </w:rPr>
                    <w:t>7.5万</w:t>
                  </w:r>
                  <w:r>
                    <w:rPr>
                      <w:rFonts w:hint="eastAsia"/>
                      <w:sz w:val="21"/>
                      <w:szCs w:val="21"/>
                    </w:rPr>
                    <w:t>N</w:t>
                  </w:r>
                  <w:r>
                    <w:rPr>
                      <w:rFonts w:hAnsi="宋体" w:cs="宋体"/>
                      <w:sz w:val="21"/>
                      <w:szCs w:val="21"/>
                    </w:rPr>
                    <w:t>m</w:t>
                  </w:r>
                  <w:r>
                    <w:rPr>
                      <w:rFonts w:hAnsi="宋体" w:cs="宋体"/>
                      <w:sz w:val="21"/>
                      <w:szCs w:val="21"/>
                      <w:vertAlign w:val="superscript"/>
                    </w:rPr>
                    <w:t>3</w:t>
                  </w:r>
                  <w:r>
                    <w:rPr>
                      <w:rFonts w:hAnsi="宋体" w:cs="宋体"/>
                      <w:sz w:val="21"/>
                      <w:szCs w:val="21"/>
                    </w:rPr>
                    <w:t>/a</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trPr>
              <w:tc>
                <w:tcPr>
                  <w:tcW w:w="1094" w:type="dxa"/>
                  <w:vMerge w:val="restart"/>
                  <w:tcBorders>
                    <w:tl2br w:val="nil"/>
                    <w:tr2bl w:val="nil"/>
                  </w:tcBorders>
                  <w:vAlign w:val="center"/>
                </w:tcPr>
                <w:p>
                  <w:pPr>
                    <w:adjustRightInd w:val="0"/>
                    <w:spacing w:line="240" w:lineRule="auto"/>
                    <w:ind w:firstLine="0" w:firstLineChars="0"/>
                    <w:jc w:val="center"/>
                    <w:rPr>
                      <w:rFonts w:hAnsi="宋体" w:cs="宋体"/>
                      <w:sz w:val="21"/>
                      <w:szCs w:val="21"/>
                    </w:rPr>
                  </w:pPr>
                  <w:r>
                    <w:rPr>
                      <w:rFonts w:hint="eastAsia" w:hAnsi="宋体" w:cs="宋体"/>
                      <w:sz w:val="21"/>
                      <w:szCs w:val="21"/>
                    </w:rPr>
                    <w:t>产污情况</w:t>
                  </w:r>
                </w:p>
              </w:tc>
              <w:tc>
                <w:tcPr>
                  <w:tcW w:w="865" w:type="dxa"/>
                  <w:tcBorders>
                    <w:tl2br w:val="nil"/>
                    <w:tr2bl w:val="nil"/>
                  </w:tcBorders>
                  <w:vAlign w:val="center"/>
                </w:tcPr>
                <w:p>
                  <w:pPr>
                    <w:adjustRightInd w:val="0"/>
                    <w:spacing w:line="240" w:lineRule="auto"/>
                    <w:ind w:firstLine="0" w:firstLineChars="0"/>
                    <w:jc w:val="center"/>
                    <w:rPr>
                      <w:rFonts w:hAnsi="宋体" w:cs="宋体"/>
                      <w:sz w:val="21"/>
                      <w:szCs w:val="21"/>
                    </w:rPr>
                  </w:pPr>
                  <w:r>
                    <w:rPr>
                      <w:rFonts w:hint="eastAsia" w:hAnsi="宋体" w:cs="宋体"/>
                      <w:sz w:val="21"/>
                      <w:szCs w:val="21"/>
                    </w:rPr>
                    <w:t>系数</w:t>
                  </w:r>
                </w:p>
              </w:tc>
              <w:tc>
                <w:tcPr>
                  <w:tcW w:w="1537" w:type="dxa"/>
                  <w:tcBorders>
                    <w:tl2br w:val="nil"/>
                    <w:tr2bl w:val="nil"/>
                  </w:tcBorders>
                  <w:vAlign w:val="center"/>
                </w:tcPr>
                <w:p>
                  <w:pPr>
                    <w:adjustRightInd w:val="0"/>
                    <w:spacing w:line="240" w:lineRule="auto"/>
                    <w:ind w:firstLine="0" w:firstLineChars="0"/>
                    <w:jc w:val="center"/>
                    <w:rPr>
                      <w:rFonts w:hAnsi="宋体" w:cs="宋体"/>
                      <w:sz w:val="21"/>
                      <w:szCs w:val="21"/>
                    </w:rPr>
                  </w:pPr>
                  <w:r>
                    <w:rPr>
                      <w:rFonts w:hint="eastAsia" w:hAnsi="宋体" w:cs="宋体"/>
                      <w:sz w:val="21"/>
                      <w:szCs w:val="21"/>
                    </w:rPr>
                    <w:t>107753</w:t>
                  </w:r>
                </w:p>
              </w:tc>
              <w:tc>
                <w:tcPr>
                  <w:tcW w:w="1280" w:type="dxa"/>
                  <w:tcBorders>
                    <w:tl2br w:val="nil"/>
                    <w:tr2bl w:val="nil"/>
                  </w:tcBorders>
                  <w:vAlign w:val="center"/>
                </w:tcPr>
                <w:p>
                  <w:pPr>
                    <w:adjustRightInd w:val="0"/>
                    <w:spacing w:line="240" w:lineRule="auto"/>
                    <w:ind w:firstLine="0" w:firstLineChars="0"/>
                    <w:jc w:val="center"/>
                    <w:rPr>
                      <w:rFonts w:hAnsi="宋体" w:cs="宋体"/>
                      <w:sz w:val="21"/>
                      <w:szCs w:val="21"/>
                    </w:rPr>
                  </w:pPr>
                  <w:r>
                    <w:rPr>
                      <w:rFonts w:hint="eastAsia" w:hAnsi="宋体" w:cs="宋体"/>
                      <w:sz w:val="21"/>
                      <w:szCs w:val="21"/>
                    </w:rPr>
                    <w:t>15.87</w:t>
                  </w:r>
                </w:p>
              </w:tc>
              <w:tc>
                <w:tcPr>
                  <w:tcW w:w="1370" w:type="dxa"/>
                  <w:tcBorders>
                    <w:tl2br w:val="nil"/>
                    <w:tr2bl w:val="nil"/>
                  </w:tcBorders>
                  <w:vAlign w:val="center"/>
                </w:tcPr>
                <w:p>
                  <w:pPr>
                    <w:adjustRightInd w:val="0"/>
                    <w:spacing w:line="240" w:lineRule="auto"/>
                    <w:ind w:firstLine="0" w:firstLineChars="0"/>
                    <w:jc w:val="center"/>
                    <w:rPr>
                      <w:rFonts w:hAnsi="宋体" w:cs="宋体"/>
                      <w:sz w:val="21"/>
                      <w:szCs w:val="21"/>
                    </w:rPr>
                  </w:pPr>
                  <w:r>
                    <w:rPr>
                      <w:rFonts w:hint="eastAsia" w:hAnsi="宋体" w:cs="宋体"/>
                      <w:sz w:val="21"/>
                      <w:szCs w:val="21"/>
                    </w:rPr>
                    <w:t>0.02S</w:t>
                  </w:r>
                </w:p>
              </w:tc>
              <w:tc>
                <w:tcPr>
                  <w:tcW w:w="1412" w:type="dxa"/>
                  <w:tcBorders>
                    <w:tl2br w:val="nil"/>
                    <w:tr2bl w:val="nil"/>
                  </w:tcBorders>
                  <w:vAlign w:val="center"/>
                </w:tcPr>
                <w:p>
                  <w:pPr>
                    <w:adjustRightInd w:val="0"/>
                    <w:spacing w:line="240" w:lineRule="auto"/>
                    <w:ind w:firstLine="0" w:firstLineChars="0"/>
                    <w:jc w:val="center"/>
                    <w:rPr>
                      <w:rFonts w:hAnsi="宋体" w:cs="宋体"/>
                      <w:sz w:val="21"/>
                      <w:szCs w:val="21"/>
                    </w:rPr>
                  </w:pPr>
                  <w:r>
                    <w:rPr>
                      <w:rFonts w:hint="eastAsia" w:hAnsi="宋体" w:cs="宋体"/>
                      <w:sz w:val="21"/>
                      <w:szCs w:val="21"/>
                    </w:rPr>
                    <w:t>1.2</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094" w:type="dxa"/>
                  <w:vMerge w:val="continue"/>
                  <w:tcBorders>
                    <w:tl2br w:val="nil"/>
                    <w:tr2bl w:val="nil"/>
                  </w:tcBorders>
                  <w:vAlign w:val="center"/>
                </w:tcPr>
                <w:p>
                  <w:pPr>
                    <w:adjustRightInd w:val="0"/>
                    <w:spacing w:line="240" w:lineRule="auto"/>
                    <w:ind w:firstLine="0" w:firstLineChars="0"/>
                    <w:jc w:val="center"/>
                    <w:rPr>
                      <w:rFonts w:hAnsi="宋体" w:cs="宋体"/>
                      <w:sz w:val="21"/>
                      <w:szCs w:val="21"/>
                    </w:rPr>
                  </w:pPr>
                </w:p>
              </w:tc>
              <w:tc>
                <w:tcPr>
                  <w:tcW w:w="865" w:type="dxa"/>
                  <w:tcBorders>
                    <w:tl2br w:val="nil"/>
                    <w:tr2bl w:val="nil"/>
                  </w:tcBorders>
                  <w:vAlign w:val="center"/>
                </w:tcPr>
                <w:p>
                  <w:pPr>
                    <w:adjustRightInd w:val="0"/>
                    <w:spacing w:line="240" w:lineRule="auto"/>
                    <w:ind w:firstLine="0" w:firstLineChars="0"/>
                    <w:jc w:val="center"/>
                    <w:rPr>
                      <w:rFonts w:hAnsi="宋体" w:cs="宋体"/>
                      <w:sz w:val="21"/>
                      <w:szCs w:val="21"/>
                    </w:rPr>
                  </w:pPr>
                  <w:r>
                    <w:rPr>
                      <w:rFonts w:hint="eastAsia" w:hAnsi="宋体" w:cs="宋体"/>
                      <w:sz w:val="21"/>
                      <w:szCs w:val="21"/>
                    </w:rPr>
                    <w:t>单位</w:t>
                  </w:r>
                </w:p>
              </w:tc>
              <w:tc>
                <w:tcPr>
                  <w:tcW w:w="1537" w:type="dxa"/>
                  <w:tcBorders>
                    <w:tl2br w:val="nil"/>
                    <w:tr2bl w:val="nil"/>
                  </w:tcBorders>
                  <w:vAlign w:val="center"/>
                </w:tcPr>
                <w:p>
                  <w:pPr>
                    <w:adjustRightInd w:val="0"/>
                    <w:spacing w:line="240" w:lineRule="auto"/>
                    <w:ind w:firstLine="0" w:firstLineChars="0"/>
                    <w:jc w:val="center"/>
                    <w:rPr>
                      <w:rFonts w:hAnsi="宋体" w:cs="宋体"/>
                      <w:sz w:val="21"/>
                      <w:szCs w:val="21"/>
                    </w:rPr>
                  </w:pPr>
                  <w:r>
                    <w:rPr>
                      <w:rFonts w:hint="eastAsia"/>
                      <w:kern w:val="0"/>
                      <w:sz w:val="21"/>
                      <w:szCs w:val="21"/>
                    </w:rPr>
                    <w:t>m</w:t>
                  </w:r>
                  <w:r>
                    <w:rPr>
                      <w:rFonts w:hint="eastAsia"/>
                      <w:kern w:val="0"/>
                      <w:sz w:val="21"/>
                      <w:szCs w:val="21"/>
                      <w:vertAlign w:val="superscript"/>
                    </w:rPr>
                    <w:t>3</w:t>
                  </w:r>
                  <w:r>
                    <w:rPr>
                      <w:rFonts w:hint="eastAsia"/>
                      <w:kern w:val="0"/>
                      <w:sz w:val="21"/>
                      <w:szCs w:val="21"/>
                    </w:rPr>
                    <w:t>/万m</w:t>
                  </w:r>
                  <w:r>
                    <w:rPr>
                      <w:rFonts w:hint="eastAsia"/>
                      <w:kern w:val="0"/>
                      <w:sz w:val="21"/>
                      <w:szCs w:val="21"/>
                      <w:vertAlign w:val="superscript"/>
                    </w:rPr>
                    <w:t>3</w:t>
                  </w:r>
                  <w:r>
                    <w:rPr>
                      <w:rFonts w:hint="eastAsia"/>
                      <w:kern w:val="0"/>
                      <w:sz w:val="21"/>
                      <w:szCs w:val="21"/>
                    </w:rPr>
                    <w:t>-原料</w:t>
                  </w:r>
                </w:p>
              </w:tc>
              <w:tc>
                <w:tcPr>
                  <w:tcW w:w="1280" w:type="dxa"/>
                  <w:tcBorders>
                    <w:tl2br w:val="nil"/>
                    <w:tr2bl w:val="nil"/>
                  </w:tcBorders>
                  <w:vAlign w:val="center"/>
                </w:tcPr>
                <w:p>
                  <w:pPr>
                    <w:adjustRightInd w:val="0"/>
                    <w:spacing w:line="240" w:lineRule="auto"/>
                    <w:ind w:firstLine="0" w:firstLineChars="0"/>
                    <w:jc w:val="center"/>
                    <w:rPr>
                      <w:rFonts w:hAnsi="宋体" w:cs="宋体"/>
                      <w:sz w:val="21"/>
                      <w:szCs w:val="21"/>
                    </w:rPr>
                  </w:pPr>
                  <w:r>
                    <w:rPr>
                      <w:rFonts w:hint="eastAsia"/>
                      <w:kern w:val="0"/>
                      <w:sz w:val="21"/>
                      <w:szCs w:val="21"/>
                    </w:rPr>
                    <w:t>kg/万m</w:t>
                  </w:r>
                  <w:r>
                    <w:rPr>
                      <w:rFonts w:hint="eastAsia"/>
                      <w:kern w:val="0"/>
                      <w:sz w:val="21"/>
                      <w:szCs w:val="21"/>
                      <w:vertAlign w:val="superscript"/>
                    </w:rPr>
                    <w:t>3</w:t>
                  </w:r>
                  <w:r>
                    <w:rPr>
                      <w:rFonts w:hint="eastAsia"/>
                      <w:kern w:val="0"/>
                      <w:sz w:val="21"/>
                      <w:szCs w:val="21"/>
                    </w:rPr>
                    <w:t>-燃料</w:t>
                  </w:r>
                </w:p>
              </w:tc>
              <w:tc>
                <w:tcPr>
                  <w:tcW w:w="1370" w:type="dxa"/>
                  <w:tcBorders>
                    <w:tl2br w:val="nil"/>
                    <w:tr2bl w:val="nil"/>
                  </w:tcBorders>
                  <w:vAlign w:val="center"/>
                </w:tcPr>
                <w:p>
                  <w:pPr>
                    <w:adjustRightInd w:val="0"/>
                    <w:spacing w:line="240" w:lineRule="auto"/>
                    <w:ind w:firstLine="0" w:firstLineChars="0"/>
                    <w:jc w:val="center"/>
                    <w:rPr>
                      <w:rFonts w:hAnsi="宋体" w:cs="宋体"/>
                      <w:sz w:val="21"/>
                      <w:szCs w:val="21"/>
                    </w:rPr>
                  </w:pPr>
                  <w:r>
                    <w:rPr>
                      <w:rFonts w:hint="eastAsia"/>
                      <w:kern w:val="0"/>
                      <w:sz w:val="21"/>
                      <w:szCs w:val="21"/>
                    </w:rPr>
                    <w:t>kg/万m</w:t>
                  </w:r>
                  <w:r>
                    <w:rPr>
                      <w:rFonts w:hint="eastAsia"/>
                      <w:kern w:val="0"/>
                      <w:sz w:val="21"/>
                      <w:szCs w:val="21"/>
                      <w:vertAlign w:val="superscript"/>
                    </w:rPr>
                    <w:t>3</w:t>
                  </w:r>
                  <w:r>
                    <w:rPr>
                      <w:rFonts w:hint="eastAsia"/>
                      <w:kern w:val="0"/>
                      <w:sz w:val="21"/>
                      <w:szCs w:val="21"/>
                    </w:rPr>
                    <w:t>-燃料</w:t>
                  </w:r>
                </w:p>
              </w:tc>
              <w:tc>
                <w:tcPr>
                  <w:tcW w:w="1412" w:type="dxa"/>
                  <w:tcBorders>
                    <w:tl2br w:val="nil"/>
                    <w:tr2bl w:val="nil"/>
                  </w:tcBorders>
                  <w:vAlign w:val="center"/>
                </w:tcPr>
                <w:p>
                  <w:pPr>
                    <w:adjustRightInd w:val="0"/>
                    <w:spacing w:line="240" w:lineRule="auto"/>
                    <w:ind w:firstLine="0" w:firstLineChars="0"/>
                    <w:jc w:val="center"/>
                    <w:rPr>
                      <w:rFonts w:hAnsi="宋体" w:cs="宋体"/>
                      <w:sz w:val="21"/>
                      <w:szCs w:val="21"/>
                    </w:rPr>
                  </w:pPr>
                  <w:r>
                    <w:rPr>
                      <w:rFonts w:hint="eastAsia"/>
                      <w:kern w:val="0"/>
                      <w:sz w:val="21"/>
                      <w:szCs w:val="21"/>
                    </w:rPr>
                    <w:t>kg/万m</w:t>
                  </w:r>
                  <w:r>
                    <w:rPr>
                      <w:rFonts w:hint="eastAsia"/>
                      <w:kern w:val="0"/>
                      <w:sz w:val="21"/>
                      <w:szCs w:val="21"/>
                      <w:vertAlign w:val="superscript"/>
                    </w:rPr>
                    <w:t>3</w:t>
                  </w:r>
                  <w:r>
                    <w:rPr>
                      <w:rFonts w:hint="eastAsia"/>
                      <w:kern w:val="0"/>
                      <w:sz w:val="21"/>
                      <w:szCs w:val="21"/>
                    </w:rPr>
                    <w:t>-燃料</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1959" w:type="dxa"/>
                  <w:gridSpan w:val="2"/>
                  <w:tcBorders>
                    <w:tl2br w:val="nil"/>
                    <w:tr2bl w:val="nil"/>
                  </w:tcBorders>
                  <w:vAlign w:val="center"/>
                </w:tcPr>
                <w:p>
                  <w:pPr>
                    <w:adjustRightInd w:val="0"/>
                    <w:spacing w:line="240" w:lineRule="auto"/>
                    <w:ind w:firstLine="0" w:firstLineChars="0"/>
                    <w:jc w:val="center"/>
                    <w:rPr>
                      <w:rFonts w:hAnsi="宋体" w:cs="宋体"/>
                      <w:sz w:val="21"/>
                      <w:szCs w:val="21"/>
                    </w:rPr>
                  </w:pPr>
                  <w:r>
                    <w:rPr>
                      <w:rFonts w:hint="eastAsia" w:hAnsi="宋体" w:cs="宋体"/>
                      <w:sz w:val="21"/>
                      <w:szCs w:val="21"/>
                    </w:rPr>
                    <w:t>产生</w:t>
                  </w:r>
                  <w:r>
                    <w:rPr>
                      <w:rFonts w:hAnsi="宋体" w:cs="宋体"/>
                      <w:sz w:val="21"/>
                      <w:szCs w:val="21"/>
                    </w:rPr>
                    <w:t>量</w:t>
                  </w:r>
                  <w:r>
                    <w:rPr>
                      <w:rFonts w:hint="eastAsia" w:hAnsi="宋体" w:cs="宋体"/>
                      <w:sz w:val="21"/>
                      <w:szCs w:val="21"/>
                    </w:rPr>
                    <w:t>（t）</w:t>
                  </w:r>
                </w:p>
              </w:tc>
              <w:tc>
                <w:tcPr>
                  <w:tcW w:w="1537" w:type="dxa"/>
                  <w:tcBorders>
                    <w:tl2br w:val="nil"/>
                    <w:tr2bl w:val="nil"/>
                  </w:tcBorders>
                  <w:vAlign w:val="center"/>
                </w:tcPr>
                <w:p>
                  <w:pPr>
                    <w:adjustRightInd w:val="0"/>
                    <w:spacing w:line="240" w:lineRule="auto"/>
                    <w:ind w:firstLine="0" w:firstLineChars="0"/>
                    <w:jc w:val="center"/>
                    <w:rPr>
                      <w:rFonts w:hAnsi="宋体" w:cs="宋体"/>
                      <w:sz w:val="21"/>
                      <w:szCs w:val="21"/>
                    </w:rPr>
                  </w:pPr>
                  <w:r>
                    <w:rPr>
                      <w:rFonts w:hint="eastAsia"/>
                      <w:kern w:val="0"/>
                      <w:sz w:val="21"/>
                      <w:szCs w:val="21"/>
                    </w:rPr>
                    <w:t>808147.5m</w:t>
                  </w:r>
                  <w:r>
                    <w:rPr>
                      <w:rFonts w:hint="eastAsia"/>
                      <w:kern w:val="0"/>
                      <w:sz w:val="21"/>
                      <w:szCs w:val="21"/>
                      <w:vertAlign w:val="superscript"/>
                    </w:rPr>
                    <w:t>3</w:t>
                  </w:r>
                </w:p>
              </w:tc>
              <w:tc>
                <w:tcPr>
                  <w:tcW w:w="1280" w:type="dxa"/>
                  <w:tcBorders>
                    <w:tl2br w:val="nil"/>
                    <w:tr2bl w:val="nil"/>
                  </w:tcBorders>
                  <w:vAlign w:val="center"/>
                </w:tcPr>
                <w:p>
                  <w:pPr>
                    <w:adjustRightInd w:val="0"/>
                    <w:spacing w:line="240" w:lineRule="auto"/>
                    <w:ind w:firstLine="0" w:firstLineChars="0"/>
                    <w:jc w:val="center"/>
                    <w:rPr>
                      <w:rFonts w:hAnsi="宋体" w:cs="宋体"/>
                      <w:sz w:val="21"/>
                      <w:szCs w:val="21"/>
                    </w:rPr>
                  </w:pPr>
                  <w:r>
                    <w:rPr>
                      <w:rFonts w:hint="eastAsia" w:hAnsi="宋体" w:cs="宋体"/>
                      <w:sz w:val="21"/>
                      <w:szCs w:val="21"/>
                    </w:rPr>
                    <w:t>0.12</w:t>
                  </w:r>
                </w:p>
              </w:tc>
              <w:tc>
                <w:tcPr>
                  <w:tcW w:w="1370" w:type="dxa"/>
                  <w:tcBorders>
                    <w:tl2br w:val="nil"/>
                    <w:tr2bl w:val="nil"/>
                  </w:tcBorders>
                  <w:vAlign w:val="center"/>
                </w:tcPr>
                <w:p>
                  <w:pPr>
                    <w:adjustRightInd w:val="0"/>
                    <w:spacing w:line="240" w:lineRule="auto"/>
                    <w:ind w:firstLine="0" w:firstLineChars="0"/>
                    <w:jc w:val="center"/>
                    <w:rPr>
                      <w:rFonts w:hAnsi="宋体" w:cs="宋体"/>
                      <w:sz w:val="21"/>
                      <w:szCs w:val="21"/>
                    </w:rPr>
                  </w:pPr>
                  <w:r>
                    <w:rPr>
                      <w:rFonts w:hint="eastAsia" w:hAnsi="宋体" w:cs="宋体"/>
                      <w:sz w:val="21"/>
                      <w:szCs w:val="21"/>
                    </w:rPr>
                    <w:t>0.015</w:t>
                  </w:r>
                </w:p>
              </w:tc>
              <w:tc>
                <w:tcPr>
                  <w:tcW w:w="1412" w:type="dxa"/>
                  <w:tcBorders>
                    <w:tl2br w:val="nil"/>
                    <w:tr2bl w:val="nil"/>
                  </w:tcBorders>
                  <w:vAlign w:val="center"/>
                </w:tcPr>
                <w:p>
                  <w:pPr>
                    <w:adjustRightInd w:val="0"/>
                    <w:spacing w:line="240" w:lineRule="auto"/>
                    <w:ind w:firstLine="0" w:firstLineChars="0"/>
                    <w:jc w:val="center"/>
                    <w:rPr>
                      <w:rFonts w:hAnsi="宋体" w:cs="宋体"/>
                      <w:sz w:val="21"/>
                      <w:szCs w:val="21"/>
                    </w:rPr>
                  </w:pPr>
                  <w:r>
                    <w:rPr>
                      <w:rFonts w:hint="eastAsia" w:hAnsi="宋体" w:cs="宋体"/>
                      <w:sz w:val="21"/>
                      <w:szCs w:val="21"/>
                    </w:rPr>
                    <w:t>0.009</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959" w:type="dxa"/>
                  <w:gridSpan w:val="2"/>
                  <w:tcBorders>
                    <w:tl2br w:val="nil"/>
                    <w:tr2bl w:val="nil"/>
                  </w:tcBorders>
                  <w:vAlign w:val="center"/>
                </w:tcPr>
                <w:p>
                  <w:pPr>
                    <w:adjustRightInd w:val="0"/>
                    <w:spacing w:line="240" w:lineRule="auto"/>
                    <w:ind w:firstLine="0" w:firstLineChars="0"/>
                    <w:jc w:val="center"/>
                    <w:rPr>
                      <w:rFonts w:hAnsi="宋体" w:cs="宋体"/>
                      <w:sz w:val="21"/>
                      <w:szCs w:val="21"/>
                    </w:rPr>
                  </w:pPr>
                  <w:r>
                    <w:rPr>
                      <w:rFonts w:hint="eastAsia" w:hAnsi="宋体" w:cs="宋体"/>
                      <w:sz w:val="21"/>
                      <w:szCs w:val="21"/>
                    </w:rPr>
                    <w:t>产生浓度（</w:t>
                  </w:r>
                  <w:r>
                    <w:rPr>
                      <w:rFonts w:hAnsi="宋体" w:cs="宋体"/>
                      <w:sz w:val="21"/>
                      <w:szCs w:val="21"/>
                    </w:rPr>
                    <w:t>mg/m</w:t>
                  </w:r>
                  <w:r>
                    <w:rPr>
                      <w:rFonts w:hAnsi="宋体" w:cs="宋体"/>
                      <w:sz w:val="21"/>
                      <w:szCs w:val="21"/>
                      <w:vertAlign w:val="superscript"/>
                    </w:rPr>
                    <w:t>3</w:t>
                  </w:r>
                  <w:r>
                    <w:rPr>
                      <w:rFonts w:hint="eastAsia" w:hAnsi="宋体" w:cs="宋体"/>
                      <w:sz w:val="21"/>
                      <w:szCs w:val="21"/>
                    </w:rPr>
                    <w:t>）</w:t>
                  </w:r>
                </w:p>
              </w:tc>
              <w:tc>
                <w:tcPr>
                  <w:tcW w:w="1537" w:type="dxa"/>
                  <w:tcBorders>
                    <w:tl2br w:val="nil"/>
                    <w:tr2bl w:val="nil"/>
                  </w:tcBorders>
                  <w:vAlign w:val="center"/>
                </w:tcPr>
                <w:p>
                  <w:pPr>
                    <w:adjustRightInd w:val="0"/>
                    <w:spacing w:line="240" w:lineRule="auto"/>
                    <w:ind w:firstLine="0" w:firstLineChars="0"/>
                    <w:jc w:val="center"/>
                    <w:rPr>
                      <w:rFonts w:hAnsi="宋体" w:cs="宋体"/>
                      <w:sz w:val="21"/>
                      <w:szCs w:val="21"/>
                    </w:rPr>
                  </w:pPr>
                  <w:r>
                    <w:rPr>
                      <w:rFonts w:hint="eastAsia" w:hAnsi="宋体" w:cs="宋体"/>
                      <w:sz w:val="21"/>
                      <w:szCs w:val="21"/>
                    </w:rPr>
                    <w:t>/</w:t>
                  </w:r>
                </w:p>
              </w:tc>
              <w:tc>
                <w:tcPr>
                  <w:tcW w:w="1280" w:type="dxa"/>
                  <w:tcBorders>
                    <w:tl2br w:val="nil"/>
                    <w:tr2bl w:val="nil"/>
                  </w:tcBorders>
                  <w:vAlign w:val="center"/>
                </w:tcPr>
                <w:p>
                  <w:pPr>
                    <w:pStyle w:val="91"/>
                  </w:pPr>
                  <w:r>
                    <w:t>147.28</w:t>
                  </w:r>
                </w:p>
              </w:tc>
              <w:tc>
                <w:tcPr>
                  <w:tcW w:w="1370" w:type="dxa"/>
                  <w:tcBorders>
                    <w:tl2br w:val="nil"/>
                    <w:tr2bl w:val="nil"/>
                  </w:tcBorders>
                  <w:vAlign w:val="center"/>
                </w:tcPr>
                <w:p>
                  <w:pPr>
                    <w:pStyle w:val="91"/>
                  </w:pPr>
                  <w:r>
                    <w:t>18.56</w:t>
                  </w:r>
                </w:p>
              </w:tc>
              <w:tc>
                <w:tcPr>
                  <w:tcW w:w="1412" w:type="dxa"/>
                  <w:tcBorders>
                    <w:tl2br w:val="nil"/>
                    <w:tr2bl w:val="nil"/>
                  </w:tcBorders>
                  <w:vAlign w:val="center"/>
                </w:tcPr>
                <w:p>
                  <w:pPr>
                    <w:pStyle w:val="91"/>
                  </w:pPr>
                  <w:r>
                    <w:t>11.14</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959" w:type="dxa"/>
                  <w:gridSpan w:val="2"/>
                  <w:tcBorders>
                    <w:tl2br w:val="nil"/>
                    <w:tr2bl w:val="nil"/>
                  </w:tcBorders>
                  <w:vAlign w:val="center"/>
                </w:tcPr>
                <w:p>
                  <w:pPr>
                    <w:adjustRightInd w:val="0"/>
                    <w:spacing w:line="240" w:lineRule="auto"/>
                    <w:ind w:firstLine="0" w:firstLineChars="0"/>
                    <w:jc w:val="center"/>
                    <w:rPr>
                      <w:rFonts w:hAnsi="宋体" w:cs="宋体"/>
                      <w:sz w:val="21"/>
                      <w:szCs w:val="21"/>
                    </w:rPr>
                  </w:pPr>
                  <w:r>
                    <w:rPr>
                      <w:rFonts w:hint="eastAsia" w:hAnsi="宋体" w:cs="宋体"/>
                      <w:sz w:val="21"/>
                      <w:szCs w:val="21"/>
                    </w:rPr>
                    <w:t>排放</w:t>
                  </w:r>
                  <w:r>
                    <w:rPr>
                      <w:rFonts w:hAnsi="宋体" w:cs="宋体"/>
                      <w:sz w:val="21"/>
                      <w:szCs w:val="21"/>
                    </w:rPr>
                    <w:t>量</w:t>
                  </w:r>
                  <w:r>
                    <w:rPr>
                      <w:rFonts w:hint="eastAsia" w:hAnsi="宋体" w:cs="宋体"/>
                      <w:sz w:val="21"/>
                      <w:szCs w:val="21"/>
                    </w:rPr>
                    <w:t>（t）</w:t>
                  </w:r>
                </w:p>
              </w:tc>
              <w:tc>
                <w:tcPr>
                  <w:tcW w:w="1537" w:type="dxa"/>
                  <w:tcBorders>
                    <w:tl2br w:val="nil"/>
                    <w:tr2bl w:val="nil"/>
                  </w:tcBorders>
                  <w:vAlign w:val="center"/>
                </w:tcPr>
                <w:p>
                  <w:pPr>
                    <w:adjustRightInd w:val="0"/>
                    <w:spacing w:line="240" w:lineRule="auto"/>
                    <w:ind w:firstLine="0" w:firstLineChars="0"/>
                    <w:jc w:val="center"/>
                    <w:rPr>
                      <w:rFonts w:hAnsi="宋体" w:cs="宋体"/>
                      <w:sz w:val="21"/>
                      <w:szCs w:val="21"/>
                    </w:rPr>
                  </w:pPr>
                  <w:r>
                    <w:rPr>
                      <w:rFonts w:hint="eastAsia"/>
                      <w:kern w:val="0"/>
                      <w:sz w:val="21"/>
                      <w:szCs w:val="21"/>
                    </w:rPr>
                    <w:t>808147.5m</w:t>
                  </w:r>
                  <w:r>
                    <w:rPr>
                      <w:rFonts w:hint="eastAsia"/>
                      <w:kern w:val="0"/>
                      <w:sz w:val="21"/>
                      <w:szCs w:val="21"/>
                      <w:vertAlign w:val="superscript"/>
                    </w:rPr>
                    <w:t>3</w:t>
                  </w:r>
                </w:p>
              </w:tc>
              <w:tc>
                <w:tcPr>
                  <w:tcW w:w="1280" w:type="dxa"/>
                  <w:tcBorders>
                    <w:tl2br w:val="nil"/>
                    <w:tr2bl w:val="nil"/>
                  </w:tcBorders>
                  <w:vAlign w:val="center"/>
                </w:tcPr>
                <w:p>
                  <w:pPr>
                    <w:adjustRightInd w:val="0"/>
                    <w:spacing w:line="240" w:lineRule="auto"/>
                    <w:ind w:firstLine="0" w:firstLineChars="0"/>
                    <w:jc w:val="center"/>
                    <w:rPr>
                      <w:rFonts w:hAnsi="宋体" w:cs="宋体"/>
                      <w:sz w:val="21"/>
                      <w:szCs w:val="21"/>
                    </w:rPr>
                  </w:pPr>
                  <w:r>
                    <w:rPr>
                      <w:rFonts w:hint="eastAsia" w:hAnsi="宋体" w:cs="宋体"/>
                      <w:sz w:val="21"/>
                      <w:szCs w:val="21"/>
                    </w:rPr>
                    <w:t>0.12</w:t>
                  </w:r>
                </w:p>
              </w:tc>
              <w:tc>
                <w:tcPr>
                  <w:tcW w:w="1370" w:type="dxa"/>
                  <w:tcBorders>
                    <w:tl2br w:val="nil"/>
                    <w:tr2bl w:val="nil"/>
                  </w:tcBorders>
                  <w:vAlign w:val="center"/>
                </w:tcPr>
                <w:p>
                  <w:pPr>
                    <w:adjustRightInd w:val="0"/>
                    <w:spacing w:line="240" w:lineRule="auto"/>
                    <w:ind w:firstLine="0" w:firstLineChars="0"/>
                    <w:jc w:val="center"/>
                    <w:rPr>
                      <w:rFonts w:hAnsi="宋体" w:cs="宋体"/>
                      <w:sz w:val="21"/>
                      <w:szCs w:val="21"/>
                    </w:rPr>
                  </w:pPr>
                  <w:r>
                    <w:rPr>
                      <w:rFonts w:hint="eastAsia" w:hAnsi="宋体" w:cs="宋体"/>
                      <w:sz w:val="21"/>
                      <w:szCs w:val="21"/>
                    </w:rPr>
                    <w:t>0.015</w:t>
                  </w:r>
                </w:p>
              </w:tc>
              <w:tc>
                <w:tcPr>
                  <w:tcW w:w="1412" w:type="dxa"/>
                  <w:tcBorders>
                    <w:tl2br w:val="nil"/>
                    <w:tr2bl w:val="nil"/>
                  </w:tcBorders>
                  <w:vAlign w:val="center"/>
                </w:tcPr>
                <w:p>
                  <w:pPr>
                    <w:adjustRightInd w:val="0"/>
                    <w:spacing w:line="240" w:lineRule="auto"/>
                    <w:ind w:firstLine="0" w:firstLineChars="0"/>
                    <w:jc w:val="center"/>
                    <w:rPr>
                      <w:rFonts w:hAnsi="宋体" w:cs="宋体"/>
                      <w:sz w:val="21"/>
                      <w:szCs w:val="21"/>
                    </w:rPr>
                  </w:pPr>
                  <w:r>
                    <w:rPr>
                      <w:rFonts w:hint="eastAsia" w:hAnsi="宋体" w:cs="宋体"/>
                      <w:sz w:val="21"/>
                      <w:szCs w:val="21"/>
                    </w:rPr>
                    <w:t>0.00063</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959" w:type="dxa"/>
                  <w:gridSpan w:val="2"/>
                  <w:tcBorders>
                    <w:tl2br w:val="nil"/>
                    <w:tr2bl w:val="nil"/>
                  </w:tcBorders>
                  <w:vAlign w:val="center"/>
                </w:tcPr>
                <w:p>
                  <w:pPr>
                    <w:adjustRightInd w:val="0"/>
                    <w:spacing w:line="240" w:lineRule="auto"/>
                    <w:ind w:firstLine="0" w:firstLineChars="0"/>
                    <w:jc w:val="center"/>
                    <w:rPr>
                      <w:rFonts w:hAnsi="宋体" w:cs="宋体"/>
                      <w:sz w:val="21"/>
                      <w:szCs w:val="21"/>
                    </w:rPr>
                  </w:pPr>
                  <w:r>
                    <w:rPr>
                      <w:rFonts w:hint="eastAsia" w:hAnsi="宋体" w:cs="宋体"/>
                      <w:sz w:val="21"/>
                      <w:szCs w:val="21"/>
                    </w:rPr>
                    <w:t>排放浓度（</w:t>
                  </w:r>
                  <w:r>
                    <w:rPr>
                      <w:rFonts w:hAnsi="宋体" w:cs="宋体"/>
                      <w:sz w:val="21"/>
                      <w:szCs w:val="21"/>
                    </w:rPr>
                    <w:t>mg/m</w:t>
                  </w:r>
                  <w:r>
                    <w:rPr>
                      <w:rFonts w:hAnsi="宋体" w:cs="宋体"/>
                      <w:sz w:val="21"/>
                      <w:szCs w:val="21"/>
                      <w:vertAlign w:val="superscript"/>
                    </w:rPr>
                    <w:t>3</w:t>
                  </w:r>
                  <w:r>
                    <w:rPr>
                      <w:rFonts w:hint="eastAsia" w:hAnsi="宋体" w:cs="宋体"/>
                      <w:sz w:val="21"/>
                      <w:szCs w:val="21"/>
                    </w:rPr>
                    <w:t>）</w:t>
                  </w:r>
                </w:p>
              </w:tc>
              <w:tc>
                <w:tcPr>
                  <w:tcW w:w="1537" w:type="dxa"/>
                  <w:tcBorders>
                    <w:tl2br w:val="nil"/>
                    <w:tr2bl w:val="nil"/>
                  </w:tcBorders>
                  <w:vAlign w:val="center"/>
                </w:tcPr>
                <w:p>
                  <w:pPr>
                    <w:adjustRightInd w:val="0"/>
                    <w:spacing w:line="240" w:lineRule="auto"/>
                    <w:ind w:firstLine="0" w:firstLineChars="0"/>
                    <w:jc w:val="center"/>
                    <w:rPr>
                      <w:rFonts w:hAnsi="宋体" w:cs="宋体"/>
                      <w:sz w:val="21"/>
                      <w:szCs w:val="21"/>
                    </w:rPr>
                  </w:pPr>
                  <w:r>
                    <w:rPr>
                      <w:rFonts w:hint="eastAsia" w:hAnsi="宋体" w:cs="宋体"/>
                      <w:sz w:val="21"/>
                      <w:szCs w:val="21"/>
                    </w:rPr>
                    <w:t>/</w:t>
                  </w:r>
                </w:p>
              </w:tc>
              <w:tc>
                <w:tcPr>
                  <w:tcW w:w="1280" w:type="dxa"/>
                  <w:tcBorders>
                    <w:tl2br w:val="nil"/>
                    <w:tr2bl w:val="nil"/>
                  </w:tcBorders>
                  <w:vAlign w:val="center"/>
                </w:tcPr>
                <w:p>
                  <w:pPr>
                    <w:pStyle w:val="91"/>
                  </w:pPr>
                  <w:r>
                    <w:t>147.28</w:t>
                  </w:r>
                </w:p>
              </w:tc>
              <w:tc>
                <w:tcPr>
                  <w:tcW w:w="1370" w:type="dxa"/>
                  <w:tcBorders>
                    <w:tl2br w:val="nil"/>
                    <w:tr2bl w:val="nil"/>
                  </w:tcBorders>
                  <w:vAlign w:val="center"/>
                </w:tcPr>
                <w:p>
                  <w:pPr>
                    <w:pStyle w:val="91"/>
                  </w:pPr>
                  <w:r>
                    <w:t>18.56</w:t>
                  </w:r>
                </w:p>
              </w:tc>
              <w:tc>
                <w:tcPr>
                  <w:tcW w:w="1412" w:type="dxa"/>
                  <w:tcBorders>
                    <w:tl2br w:val="nil"/>
                    <w:tr2bl w:val="nil"/>
                  </w:tcBorders>
                  <w:vAlign w:val="center"/>
                </w:tcPr>
                <w:p>
                  <w:pPr>
                    <w:pStyle w:val="91"/>
                  </w:pPr>
                  <w:r>
                    <w:t>0.78</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558" w:type="dxa"/>
                  <w:gridSpan w:val="6"/>
                  <w:tcBorders>
                    <w:tl2br w:val="nil"/>
                    <w:tr2bl w:val="nil"/>
                  </w:tcBorders>
                  <w:vAlign w:val="center"/>
                </w:tcPr>
                <w:p>
                  <w:pPr>
                    <w:adjustRightInd w:val="0"/>
                    <w:spacing w:line="240" w:lineRule="auto"/>
                    <w:ind w:firstLine="0" w:firstLineChars="0"/>
                    <w:jc w:val="left"/>
                    <w:rPr>
                      <w:rFonts w:hAnsi="宋体" w:cs="宋体"/>
                      <w:sz w:val="21"/>
                      <w:szCs w:val="21"/>
                    </w:rPr>
                  </w:pPr>
                  <w:r>
                    <w:rPr>
                      <w:rFonts w:hint="eastAsia"/>
                      <w:sz w:val="21"/>
                      <w:szCs w:val="21"/>
                    </w:rPr>
                    <w:t>备注：根据《天然气标准》（GB17820-2018）及查找相关资料，石泉县天然气总硫</w:t>
                  </w:r>
                  <w:r>
                    <w:rPr>
                      <w:rFonts w:hint="eastAsia" w:ascii="宋体" w:hAnsi="宋体"/>
                      <w:sz w:val="21"/>
                      <w:szCs w:val="21"/>
                    </w:rPr>
                    <w:t>≤</w:t>
                  </w:r>
                  <w:r>
                    <w:rPr>
                      <w:rFonts w:hint="eastAsia"/>
                      <w:sz w:val="21"/>
                      <w:szCs w:val="21"/>
                    </w:rPr>
                    <w:t>100mg/m</w:t>
                  </w:r>
                  <w:r>
                    <w:rPr>
                      <w:rFonts w:hint="eastAsia"/>
                      <w:sz w:val="21"/>
                      <w:szCs w:val="21"/>
                      <w:vertAlign w:val="superscript"/>
                    </w:rPr>
                    <w:t>3</w:t>
                  </w:r>
                  <w:r>
                    <w:rPr>
                      <w:rFonts w:hint="eastAsia"/>
                      <w:sz w:val="21"/>
                      <w:szCs w:val="21"/>
                    </w:rPr>
                    <w:t>，本项目S取100；</w:t>
                  </w:r>
                </w:p>
              </w:tc>
            </w:tr>
          </w:tbl>
          <w:p>
            <w:pPr>
              <w:ind w:firstLine="480"/>
            </w:pPr>
            <w:r>
              <w:rPr>
                <w:rFonts w:hint="eastAsia"/>
              </w:rPr>
              <w:t>⑤异味</w:t>
            </w:r>
          </w:p>
          <w:p>
            <w:pPr>
              <w:ind w:firstLine="480"/>
            </w:pPr>
            <w:r>
              <w:rPr>
                <w:rFonts w:hint="eastAsia"/>
              </w:rPr>
              <w:t>由于本项目原料（硅泥、硅粉）均来源于光伏板切割的边角料，而光伏板由于其生产工艺的不同、产品批次的不同，所沾染的切削液、清洗液、研磨液量将有所不同，在烘干加热过程中会挥发出一定的异味，本环评要求将烘干废气收集后通过活性炭吸附装置处理，并定期对尾气进行跟踪监测。</w:t>
            </w:r>
          </w:p>
          <w:p>
            <w:pPr>
              <w:widowControl/>
              <w:ind w:firstLine="480"/>
              <w:jc w:val="left"/>
            </w:pPr>
            <w:r>
              <w:rPr>
                <w:rFonts w:hint="eastAsia"/>
              </w:rPr>
              <w:t>（2）</w:t>
            </w:r>
            <w:r>
              <w:t>监测要求</w:t>
            </w:r>
          </w:p>
          <w:p>
            <w:pPr>
              <w:ind w:firstLine="480"/>
            </w:pPr>
            <w:r>
              <w:t>根据《排污许可证申请与核发技术规范</w:t>
            </w:r>
            <w:r>
              <w:rPr>
                <w:rFonts w:hint="eastAsia"/>
              </w:rPr>
              <w:t>总则</w:t>
            </w:r>
            <w:r>
              <w:t>》（HJ</w:t>
            </w:r>
            <w:r>
              <w:rPr>
                <w:rFonts w:hint="eastAsia"/>
              </w:rPr>
              <w:t>942-2018</w:t>
            </w:r>
            <w:r>
              <w:t>）要求，本项目自行监测要求如下表：</w:t>
            </w:r>
          </w:p>
          <w:p>
            <w:pPr>
              <w:pStyle w:val="95"/>
            </w:pPr>
            <w:r>
              <w:t>表4-</w:t>
            </w:r>
            <w:r>
              <w:rPr>
                <w:rFonts w:hint="eastAsia"/>
              </w:rPr>
              <w:t>5</w:t>
            </w:r>
            <w:r>
              <w:t>运营期监测计划一览表</w:t>
            </w:r>
          </w:p>
          <w:tbl>
            <w:tblPr>
              <w:tblStyle w:val="37"/>
              <w:tblW w:w="75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781"/>
              <w:gridCol w:w="1206"/>
              <w:gridCol w:w="1189"/>
              <w:gridCol w:w="2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rPr>
              <w:tc>
                <w:tcPr>
                  <w:tcW w:w="654" w:type="dxa"/>
                  <w:vAlign w:val="center"/>
                </w:tcPr>
                <w:p>
                  <w:pPr>
                    <w:pStyle w:val="91"/>
                  </w:pPr>
                  <w:r>
                    <w:t>序号</w:t>
                  </w:r>
                </w:p>
              </w:tc>
              <w:tc>
                <w:tcPr>
                  <w:tcW w:w="1781" w:type="dxa"/>
                  <w:vAlign w:val="center"/>
                </w:tcPr>
                <w:p>
                  <w:pPr>
                    <w:pStyle w:val="91"/>
                  </w:pPr>
                  <w:r>
                    <w:t>监测点位</w:t>
                  </w:r>
                </w:p>
              </w:tc>
              <w:tc>
                <w:tcPr>
                  <w:tcW w:w="1206" w:type="dxa"/>
                  <w:vAlign w:val="center"/>
                </w:tcPr>
                <w:p>
                  <w:pPr>
                    <w:pStyle w:val="91"/>
                  </w:pPr>
                  <w:r>
                    <w:t>监测因子</w:t>
                  </w:r>
                </w:p>
              </w:tc>
              <w:tc>
                <w:tcPr>
                  <w:tcW w:w="1189" w:type="dxa"/>
                  <w:vAlign w:val="center"/>
                </w:tcPr>
                <w:p>
                  <w:pPr>
                    <w:pStyle w:val="91"/>
                  </w:pPr>
                  <w:r>
                    <w:t>监测频次</w:t>
                  </w:r>
                </w:p>
              </w:tc>
              <w:tc>
                <w:tcPr>
                  <w:tcW w:w="2724" w:type="dxa"/>
                  <w:vAlign w:val="center"/>
                </w:tcPr>
                <w:p>
                  <w:pPr>
                    <w:pStyle w:val="91"/>
                  </w:pPr>
                  <w: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trPr>
              <w:tc>
                <w:tcPr>
                  <w:tcW w:w="654" w:type="dxa"/>
                  <w:vAlign w:val="center"/>
                </w:tcPr>
                <w:p>
                  <w:pPr>
                    <w:pStyle w:val="91"/>
                  </w:pPr>
                  <w:r>
                    <w:t>1</w:t>
                  </w:r>
                </w:p>
              </w:tc>
              <w:tc>
                <w:tcPr>
                  <w:tcW w:w="1781" w:type="dxa"/>
                  <w:vAlign w:val="center"/>
                </w:tcPr>
                <w:p>
                  <w:pPr>
                    <w:pStyle w:val="91"/>
                  </w:pPr>
                  <w:r>
                    <w:rPr>
                      <w:rFonts w:hint="eastAsia"/>
                    </w:rPr>
                    <w:t>1#排气筒排放口</w:t>
                  </w:r>
                </w:p>
              </w:tc>
              <w:tc>
                <w:tcPr>
                  <w:tcW w:w="1206" w:type="dxa"/>
                  <w:vMerge w:val="restart"/>
                  <w:vAlign w:val="center"/>
                </w:tcPr>
                <w:p>
                  <w:pPr>
                    <w:pStyle w:val="91"/>
                  </w:pPr>
                  <w:r>
                    <w:rPr>
                      <w:rFonts w:hint="eastAsia"/>
                    </w:rPr>
                    <w:t>颗粒物</w:t>
                  </w:r>
                </w:p>
              </w:tc>
              <w:tc>
                <w:tcPr>
                  <w:tcW w:w="1189" w:type="dxa"/>
                  <w:vMerge w:val="restart"/>
                  <w:vAlign w:val="center"/>
                </w:tcPr>
                <w:p>
                  <w:pPr>
                    <w:pStyle w:val="91"/>
                  </w:pPr>
                  <w:r>
                    <w:rPr>
                      <w:rFonts w:hint="eastAsia"/>
                    </w:rPr>
                    <w:t>2</w:t>
                  </w:r>
                  <w:r>
                    <w:t>次/年</w:t>
                  </w:r>
                </w:p>
              </w:tc>
              <w:tc>
                <w:tcPr>
                  <w:tcW w:w="2724" w:type="dxa"/>
                  <w:vMerge w:val="restart"/>
                  <w:vAlign w:val="center"/>
                </w:tcPr>
                <w:p>
                  <w:pPr>
                    <w:pStyle w:val="91"/>
                  </w:pPr>
                  <w:r>
                    <w:rPr>
                      <w:rFonts w:hint="eastAsia"/>
                    </w:rPr>
                    <w:t>《大气污染物综合排放标准》(GB16297-1996)表2排放浓度限值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654" w:type="dxa"/>
                  <w:vAlign w:val="center"/>
                </w:tcPr>
                <w:p>
                  <w:pPr>
                    <w:pStyle w:val="91"/>
                  </w:pPr>
                  <w:r>
                    <w:rPr>
                      <w:rFonts w:hint="eastAsia"/>
                    </w:rPr>
                    <w:t>2</w:t>
                  </w:r>
                </w:p>
              </w:tc>
              <w:tc>
                <w:tcPr>
                  <w:tcW w:w="1781" w:type="dxa"/>
                  <w:vAlign w:val="center"/>
                </w:tcPr>
                <w:p>
                  <w:pPr>
                    <w:pStyle w:val="91"/>
                  </w:pPr>
                  <w:r>
                    <w:rPr>
                      <w:rFonts w:hint="eastAsia"/>
                    </w:rPr>
                    <w:t>3#排气筒排放口</w:t>
                  </w:r>
                </w:p>
              </w:tc>
              <w:tc>
                <w:tcPr>
                  <w:tcW w:w="1206" w:type="dxa"/>
                  <w:vMerge w:val="continue"/>
                  <w:vAlign w:val="center"/>
                </w:tcPr>
                <w:p>
                  <w:pPr>
                    <w:pStyle w:val="91"/>
                  </w:pPr>
                </w:p>
              </w:tc>
              <w:tc>
                <w:tcPr>
                  <w:tcW w:w="1189" w:type="dxa"/>
                  <w:vMerge w:val="continue"/>
                  <w:vAlign w:val="center"/>
                </w:tcPr>
                <w:p>
                  <w:pPr>
                    <w:pStyle w:val="91"/>
                  </w:pPr>
                </w:p>
              </w:tc>
              <w:tc>
                <w:tcPr>
                  <w:tcW w:w="2724" w:type="dxa"/>
                  <w:vMerge w:val="continue"/>
                  <w:vAlign w:val="center"/>
                </w:tcPr>
                <w:p>
                  <w:pPr>
                    <w:pStyle w:val="9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trPr>
              <w:tc>
                <w:tcPr>
                  <w:tcW w:w="654" w:type="dxa"/>
                  <w:vAlign w:val="center"/>
                </w:tcPr>
                <w:p>
                  <w:pPr>
                    <w:pStyle w:val="91"/>
                  </w:pPr>
                  <w:r>
                    <w:rPr>
                      <w:rFonts w:hint="eastAsia"/>
                    </w:rPr>
                    <w:t>3</w:t>
                  </w:r>
                </w:p>
              </w:tc>
              <w:tc>
                <w:tcPr>
                  <w:tcW w:w="1781" w:type="dxa"/>
                  <w:vAlign w:val="center"/>
                </w:tcPr>
                <w:p>
                  <w:pPr>
                    <w:pStyle w:val="91"/>
                  </w:pPr>
                  <w:r>
                    <w:rPr>
                      <w:rFonts w:hint="eastAsia"/>
                    </w:rPr>
                    <w:t>3#排气筒排放口</w:t>
                  </w:r>
                </w:p>
              </w:tc>
              <w:tc>
                <w:tcPr>
                  <w:tcW w:w="1206" w:type="dxa"/>
                  <w:vAlign w:val="center"/>
                </w:tcPr>
                <w:p>
                  <w:pPr>
                    <w:pStyle w:val="91"/>
                  </w:pPr>
                  <w:r>
                    <w:rPr>
                      <w:rFonts w:hint="eastAsia"/>
                    </w:rPr>
                    <w:t>颗粒物、臭气浓度</w:t>
                  </w:r>
                </w:p>
              </w:tc>
              <w:tc>
                <w:tcPr>
                  <w:tcW w:w="1189" w:type="dxa"/>
                  <w:vMerge w:val="continue"/>
                  <w:vAlign w:val="center"/>
                </w:tcPr>
                <w:p>
                  <w:pPr>
                    <w:pStyle w:val="91"/>
                  </w:pPr>
                </w:p>
              </w:tc>
              <w:tc>
                <w:tcPr>
                  <w:tcW w:w="2724" w:type="dxa"/>
                  <w:vAlign w:val="center"/>
                </w:tcPr>
                <w:p>
                  <w:pPr>
                    <w:pStyle w:val="91"/>
                  </w:pPr>
                  <w:r>
                    <w:rPr>
                      <w:rFonts w:hint="eastAsia"/>
                    </w:rPr>
                    <w:t>《大气污染物综合排放标准》(GB16297-1996)表2排放浓度限值和《恶臭污染物排放标准》（GB14554-93）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trPr>
              <w:tc>
                <w:tcPr>
                  <w:tcW w:w="654" w:type="dxa"/>
                  <w:vAlign w:val="center"/>
                </w:tcPr>
                <w:p>
                  <w:pPr>
                    <w:pStyle w:val="91"/>
                  </w:pPr>
                  <w:r>
                    <w:rPr>
                      <w:rFonts w:hint="eastAsia"/>
                    </w:rPr>
                    <w:t>4</w:t>
                  </w:r>
                </w:p>
              </w:tc>
              <w:tc>
                <w:tcPr>
                  <w:tcW w:w="1781" w:type="dxa"/>
                  <w:vAlign w:val="center"/>
                </w:tcPr>
                <w:p>
                  <w:pPr>
                    <w:pStyle w:val="91"/>
                  </w:pPr>
                  <w:r>
                    <w:rPr>
                      <w:rFonts w:hint="eastAsia"/>
                    </w:rPr>
                    <w:t>厂界上风向1个，</w:t>
                  </w:r>
                </w:p>
                <w:p>
                  <w:pPr>
                    <w:pStyle w:val="91"/>
                  </w:pPr>
                  <w:r>
                    <w:rPr>
                      <w:rFonts w:hint="eastAsia"/>
                    </w:rPr>
                    <w:t>下风向3个</w:t>
                  </w:r>
                </w:p>
              </w:tc>
              <w:tc>
                <w:tcPr>
                  <w:tcW w:w="1206" w:type="dxa"/>
                  <w:vAlign w:val="center"/>
                </w:tcPr>
                <w:p>
                  <w:pPr>
                    <w:pStyle w:val="91"/>
                  </w:pPr>
                  <w:r>
                    <w:rPr>
                      <w:rFonts w:hint="eastAsia"/>
                    </w:rPr>
                    <w:t>颗粒物、臭气浓度</w:t>
                  </w:r>
                </w:p>
              </w:tc>
              <w:tc>
                <w:tcPr>
                  <w:tcW w:w="1189" w:type="dxa"/>
                  <w:vMerge w:val="continue"/>
                  <w:vAlign w:val="center"/>
                </w:tcPr>
                <w:p>
                  <w:pPr>
                    <w:pStyle w:val="91"/>
                  </w:pPr>
                </w:p>
              </w:tc>
              <w:tc>
                <w:tcPr>
                  <w:tcW w:w="2724" w:type="dxa"/>
                  <w:vAlign w:val="center"/>
                </w:tcPr>
                <w:p>
                  <w:pPr>
                    <w:pStyle w:val="91"/>
                  </w:pPr>
                  <w:r>
                    <w:rPr>
                      <w:rFonts w:hint="eastAsia"/>
                    </w:rPr>
                    <w:t>《大气污染物综合排放标准》(GB16297-1996)表2排放浓度限值和《恶臭污染物排放标准》（GB14554-93）</w:t>
                  </w:r>
                </w:p>
              </w:tc>
            </w:tr>
          </w:tbl>
          <w:p>
            <w:pPr>
              <w:autoSpaceDE w:val="0"/>
              <w:autoSpaceDN w:val="0"/>
              <w:adjustRightInd w:val="0"/>
              <w:ind w:left="480" w:leftChars="200" w:firstLine="0" w:firstLineChars="0"/>
              <w:jc w:val="left"/>
              <w:outlineLvl w:val="0"/>
            </w:pPr>
            <w:r>
              <w:rPr>
                <w:rFonts w:hint="eastAsia"/>
              </w:rPr>
              <w:t>（3）废气达标性分析</w:t>
            </w:r>
          </w:p>
          <w:p>
            <w:pPr>
              <w:ind w:firstLine="480"/>
            </w:pPr>
            <w:r>
              <w:rPr>
                <w:rFonts w:hint="eastAsia"/>
              </w:rPr>
              <w:t>经核算，本项目制粒、烘干过程产生的粉尘经各措施处理后可满足《大气污染物综合排放标准》(GB16297-1996)表2排放浓度限值；天然气燃烧废气可满足</w:t>
            </w:r>
            <w:r>
              <w:rPr>
                <w:szCs w:val="28"/>
              </w:rPr>
              <w:t>《锅炉大气污染物排放标准》（DB61/1226-2018）中相关标准限值</w:t>
            </w:r>
            <w:r>
              <w:rPr>
                <w:rFonts w:hint="eastAsia"/>
                <w:szCs w:val="28"/>
              </w:rPr>
              <w:t>；</w:t>
            </w:r>
            <w:r>
              <w:rPr>
                <w:rFonts w:hint="eastAsia"/>
              </w:rPr>
              <w:t>熔融过程产生的粉尘经相关措施处理后可满足</w:t>
            </w:r>
            <w:r>
              <w:t>《工业炉窑大气污染物排放标准》（GB9078-1996）二级标准</w:t>
            </w:r>
            <w:r>
              <w:rPr>
                <w:rFonts w:hint="eastAsia"/>
              </w:rPr>
              <w:t>。</w:t>
            </w:r>
          </w:p>
          <w:p>
            <w:pPr>
              <w:autoSpaceDE w:val="0"/>
              <w:autoSpaceDN w:val="0"/>
              <w:adjustRightInd w:val="0"/>
              <w:ind w:firstLine="480"/>
              <w:jc w:val="left"/>
              <w:outlineLvl w:val="0"/>
            </w:pPr>
            <w:r>
              <w:rPr>
                <w:rFonts w:hint="eastAsia"/>
              </w:rPr>
              <w:t>（4）措施可行性分析</w:t>
            </w:r>
          </w:p>
          <w:p>
            <w:pPr>
              <w:ind w:firstLine="480"/>
            </w:pPr>
            <w:r>
              <w:rPr>
                <w:rFonts w:hint="eastAsia"/>
              </w:rPr>
              <w:t>布袋</w:t>
            </w:r>
            <w:r>
              <w:t>除尘器在运行过程中，由于导流板的碰撞和气体速度的降低等作用,粗粒粉尘将落入灰斗中,其余细小颗粒粉尘随气体进入滤袋室,由于滤料纤维及织物的惯性、扩散、阻隔、钩挂、静电等作用</w:t>
            </w:r>
            <w:r>
              <w:rPr>
                <w:rFonts w:hint="eastAsia"/>
              </w:rPr>
              <w:t>，</w:t>
            </w:r>
            <w:r>
              <w:t>粉尘被阻留在滤袋内,净化后的气体逸出袋外,经排气管排出。滤袋上的积灰用气体逆洗法去除</w:t>
            </w:r>
            <w:r>
              <w:rPr>
                <w:rFonts w:hint="eastAsia"/>
              </w:rPr>
              <w:t>，</w:t>
            </w:r>
            <w:r>
              <w:t>清除下来的粉尘下到灰斗</w:t>
            </w:r>
            <w:r>
              <w:rPr>
                <w:rFonts w:hint="eastAsia"/>
              </w:rPr>
              <w:t>，</w:t>
            </w:r>
            <w:r>
              <w:t>经双层卸灰阀排到输灰装置。</w:t>
            </w:r>
          </w:p>
          <w:p>
            <w:pPr>
              <w:ind w:firstLine="480"/>
            </w:pPr>
            <w:r>
              <w:rPr>
                <w:rFonts w:hint="eastAsia"/>
              </w:rPr>
              <w:t>同时，本项目设置喷淋装置进行烘干粉尘的处理，由于本项目烘干过程温度较高，除尘器内水通过喷嘴喷成雾状，当含尘烟气通过雾状空间时，因尘粒与液滴之间的碰撞、拦截和凝聚作用，尘粒随液滴降落下来，从而降低烟气的温度，但由于烟气温度较高，在喷淋措施处理后形成水汽，水汽超过饱和量从而形成雾状气体，因此本项目于喷淋装置后段设有除雾装置。当含有雾沫的废气以一定速度流经除雾器时，由于气体的惯性撞击作用，雾沫与波形板相碰撞而被聚的液滴大到其自身产生的重力超过气体的上升力与液体表面张力的合力时，液滴就从波形板表面上被分离下来，分离下来的水滴经收集后用于厂区洒水，不外排。</w:t>
            </w:r>
          </w:p>
          <w:p>
            <w:pPr>
              <w:ind w:firstLine="480"/>
            </w:pPr>
            <w:r>
              <w:rPr>
                <w:rFonts w:hint="eastAsia"/>
              </w:rPr>
              <w:t>目前，布袋除尘器、喷淋装置已被广泛适用于除尘环节，且效果良好。同时，布袋除尘器和喷淋除尘均属于《排污许可技术规范》中粉尘除尘措施类推荐技术，因此本项目采用布袋除尘器和喷淋装置对粉尘处理有效且可行。</w:t>
            </w:r>
          </w:p>
          <w:p>
            <w:pPr>
              <w:numPr>
                <w:ilvl w:val="0"/>
                <w:numId w:val="9"/>
              </w:numPr>
              <w:ind w:firstLine="480"/>
            </w:pPr>
            <w:r>
              <w:rPr>
                <w:rFonts w:hint="eastAsia"/>
              </w:rPr>
              <w:t>排气筒高度设置合理性</w:t>
            </w:r>
          </w:p>
          <w:p>
            <w:pPr>
              <w:ind w:firstLine="480"/>
            </w:pPr>
            <w:r>
              <w:rPr>
                <w:rFonts w:hint="eastAsia"/>
              </w:rPr>
              <w:t>由于《大气污染物综合排放标准》(GB16297-1996)、</w:t>
            </w:r>
            <w:r>
              <w:rPr>
                <w:szCs w:val="28"/>
              </w:rPr>
              <w:t>《锅炉大气污染物排放标准》（DB61/1226-2018）</w:t>
            </w:r>
            <w:r>
              <w:rPr>
                <w:rFonts w:hint="eastAsia"/>
                <w:szCs w:val="28"/>
              </w:rPr>
              <w:t>、</w:t>
            </w:r>
            <w:r>
              <w:t>《工业炉窑大气污染物排放标准》（GB9078-1996）</w:t>
            </w:r>
            <w:r>
              <w:rPr>
                <w:rFonts w:hint="eastAsia"/>
              </w:rPr>
              <w:t>中针对废气的排放高度均有要求，本项目共设3根排气筒，其中1#排气筒排放制粒粉尘，执行《大气污染物综合排放标准》(GB16297-1996)中的二级标准，标准要求烟囱周围半径200m距离内有建筑物时，其烟囱应高出最高建筑物5m，无法达到的，排放速率严格50%执行，因此1#排气筒设置高度为15m，速率执行1.75</w:t>
            </w:r>
            <w:r>
              <w:t>kg/h</w:t>
            </w:r>
            <w:r>
              <w:rPr>
                <w:rFonts w:hint="eastAsia"/>
              </w:rPr>
              <w:t>。本项目制粒颗粒物的有组织排放速率为0.015</w:t>
            </w:r>
            <w:r>
              <w:t>kg/h</w:t>
            </w:r>
            <w:r>
              <w:rPr>
                <w:rFonts w:hint="eastAsia"/>
              </w:rPr>
              <w:t>，符合《大气污染物综合排放标准》(GB16297-1996)中的相关要求。</w:t>
            </w:r>
          </w:p>
          <w:p>
            <w:pPr>
              <w:ind w:firstLine="480"/>
            </w:pPr>
            <w:r>
              <w:rPr>
                <w:rFonts w:hint="eastAsia"/>
              </w:rPr>
              <w:t>2#排气筒排放烘干粉尘及天然气燃烧废气，执行《大气污染物综合排放标准》(GB16297-1996)中的二级标准和《锅炉大气污染物排放标准》（DB61/1226-2018）排气筒排放烘干粉尘及天然气燃烧废气，其中《大气污染物综合排放标准》(GB16297-1996)要求烟囱周围半径200m距离内有建筑物时，其烟囱应高出最高建筑物5m，无法达到的，排放速率严格50%执行，《锅炉大气污染物排放标准》（DB61/1226-2018）要求烟囱周围半径200m距离内有建筑物时，其烟囱应高出最高建筑物3m以上，考虑到《锅炉大气污染物排放标准》（DB61/1226-2018）对污染物的排放速率没有要求，因此2#排气筒设置为20m，高于周围最高建筑物（17m）3m，颗粒物严格50%执行，本项目烘干及天然气燃烧废气中颗粒物的排放速率可满足相关要求。</w:t>
            </w:r>
          </w:p>
          <w:p>
            <w:pPr>
              <w:ind w:firstLine="480"/>
            </w:pPr>
            <w:r>
              <w:rPr>
                <w:rFonts w:hint="eastAsia"/>
              </w:rPr>
              <w:t>3#排气筒排放熔融废气，执行</w:t>
            </w:r>
            <w:r>
              <w:t>《工业炉窑大气污染物排放标准》（GB9078-1996）二级标准</w:t>
            </w:r>
            <w:r>
              <w:rPr>
                <w:rFonts w:hint="eastAsia"/>
              </w:rPr>
              <w:t>，标准中规定烟囱周围半径200m距离内有建筑物时，其烟囱应高出最高建筑物3m以上，无法满足的，排放标准应严格50%执行，本项目熔融过程产生的颗粒物排放浓度为5.33mg/m</w:t>
            </w:r>
            <w:r>
              <w:rPr>
                <w:rFonts w:hint="eastAsia"/>
                <w:vertAlign w:val="superscript"/>
              </w:rPr>
              <w:t>3</w:t>
            </w:r>
            <w:r>
              <w:rPr>
                <w:rFonts w:hint="eastAsia"/>
              </w:rPr>
              <w:t>，可满足标准中的相关要求。</w:t>
            </w:r>
          </w:p>
          <w:p>
            <w:pPr>
              <w:autoSpaceDE w:val="0"/>
              <w:autoSpaceDN w:val="0"/>
              <w:adjustRightInd w:val="0"/>
              <w:ind w:firstLine="480"/>
              <w:jc w:val="left"/>
              <w:outlineLvl w:val="0"/>
            </w:pPr>
            <w:r>
              <w:rPr>
                <w:rFonts w:hint="eastAsia"/>
              </w:rPr>
              <w:t>2、</w:t>
            </w:r>
            <w:r>
              <w:t>废水环境影响分析及防治对策</w:t>
            </w:r>
            <w:bookmarkEnd w:id="13"/>
          </w:p>
          <w:p>
            <w:pPr>
              <w:pStyle w:val="25"/>
              <w:ind w:left="0" w:leftChars="0" w:firstLine="480"/>
            </w:pPr>
            <w:r>
              <w:rPr>
                <w:rFonts w:hint="eastAsia"/>
              </w:rPr>
              <w:t>本项目运营期不新增生活污水，冷却用水循环使用不外排；</w:t>
            </w:r>
          </w:p>
          <w:p>
            <w:pPr>
              <w:pStyle w:val="25"/>
              <w:ind w:left="0" w:leftChars="0" w:firstLine="480"/>
              <w:rPr>
                <w:snapToGrid w:val="0"/>
                <w:kern w:val="0"/>
              </w:rPr>
            </w:pPr>
            <w:r>
              <w:rPr>
                <w:rFonts w:hint="eastAsia"/>
              </w:rPr>
              <w:t>本项目烘干粉尘经喷淋塔处理后经除雾器进行除雾，其中喷淋废水经沉淀后回用于喷淋工序，喷淋废渣经压滤机处理后回用于制粒工序，除雾废水经收集后用于厂区洒水，不外排。</w:t>
            </w:r>
          </w:p>
          <w:p>
            <w:pPr>
              <w:autoSpaceDE w:val="0"/>
              <w:autoSpaceDN w:val="0"/>
              <w:adjustRightInd w:val="0"/>
              <w:ind w:firstLine="480"/>
              <w:jc w:val="left"/>
              <w:outlineLvl w:val="0"/>
            </w:pPr>
            <w:bookmarkStart w:id="14" w:name="_Toc3955"/>
            <w:r>
              <w:t>3、声环境影响分析及防治对策</w:t>
            </w:r>
            <w:bookmarkEnd w:id="14"/>
          </w:p>
          <w:p>
            <w:pPr>
              <w:pStyle w:val="51"/>
              <w:adjustRightInd w:val="0"/>
              <w:snapToGrid w:val="0"/>
              <w:ind w:firstLine="480"/>
            </w:pPr>
            <w:r>
              <w:rPr>
                <w:rFonts w:hint="eastAsia"/>
              </w:rPr>
              <w:t>（1）环境影响分析</w:t>
            </w:r>
          </w:p>
          <w:p>
            <w:pPr>
              <w:pStyle w:val="51"/>
              <w:adjustRightInd w:val="0"/>
              <w:snapToGrid w:val="0"/>
              <w:ind w:firstLine="480"/>
            </w:pPr>
            <w:r>
              <w:t>项目营运期噪声污染源主要是设备运行噪声噪声</w:t>
            </w:r>
            <w:r>
              <w:rPr>
                <w:rFonts w:hint="eastAsia"/>
              </w:rPr>
              <w:t>，产噪设备主要为制粒机、烘干机、中频炉及除尘器的风机，</w:t>
            </w:r>
            <w:r>
              <w:t>源强在</w:t>
            </w:r>
            <w:r>
              <w:rPr>
                <w:rFonts w:hint="eastAsia"/>
              </w:rPr>
              <w:t>80</w:t>
            </w:r>
            <w:r>
              <w:t>~</w:t>
            </w:r>
            <w:r>
              <w:rPr>
                <w:rFonts w:hint="eastAsia"/>
              </w:rPr>
              <w:t>85</w:t>
            </w:r>
            <w:r>
              <w:t>dB（A）之间，噪声源强及治理措施见表</w:t>
            </w:r>
            <w:r>
              <w:rPr>
                <w:rFonts w:hint="eastAsia"/>
              </w:rPr>
              <w:t>4-6</w:t>
            </w:r>
            <w:r>
              <w:t>。</w:t>
            </w:r>
          </w:p>
          <w:p>
            <w:pPr>
              <w:pStyle w:val="85"/>
              <w:rPr>
                <w:color w:val="auto"/>
              </w:rPr>
            </w:pPr>
            <w:r>
              <w:rPr>
                <w:color w:val="auto"/>
              </w:rPr>
              <w:t>表</w:t>
            </w:r>
            <w:r>
              <w:rPr>
                <w:rFonts w:hint="eastAsia"/>
                <w:color w:val="auto"/>
              </w:rPr>
              <w:t>4-6</w:t>
            </w:r>
            <w:r>
              <w:rPr>
                <w:color w:val="auto"/>
              </w:rPr>
              <w:t>噪声产</w:t>
            </w:r>
            <w:r>
              <w:rPr>
                <w:rFonts w:hint="eastAsia"/>
                <w:color w:val="auto"/>
              </w:rPr>
              <w:t>排</w:t>
            </w:r>
            <w:r>
              <w:rPr>
                <w:color w:val="auto"/>
              </w:rPr>
              <w:t>情况一览表</w:t>
            </w:r>
          </w:p>
          <w:tbl>
            <w:tblPr>
              <w:tblStyle w:val="37"/>
              <w:tblW w:w="75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8"/>
              <w:gridCol w:w="709"/>
              <w:gridCol w:w="1061"/>
              <w:gridCol w:w="1977"/>
              <w:gridCol w:w="1174"/>
              <w:gridCol w:w="1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58" w:type="dxa"/>
                  <w:tcBorders>
                    <w:tl2br w:val="nil"/>
                    <w:tr2bl w:val="nil"/>
                  </w:tcBorders>
                  <w:vAlign w:val="center"/>
                </w:tcPr>
                <w:p>
                  <w:pPr>
                    <w:pStyle w:val="84"/>
                    <w:rPr>
                      <w:color w:val="auto"/>
                    </w:rPr>
                  </w:pPr>
                  <w:r>
                    <w:rPr>
                      <w:color w:val="auto"/>
                    </w:rPr>
                    <w:t>产生源</w:t>
                  </w:r>
                </w:p>
              </w:tc>
              <w:tc>
                <w:tcPr>
                  <w:tcW w:w="709" w:type="dxa"/>
                  <w:tcBorders>
                    <w:tl2br w:val="nil"/>
                    <w:tr2bl w:val="nil"/>
                  </w:tcBorders>
                  <w:vAlign w:val="center"/>
                </w:tcPr>
                <w:p>
                  <w:pPr>
                    <w:pStyle w:val="84"/>
                    <w:rPr>
                      <w:color w:val="auto"/>
                    </w:rPr>
                  </w:pPr>
                  <w:r>
                    <w:rPr>
                      <w:color w:val="auto"/>
                    </w:rPr>
                    <w:t>数量</w:t>
                  </w:r>
                </w:p>
              </w:tc>
              <w:tc>
                <w:tcPr>
                  <w:tcW w:w="1061" w:type="dxa"/>
                  <w:tcBorders>
                    <w:tl2br w:val="nil"/>
                    <w:tr2bl w:val="nil"/>
                  </w:tcBorders>
                  <w:vAlign w:val="center"/>
                </w:tcPr>
                <w:p>
                  <w:pPr>
                    <w:pStyle w:val="84"/>
                    <w:rPr>
                      <w:color w:val="auto"/>
                    </w:rPr>
                  </w:pPr>
                  <w:r>
                    <w:rPr>
                      <w:color w:val="auto"/>
                    </w:rPr>
                    <w:t>源强dB（A）</w:t>
                  </w:r>
                </w:p>
              </w:tc>
              <w:tc>
                <w:tcPr>
                  <w:tcW w:w="1977" w:type="dxa"/>
                  <w:tcBorders>
                    <w:tl2br w:val="nil"/>
                    <w:tr2bl w:val="nil"/>
                  </w:tcBorders>
                  <w:vAlign w:val="center"/>
                </w:tcPr>
                <w:p>
                  <w:pPr>
                    <w:pStyle w:val="84"/>
                    <w:rPr>
                      <w:color w:val="auto"/>
                    </w:rPr>
                  </w:pPr>
                  <w:r>
                    <w:rPr>
                      <w:color w:val="auto"/>
                    </w:rPr>
                    <w:t>治理措施</w:t>
                  </w:r>
                </w:p>
              </w:tc>
              <w:tc>
                <w:tcPr>
                  <w:tcW w:w="1174" w:type="dxa"/>
                  <w:tcBorders>
                    <w:tl2br w:val="nil"/>
                    <w:tr2bl w:val="nil"/>
                  </w:tcBorders>
                  <w:vAlign w:val="center"/>
                </w:tcPr>
                <w:p>
                  <w:pPr>
                    <w:pStyle w:val="84"/>
                    <w:rPr>
                      <w:color w:val="auto"/>
                    </w:rPr>
                  </w:pPr>
                  <w:r>
                    <w:rPr>
                      <w:color w:val="auto"/>
                    </w:rPr>
                    <w:t>治理后</w:t>
                  </w:r>
                  <w:r>
                    <w:rPr>
                      <w:rFonts w:hint="eastAsia"/>
                      <w:color w:val="auto"/>
                    </w:rPr>
                    <w:t>源强</w:t>
                  </w:r>
                  <w:r>
                    <w:rPr>
                      <w:color w:val="auto"/>
                    </w:rPr>
                    <w:t>dB（A）</w:t>
                  </w:r>
                </w:p>
              </w:tc>
              <w:tc>
                <w:tcPr>
                  <w:tcW w:w="1078" w:type="dxa"/>
                  <w:tcBorders>
                    <w:tl2br w:val="nil"/>
                    <w:tr2bl w:val="nil"/>
                  </w:tcBorders>
                  <w:vAlign w:val="center"/>
                </w:tcPr>
                <w:p>
                  <w:pPr>
                    <w:pStyle w:val="84"/>
                    <w:rPr>
                      <w:color w:val="auto"/>
                    </w:rPr>
                  </w:pPr>
                  <w:r>
                    <w:rPr>
                      <w:color w:val="auto"/>
                    </w:rPr>
                    <w:t>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58" w:type="dxa"/>
                  <w:tcBorders>
                    <w:tl2br w:val="nil"/>
                    <w:tr2bl w:val="nil"/>
                  </w:tcBorders>
                  <w:vAlign w:val="center"/>
                </w:tcPr>
                <w:p>
                  <w:pPr>
                    <w:pStyle w:val="91"/>
                  </w:pPr>
                  <w:r>
                    <w:rPr>
                      <w:rFonts w:hint="eastAsia"/>
                    </w:rPr>
                    <w:t>制粒机</w:t>
                  </w:r>
                </w:p>
              </w:tc>
              <w:tc>
                <w:tcPr>
                  <w:tcW w:w="709" w:type="dxa"/>
                  <w:tcBorders>
                    <w:tl2br w:val="nil"/>
                    <w:tr2bl w:val="nil"/>
                  </w:tcBorders>
                  <w:vAlign w:val="center"/>
                </w:tcPr>
                <w:p>
                  <w:pPr>
                    <w:pStyle w:val="91"/>
                  </w:pPr>
                  <w:r>
                    <w:rPr>
                      <w:rFonts w:hint="eastAsia"/>
                    </w:rPr>
                    <w:t>1台</w:t>
                  </w:r>
                </w:p>
              </w:tc>
              <w:tc>
                <w:tcPr>
                  <w:tcW w:w="1061" w:type="dxa"/>
                  <w:tcBorders>
                    <w:tl2br w:val="nil"/>
                    <w:tr2bl w:val="nil"/>
                  </w:tcBorders>
                  <w:vAlign w:val="center"/>
                </w:tcPr>
                <w:p>
                  <w:pPr>
                    <w:pStyle w:val="91"/>
                  </w:pPr>
                  <w:r>
                    <w:t>85</w:t>
                  </w:r>
                </w:p>
              </w:tc>
              <w:tc>
                <w:tcPr>
                  <w:tcW w:w="1977" w:type="dxa"/>
                  <w:tcBorders>
                    <w:tl2br w:val="nil"/>
                    <w:tr2bl w:val="nil"/>
                  </w:tcBorders>
                  <w:vAlign w:val="center"/>
                </w:tcPr>
                <w:p>
                  <w:pPr>
                    <w:pStyle w:val="91"/>
                  </w:pPr>
                  <w:r>
                    <w:rPr>
                      <w:rFonts w:hint="eastAsia"/>
                    </w:rPr>
                    <w:t>置于地下，减振措施，厂房隔声</w:t>
                  </w:r>
                </w:p>
              </w:tc>
              <w:tc>
                <w:tcPr>
                  <w:tcW w:w="1174" w:type="dxa"/>
                  <w:tcBorders>
                    <w:tl2br w:val="nil"/>
                    <w:tr2bl w:val="nil"/>
                  </w:tcBorders>
                  <w:vAlign w:val="center"/>
                </w:tcPr>
                <w:p>
                  <w:pPr>
                    <w:pStyle w:val="91"/>
                  </w:pPr>
                  <w:r>
                    <w:rPr>
                      <w:rFonts w:hint="eastAsia"/>
                    </w:rPr>
                    <w:t>70</w:t>
                  </w:r>
                </w:p>
              </w:tc>
              <w:tc>
                <w:tcPr>
                  <w:tcW w:w="1078" w:type="dxa"/>
                  <w:vMerge w:val="restart"/>
                  <w:tcBorders>
                    <w:tl2br w:val="nil"/>
                    <w:tr2bl w:val="nil"/>
                  </w:tcBorders>
                  <w:vAlign w:val="center"/>
                </w:tcPr>
                <w:p>
                  <w:pPr>
                    <w:pStyle w:val="91"/>
                  </w:pPr>
                  <w:r>
                    <w:rPr>
                      <w:rFonts w:hint="eastAsia"/>
                    </w:rPr>
                    <w:t>生产车间内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58" w:type="dxa"/>
                  <w:tcBorders>
                    <w:tl2br w:val="nil"/>
                    <w:tr2bl w:val="nil"/>
                  </w:tcBorders>
                  <w:vAlign w:val="center"/>
                </w:tcPr>
                <w:p>
                  <w:pPr>
                    <w:pStyle w:val="91"/>
                  </w:pPr>
                  <w:r>
                    <w:rPr>
                      <w:rFonts w:hint="eastAsia"/>
                    </w:rPr>
                    <w:t>烘干机</w:t>
                  </w:r>
                </w:p>
              </w:tc>
              <w:tc>
                <w:tcPr>
                  <w:tcW w:w="709" w:type="dxa"/>
                  <w:tcBorders>
                    <w:tl2br w:val="nil"/>
                    <w:tr2bl w:val="nil"/>
                  </w:tcBorders>
                  <w:vAlign w:val="center"/>
                </w:tcPr>
                <w:p>
                  <w:pPr>
                    <w:pStyle w:val="91"/>
                  </w:pPr>
                  <w:r>
                    <w:rPr>
                      <w:rFonts w:hint="eastAsia"/>
                    </w:rPr>
                    <w:t>3台</w:t>
                  </w:r>
                </w:p>
              </w:tc>
              <w:tc>
                <w:tcPr>
                  <w:tcW w:w="1061" w:type="dxa"/>
                  <w:tcBorders>
                    <w:tl2br w:val="nil"/>
                    <w:tr2bl w:val="nil"/>
                  </w:tcBorders>
                  <w:vAlign w:val="center"/>
                </w:tcPr>
                <w:p>
                  <w:pPr>
                    <w:pStyle w:val="91"/>
                  </w:pPr>
                  <w:r>
                    <w:t>85</w:t>
                  </w:r>
                </w:p>
              </w:tc>
              <w:tc>
                <w:tcPr>
                  <w:tcW w:w="1977" w:type="dxa"/>
                  <w:tcBorders>
                    <w:tl2br w:val="nil"/>
                    <w:tr2bl w:val="nil"/>
                  </w:tcBorders>
                  <w:vAlign w:val="center"/>
                </w:tcPr>
                <w:p>
                  <w:pPr>
                    <w:pStyle w:val="91"/>
                  </w:pPr>
                  <w:r>
                    <w:rPr>
                      <w:rFonts w:hint="eastAsia"/>
                    </w:rPr>
                    <w:t>减振措施，厂房隔声</w:t>
                  </w:r>
                </w:p>
              </w:tc>
              <w:tc>
                <w:tcPr>
                  <w:tcW w:w="1174" w:type="dxa"/>
                  <w:tcBorders>
                    <w:tl2br w:val="nil"/>
                    <w:tr2bl w:val="nil"/>
                  </w:tcBorders>
                  <w:vAlign w:val="center"/>
                </w:tcPr>
                <w:p>
                  <w:pPr>
                    <w:pStyle w:val="91"/>
                  </w:pPr>
                  <w:r>
                    <w:rPr>
                      <w:rFonts w:hint="eastAsia"/>
                    </w:rPr>
                    <w:t>70</w:t>
                  </w:r>
                </w:p>
              </w:tc>
              <w:tc>
                <w:tcPr>
                  <w:tcW w:w="1078" w:type="dxa"/>
                  <w:vMerge w:val="continue"/>
                  <w:tcBorders>
                    <w:tl2br w:val="nil"/>
                    <w:tr2bl w:val="nil"/>
                  </w:tcBorders>
                  <w:vAlign w:val="center"/>
                </w:tcPr>
                <w:p>
                  <w:pPr>
                    <w:pStyle w:val="9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58" w:type="dxa"/>
                  <w:tcBorders>
                    <w:tl2br w:val="nil"/>
                    <w:tr2bl w:val="nil"/>
                  </w:tcBorders>
                  <w:vAlign w:val="center"/>
                </w:tcPr>
                <w:p>
                  <w:pPr>
                    <w:pStyle w:val="91"/>
                  </w:pPr>
                  <w:r>
                    <w:rPr>
                      <w:rFonts w:hint="eastAsia"/>
                    </w:rPr>
                    <w:t>中频炉</w:t>
                  </w:r>
                </w:p>
              </w:tc>
              <w:tc>
                <w:tcPr>
                  <w:tcW w:w="709" w:type="dxa"/>
                  <w:tcBorders>
                    <w:tl2br w:val="nil"/>
                    <w:tr2bl w:val="nil"/>
                  </w:tcBorders>
                  <w:vAlign w:val="center"/>
                </w:tcPr>
                <w:p>
                  <w:pPr>
                    <w:pStyle w:val="91"/>
                  </w:pPr>
                  <w:r>
                    <w:rPr>
                      <w:rFonts w:hint="eastAsia"/>
                    </w:rPr>
                    <w:t>1台</w:t>
                  </w:r>
                </w:p>
              </w:tc>
              <w:tc>
                <w:tcPr>
                  <w:tcW w:w="1061" w:type="dxa"/>
                  <w:tcBorders>
                    <w:tl2br w:val="nil"/>
                    <w:tr2bl w:val="nil"/>
                  </w:tcBorders>
                  <w:vAlign w:val="center"/>
                </w:tcPr>
                <w:p>
                  <w:pPr>
                    <w:pStyle w:val="91"/>
                  </w:pPr>
                  <w:r>
                    <w:t>80</w:t>
                  </w:r>
                </w:p>
              </w:tc>
              <w:tc>
                <w:tcPr>
                  <w:tcW w:w="1977" w:type="dxa"/>
                  <w:tcBorders>
                    <w:tl2br w:val="nil"/>
                    <w:tr2bl w:val="nil"/>
                  </w:tcBorders>
                  <w:vAlign w:val="center"/>
                </w:tcPr>
                <w:p>
                  <w:pPr>
                    <w:pStyle w:val="91"/>
                  </w:pPr>
                  <w:r>
                    <w:rPr>
                      <w:rFonts w:hint="eastAsia"/>
                    </w:rPr>
                    <w:t>减振措施，厂房隔声</w:t>
                  </w:r>
                </w:p>
              </w:tc>
              <w:tc>
                <w:tcPr>
                  <w:tcW w:w="1174" w:type="dxa"/>
                  <w:tcBorders>
                    <w:tl2br w:val="nil"/>
                    <w:tr2bl w:val="nil"/>
                  </w:tcBorders>
                  <w:vAlign w:val="center"/>
                </w:tcPr>
                <w:p>
                  <w:pPr>
                    <w:pStyle w:val="91"/>
                  </w:pPr>
                  <w:r>
                    <w:rPr>
                      <w:rFonts w:hint="eastAsia"/>
                    </w:rPr>
                    <w:t>75</w:t>
                  </w:r>
                </w:p>
              </w:tc>
              <w:tc>
                <w:tcPr>
                  <w:tcW w:w="1078" w:type="dxa"/>
                  <w:vMerge w:val="continue"/>
                  <w:tcBorders>
                    <w:tl2br w:val="nil"/>
                    <w:tr2bl w:val="nil"/>
                  </w:tcBorders>
                  <w:vAlign w:val="center"/>
                </w:tcPr>
                <w:p>
                  <w:pPr>
                    <w:pStyle w:val="9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58" w:type="dxa"/>
                  <w:tcBorders>
                    <w:tl2br w:val="nil"/>
                    <w:tr2bl w:val="nil"/>
                  </w:tcBorders>
                  <w:vAlign w:val="center"/>
                </w:tcPr>
                <w:p>
                  <w:pPr>
                    <w:pStyle w:val="91"/>
                  </w:pPr>
                  <w:r>
                    <w:rPr>
                      <w:rFonts w:hint="eastAsia"/>
                    </w:rPr>
                    <w:t>除尘器系统及除雾装置风机</w:t>
                  </w:r>
                </w:p>
              </w:tc>
              <w:tc>
                <w:tcPr>
                  <w:tcW w:w="709" w:type="dxa"/>
                  <w:tcBorders>
                    <w:tl2br w:val="nil"/>
                    <w:tr2bl w:val="nil"/>
                  </w:tcBorders>
                  <w:vAlign w:val="center"/>
                </w:tcPr>
                <w:p>
                  <w:pPr>
                    <w:pStyle w:val="91"/>
                  </w:pPr>
                  <w:r>
                    <w:rPr>
                      <w:rFonts w:hint="eastAsia"/>
                    </w:rPr>
                    <w:t>4台</w:t>
                  </w:r>
                </w:p>
              </w:tc>
              <w:tc>
                <w:tcPr>
                  <w:tcW w:w="1061" w:type="dxa"/>
                  <w:tcBorders>
                    <w:tl2br w:val="nil"/>
                    <w:tr2bl w:val="nil"/>
                  </w:tcBorders>
                  <w:vAlign w:val="center"/>
                </w:tcPr>
                <w:p>
                  <w:pPr>
                    <w:pStyle w:val="91"/>
                  </w:pPr>
                  <w:r>
                    <w:t>85</w:t>
                  </w:r>
                </w:p>
              </w:tc>
              <w:tc>
                <w:tcPr>
                  <w:tcW w:w="1977" w:type="dxa"/>
                  <w:tcBorders>
                    <w:tl2br w:val="nil"/>
                    <w:tr2bl w:val="nil"/>
                  </w:tcBorders>
                  <w:vAlign w:val="center"/>
                </w:tcPr>
                <w:p>
                  <w:pPr>
                    <w:pStyle w:val="91"/>
                  </w:pPr>
                  <w:r>
                    <w:rPr>
                      <w:rFonts w:hint="eastAsia"/>
                    </w:rPr>
                    <w:t>减振措施，厂房隔声</w:t>
                  </w:r>
                </w:p>
              </w:tc>
              <w:tc>
                <w:tcPr>
                  <w:tcW w:w="1174" w:type="dxa"/>
                  <w:tcBorders>
                    <w:tl2br w:val="nil"/>
                    <w:tr2bl w:val="nil"/>
                  </w:tcBorders>
                  <w:vAlign w:val="center"/>
                </w:tcPr>
                <w:p>
                  <w:pPr>
                    <w:pStyle w:val="91"/>
                  </w:pPr>
                  <w:r>
                    <w:rPr>
                      <w:rFonts w:hint="eastAsia"/>
                    </w:rPr>
                    <w:t>70</w:t>
                  </w:r>
                </w:p>
              </w:tc>
              <w:tc>
                <w:tcPr>
                  <w:tcW w:w="1078" w:type="dxa"/>
                  <w:vMerge w:val="continue"/>
                  <w:tcBorders>
                    <w:tl2br w:val="nil"/>
                    <w:tr2bl w:val="nil"/>
                  </w:tcBorders>
                  <w:vAlign w:val="center"/>
                </w:tcPr>
                <w:p>
                  <w:pPr>
                    <w:pStyle w:val="91"/>
                  </w:pPr>
                </w:p>
              </w:tc>
            </w:tr>
          </w:tbl>
          <w:p>
            <w:pPr>
              <w:pStyle w:val="51"/>
              <w:adjustRightInd w:val="0"/>
              <w:snapToGrid w:val="0"/>
              <w:ind w:firstLine="480"/>
            </w:pPr>
            <w:bookmarkStart w:id="15" w:name="_Toc30094"/>
            <w:r>
              <w:rPr>
                <w:rFonts w:hint="eastAsia"/>
              </w:rPr>
              <w:t>为了解项目运营后对周围声环境的影响，</w:t>
            </w:r>
            <w:r>
              <w:t>噪声预测按照《环境影响评价技术导则·声环境》（HJ2.4-2021）进行，预测设备噪声到厂界</w:t>
            </w:r>
            <w:r>
              <w:rPr>
                <w:rFonts w:hint="eastAsia"/>
              </w:rPr>
              <w:t>和最近敏感点</w:t>
            </w:r>
            <w:r>
              <w:t>排放值，并判断是否达标。</w:t>
            </w:r>
          </w:p>
          <w:p>
            <w:pPr>
              <w:spacing w:before="35" w:line="375" w:lineRule="auto"/>
              <w:ind w:left="480" w:leftChars="200" w:right="103" w:firstLine="0" w:firstLineChars="0"/>
            </w:pPr>
            <w:r>
              <w:t>①预测条件假设</w:t>
            </w:r>
          </w:p>
          <w:p>
            <w:pPr>
              <w:ind w:firstLine="480"/>
            </w:pPr>
            <w:r>
              <w:t>A</w:t>
            </w:r>
            <w:r>
              <w:rPr>
                <w:rFonts w:hint="eastAsia"/>
              </w:rPr>
              <w:t>、</w:t>
            </w:r>
            <w:r>
              <w:t>所有产噪设备均在正常工况条件下运行；</w:t>
            </w:r>
          </w:p>
          <w:p>
            <w:pPr>
              <w:ind w:firstLine="480"/>
            </w:pPr>
            <w:r>
              <w:t>B</w:t>
            </w:r>
            <w:r>
              <w:rPr>
                <w:rFonts w:hint="eastAsia"/>
              </w:rPr>
              <w:t>、</w:t>
            </w:r>
            <w:r>
              <w:t>将所有室内点源叠加概化成一个点源；</w:t>
            </w:r>
          </w:p>
          <w:p>
            <w:pPr>
              <w:ind w:firstLine="480"/>
            </w:pPr>
            <w:r>
              <w:t>C</w:t>
            </w:r>
            <w:r>
              <w:rPr>
                <w:rFonts w:hint="eastAsia"/>
              </w:rPr>
              <w:t>、</w:t>
            </w:r>
            <w:r>
              <w:t>室内噪声源考虑声源所在厂房围护结构的隔声作用，转化为室外声源预测；</w:t>
            </w:r>
          </w:p>
          <w:p>
            <w:pPr>
              <w:ind w:firstLine="480"/>
            </w:pPr>
            <w:r>
              <w:t>D</w:t>
            </w:r>
            <w:r>
              <w:rPr>
                <w:rFonts w:hint="eastAsia"/>
              </w:rPr>
              <w:t>、</w:t>
            </w:r>
            <w:r>
              <w:t>不考虑室外空气吸收、地面效应的衰减影响，只考虑距离衰减；</w:t>
            </w:r>
          </w:p>
          <w:p>
            <w:pPr>
              <w:ind w:left="480" w:leftChars="200" w:firstLine="0" w:firstLineChars="0"/>
            </w:pPr>
            <w:r>
              <w:t>②预测模式</w:t>
            </w:r>
          </w:p>
          <w:p>
            <w:pPr>
              <w:ind w:left="480" w:leftChars="200" w:firstLine="0" w:firstLineChars="0"/>
            </w:pPr>
            <w:r>
              <w:t>项目预测模式如下所述：</w:t>
            </w:r>
          </w:p>
          <w:p>
            <w:pPr>
              <w:ind w:left="480" w:leftChars="200" w:firstLine="0" w:firstLineChars="0"/>
            </w:pPr>
            <w:r>
              <w:t>a、室内声源等效室外声源公式为：</w:t>
            </w:r>
          </w:p>
          <w:p>
            <w:pPr>
              <w:ind w:left="480" w:leftChars="200" w:firstLine="0" w:firstLineChars="0"/>
              <w:jc w:val="center"/>
            </w:pPr>
            <w:r>
              <w:rPr>
                <w:rFonts w:hint="eastAsia"/>
              </w:rPr>
              <w:object>
                <v:shape id="_x0000_i1027" o:spt="75" type="#_x0000_t75" style="height:33.75pt;width:135pt;" o:ole="t" filled="f" o:preferrelative="t" stroked="f" coordsize="21600,21600">
                  <v:path/>
                  <v:fill on="f" focussize="0,0"/>
                  <v:stroke on="f" joinstyle="miter"/>
                  <v:imagedata r:id="rId20" o:title=""/>
                  <o:lock v:ext="edit" aspectratio="t"/>
                  <w10:wrap type="none"/>
                  <w10:anchorlock/>
                </v:shape>
                <o:OLEObject Type="Embed" ProgID="Equations" ShapeID="_x0000_i1027" DrawAspect="Content" ObjectID="_1468075727" r:id="rId19">
                  <o:LockedField>false</o:LockedField>
                </o:OLEObject>
              </w:object>
            </w:r>
          </w:p>
          <w:p>
            <w:pPr>
              <w:ind w:firstLine="480"/>
            </w:pPr>
            <w:r>
              <w:t>式中：Lp1—靠近开口处(或窗户)室内某倍频带的声压级或A声级，dB；</w:t>
            </w:r>
          </w:p>
          <w:p>
            <w:pPr>
              <w:ind w:firstLine="1200" w:firstLineChars="500"/>
            </w:pPr>
            <w:r>
              <w:t>Lw—点声源声功率级(A计权或倍频带)，dB；</w:t>
            </w:r>
          </w:p>
          <w:p>
            <w:pPr>
              <w:ind w:firstLine="1200" w:firstLineChars="500"/>
            </w:pPr>
            <w:r>
              <w:t>Q—指向性因数；通常对无指向性声源，当声源放在房间中心时，Q=1；当放在一面墙的中心时，Q=2；当放在两面墙夹角处时，Q=4；当放在三面墙夹角处时，Q=8；</w:t>
            </w:r>
          </w:p>
          <w:p>
            <w:pPr>
              <w:ind w:firstLine="1200" w:firstLineChars="500"/>
            </w:pPr>
            <w:r>
              <w:t>R—房间常数；R=Sα/1(1-α)，S为房间内表面面积，m</w:t>
            </w:r>
            <w:r>
              <w:rPr>
                <w:vertAlign w:val="superscript"/>
              </w:rPr>
              <w:t>2</w:t>
            </w:r>
            <w:r>
              <w:t>；α为平均吸声系数；</w:t>
            </w:r>
          </w:p>
          <w:p>
            <w:pPr>
              <w:ind w:firstLine="480"/>
            </w:pPr>
            <w:r>
              <w:t>然后按下式计算出所有室内声源在围护结构处产生的i倍频带叠加声压级：</w:t>
            </w:r>
          </w:p>
          <w:p>
            <w:pPr>
              <w:ind w:firstLine="480"/>
              <w:jc w:val="center"/>
            </w:pPr>
            <w:r>
              <w:object>
                <v:shape id="_x0000_i1028" o:spt="75" type="#_x0000_t75" style="height:36pt;width:126.75pt;" o:ole="t" filled="f" o:preferrelative="t" stroked="f" coordsize="21600,21600">
                  <v:path/>
                  <v:fill on="f" focussize="0,0"/>
                  <v:stroke on="f" joinstyle="miter"/>
                  <v:imagedata r:id="rId22" o:title=""/>
                  <o:lock v:ext="edit" aspectratio="t"/>
                  <w10:wrap type="none"/>
                  <w10:anchorlock/>
                </v:shape>
                <o:OLEObject Type="Embed" ProgID="Equations" ShapeID="_x0000_i1028" DrawAspect="Content" ObjectID="_1468075728" r:id="rId21">
                  <o:LockedField>false</o:LockedField>
                </o:OLEObject>
              </w:object>
            </w:r>
          </w:p>
          <w:p>
            <w:pPr>
              <w:ind w:firstLine="480"/>
              <w:jc w:val="center"/>
            </w:pPr>
            <w:r>
              <w:t>式中：Lpli(T)—靠近围护结构处室内N个声源i倍频带的叠加声压级，dB</w:t>
            </w:r>
            <w:r>
              <w:rPr>
                <w:rFonts w:hint="eastAsia"/>
              </w:rPr>
              <w:t>；</w:t>
            </w:r>
          </w:p>
          <w:p>
            <w:pPr>
              <w:ind w:firstLine="1200" w:firstLineChars="500"/>
            </w:pPr>
            <w:r>
              <w:t>Lplij—室内j声源i倍频带的声压级，dB；</w:t>
            </w:r>
          </w:p>
          <w:p>
            <w:pPr>
              <w:ind w:firstLine="1200" w:firstLineChars="500"/>
            </w:pPr>
            <w:r>
              <w:t>N—室内声源总数。</w:t>
            </w:r>
          </w:p>
          <w:p>
            <w:pPr>
              <w:ind w:firstLine="480"/>
            </w:pPr>
            <w:r>
              <w:rPr>
                <w:rFonts w:hint="eastAsia"/>
              </w:rPr>
              <w:t>b、室外声源</w:t>
            </w:r>
          </w:p>
          <w:p>
            <w:pPr>
              <w:ind w:firstLine="480"/>
            </w:pPr>
            <w:r>
              <w:t>室外点声源对预测点的噪声声压级影响值(dB</w:t>
            </w:r>
            <w:r>
              <w:rPr>
                <w:rFonts w:hint="eastAsia"/>
              </w:rPr>
              <w:t>（A）</w:t>
            </w:r>
            <w:r>
              <w:t>)为：</w:t>
            </w:r>
          </w:p>
          <w:p>
            <w:pPr>
              <w:ind w:firstLine="480"/>
              <w:jc w:val="center"/>
            </w:pPr>
            <w:r>
              <w:object>
                <v:shape id="_x0000_i1029" o:spt="75" type="#_x0000_t75" style="height:33.75pt;width:93pt;" o:ole="t" filled="f" o:preferrelative="t" stroked="f" coordsize="21600,21600">
                  <v:path/>
                  <v:fill on="f" focussize="0,0"/>
                  <v:stroke on="f" joinstyle="miter"/>
                  <v:imagedata r:id="rId24" o:title=""/>
                  <o:lock v:ext="edit" aspectratio="t"/>
                  <w10:wrap type="none"/>
                  <w10:anchorlock/>
                </v:shape>
                <o:OLEObject Type="Embed" ProgID="Equations" ShapeID="_x0000_i1029" DrawAspect="Content" ObjectID="_1468075729" r:id="rId23">
                  <o:LockedField>false</o:LockedField>
                </o:OLEObject>
              </w:object>
            </w:r>
          </w:p>
          <w:p>
            <w:pPr>
              <w:ind w:firstLine="480"/>
            </w:pPr>
            <w:r>
              <w:t>式中：L(r)为预测点的声压级(dB(A))；</w:t>
            </w:r>
          </w:p>
          <w:p>
            <w:pPr>
              <w:ind w:firstLine="1200" w:firstLineChars="500"/>
            </w:pPr>
            <w:r>
              <w:t>L</w:t>
            </w:r>
            <w:r>
              <w:rPr>
                <w:rFonts w:hint="eastAsia"/>
              </w:rPr>
              <w:t>p0</w:t>
            </w:r>
            <w:r>
              <w:t>为点声源在</w:t>
            </w:r>
            <w:r>
              <w:rPr>
                <w:rFonts w:hint="eastAsia"/>
              </w:rPr>
              <w:t>r0</w:t>
            </w:r>
            <w:r>
              <w:t>(m)距离处测定的声压级(dB(A))；</w:t>
            </w:r>
          </w:p>
          <w:p>
            <w:pPr>
              <w:ind w:firstLine="960" w:firstLineChars="400"/>
            </w:pPr>
            <w:r>
              <w:t>r为点声源距预测点的距离(m)。</w:t>
            </w:r>
          </w:p>
          <w:p>
            <w:pPr>
              <w:ind w:firstLine="480"/>
            </w:pPr>
            <w:r>
              <w:rPr>
                <w:rFonts w:hint="eastAsia"/>
              </w:rPr>
              <w:t>c、</w:t>
            </w:r>
            <w:r>
              <w:t>合成声压级公式为：</w:t>
            </w:r>
          </w:p>
          <w:p>
            <w:pPr>
              <w:ind w:firstLine="480"/>
              <w:jc w:val="center"/>
            </w:pPr>
            <w:r>
              <w:object>
                <v:shape id="_x0000_i1030" o:spt="75" type="#_x0000_t75" style="height:39.75pt;width:206.25pt;" o:ole="t" filled="f" o:preferrelative="t" stroked="f" coordsize="21600,21600">
                  <v:path/>
                  <v:fill on="f" focussize="0,0"/>
                  <v:stroke on="f" joinstyle="miter"/>
                  <v:imagedata r:id="rId26" o:title=""/>
                  <o:lock v:ext="edit" aspectratio="t"/>
                  <w10:wrap type="none"/>
                  <w10:anchorlock/>
                </v:shape>
                <o:OLEObject Type="Embed" ProgID="Equations" ShapeID="_x0000_i1030" DrawAspect="Content" ObjectID="_1468075730" r:id="rId25">
                  <o:LockedField>false</o:LockedField>
                </o:OLEObject>
              </w:object>
            </w:r>
          </w:p>
          <w:p>
            <w:pPr>
              <w:widowControl/>
              <w:ind w:firstLine="480"/>
              <w:jc w:val="left"/>
            </w:pPr>
            <w:r>
              <w:rPr>
                <w:rFonts w:hint="eastAsia"/>
              </w:rPr>
              <w:t>式中：</w:t>
            </w:r>
            <w:r>
              <w:t>Leqg—</w:t>
            </w:r>
            <w:r>
              <w:rPr>
                <w:rFonts w:hint="eastAsia"/>
              </w:rPr>
              <w:t>建设项目声源在预测点产生的噪声贡献值，</w:t>
            </w:r>
            <w:r>
              <w:t>dB</w:t>
            </w:r>
            <w:r>
              <w:rPr>
                <w:rFonts w:hint="eastAsia"/>
              </w:rPr>
              <w:t>；</w:t>
            </w:r>
          </w:p>
          <w:p>
            <w:pPr>
              <w:widowControl/>
              <w:ind w:firstLine="1200" w:firstLineChars="500"/>
              <w:jc w:val="left"/>
            </w:pPr>
            <w:r>
              <w:t>LAi—第i个室外声源在预测点产生的A声级；</w:t>
            </w:r>
          </w:p>
          <w:p>
            <w:pPr>
              <w:widowControl/>
              <w:ind w:firstLine="1200" w:firstLineChars="500"/>
              <w:jc w:val="left"/>
            </w:pPr>
            <w:r>
              <w:t>LAj—第j个等效室外声源在预测点产生的A声级；</w:t>
            </w:r>
          </w:p>
          <w:p>
            <w:pPr>
              <w:widowControl/>
              <w:ind w:firstLine="1200" w:firstLineChars="500"/>
              <w:jc w:val="left"/>
            </w:pPr>
            <w:r>
              <w:t>T—用于计算等效声级的时间，s；</w:t>
            </w:r>
          </w:p>
          <w:p>
            <w:pPr>
              <w:widowControl/>
              <w:ind w:firstLine="1200" w:firstLineChars="500"/>
              <w:jc w:val="left"/>
            </w:pPr>
            <w:r>
              <w:t>N—室外声源个数；</w:t>
            </w:r>
          </w:p>
          <w:p>
            <w:pPr>
              <w:widowControl/>
              <w:ind w:firstLine="1200" w:firstLineChars="500"/>
              <w:jc w:val="left"/>
            </w:pPr>
            <w:r>
              <w:t>ti—在T时间内i声源工作时间，s；</w:t>
            </w:r>
          </w:p>
          <w:p>
            <w:pPr>
              <w:widowControl/>
              <w:ind w:firstLine="1200" w:firstLineChars="500"/>
              <w:jc w:val="left"/>
            </w:pPr>
            <w:r>
              <w:t>M—等效室外声源个数；</w:t>
            </w:r>
          </w:p>
          <w:p>
            <w:pPr>
              <w:widowControl/>
              <w:ind w:firstLine="1200" w:firstLineChars="500"/>
              <w:jc w:val="left"/>
            </w:pPr>
            <w:r>
              <w:t>tj—在T时间内j声源工作时间，s。</w:t>
            </w:r>
          </w:p>
          <w:p>
            <w:pPr>
              <w:autoSpaceDE w:val="0"/>
              <w:autoSpaceDN w:val="0"/>
              <w:ind w:firstLine="480"/>
            </w:pPr>
            <w:r>
              <w:rPr>
                <w:kern w:val="0"/>
              </w:rPr>
              <w:t>经分析和预测，通过采取墙体隔声、基础减震等噪声防治措施后，噪声可削减5~10dB（A），</w:t>
            </w:r>
            <w:r>
              <w:rPr>
                <w:rFonts w:hint="eastAsia"/>
              </w:rPr>
              <w:t>项目夜间不运营，在采取降噪措施后，运营期间设备噪声对厂界昼间噪声的贡献值见表</w:t>
            </w:r>
            <w:r>
              <w:t>4-</w:t>
            </w:r>
            <w:r>
              <w:rPr>
                <w:rFonts w:hint="eastAsia"/>
              </w:rPr>
              <w:t>7。</w:t>
            </w:r>
          </w:p>
          <w:p>
            <w:pPr>
              <w:pStyle w:val="85"/>
              <w:rPr>
                <w:color w:val="auto"/>
              </w:rPr>
            </w:pPr>
            <w:r>
              <w:rPr>
                <w:rFonts w:hint="eastAsia"/>
                <w:color w:val="auto"/>
              </w:rPr>
              <w:t>表4-7环境噪声预测结果</w:t>
            </w:r>
            <w:r>
              <w:rPr>
                <w:color w:val="auto"/>
              </w:rPr>
              <w:t>本项目厂界噪声预测结果单位：dB（A）</w:t>
            </w:r>
          </w:p>
          <w:tbl>
            <w:tblPr>
              <w:tblStyle w:val="36"/>
              <w:tblW w:w="75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2067"/>
              <w:gridCol w:w="1224"/>
              <w:gridCol w:w="1165"/>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jc w:val="center"/>
              </w:trPr>
              <w:tc>
                <w:tcPr>
                  <w:tcW w:w="1736" w:type="dxa"/>
                  <w:vMerge w:val="restart"/>
                  <w:tcBorders>
                    <w:tl2br w:val="nil"/>
                    <w:tr2bl w:val="nil"/>
                  </w:tcBorders>
                  <w:vAlign w:val="center"/>
                </w:tcPr>
                <w:p>
                  <w:pPr>
                    <w:pStyle w:val="84"/>
                    <w:rPr>
                      <w:color w:val="auto"/>
                    </w:rPr>
                  </w:pPr>
                  <w:r>
                    <w:rPr>
                      <w:color w:val="auto"/>
                    </w:rPr>
                    <w:t>预测点</w:t>
                  </w:r>
                </w:p>
              </w:tc>
              <w:tc>
                <w:tcPr>
                  <w:tcW w:w="3291" w:type="dxa"/>
                  <w:gridSpan w:val="2"/>
                  <w:tcBorders>
                    <w:tl2br w:val="nil"/>
                    <w:tr2bl w:val="nil"/>
                  </w:tcBorders>
                  <w:vAlign w:val="center"/>
                </w:tcPr>
                <w:p>
                  <w:pPr>
                    <w:pStyle w:val="84"/>
                    <w:rPr>
                      <w:color w:val="auto"/>
                    </w:rPr>
                  </w:pPr>
                  <w:r>
                    <w:rPr>
                      <w:color w:val="auto"/>
                    </w:rPr>
                    <w:t>贡献值</w:t>
                  </w:r>
                </w:p>
              </w:tc>
              <w:tc>
                <w:tcPr>
                  <w:tcW w:w="1165" w:type="dxa"/>
                  <w:tcBorders>
                    <w:tl2br w:val="nil"/>
                    <w:tr2bl w:val="nil"/>
                  </w:tcBorders>
                  <w:vAlign w:val="center"/>
                </w:tcPr>
                <w:p>
                  <w:pPr>
                    <w:pStyle w:val="84"/>
                    <w:rPr>
                      <w:color w:val="auto"/>
                    </w:rPr>
                  </w:pPr>
                  <w:r>
                    <w:rPr>
                      <w:color w:val="auto"/>
                    </w:rPr>
                    <w:t>标准值</w:t>
                  </w:r>
                </w:p>
              </w:tc>
              <w:tc>
                <w:tcPr>
                  <w:tcW w:w="1365" w:type="dxa"/>
                  <w:tcBorders>
                    <w:tl2br w:val="nil"/>
                    <w:tr2bl w:val="nil"/>
                  </w:tcBorders>
                  <w:vAlign w:val="center"/>
                </w:tcPr>
                <w:p>
                  <w:pPr>
                    <w:pStyle w:val="84"/>
                    <w:rPr>
                      <w:color w:val="auto"/>
                    </w:rPr>
                  </w:pPr>
                  <w:r>
                    <w:rPr>
                      <w:color w:val="auto"/>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1736" w:type="dxa"/>
                  <w:vMerge w:val="continue"/>
                  <w:tcBorders>
                    <w:tl2br w:val="nil"/>
                    <w:tr2bl w:val="nil"/>
                  </w:tcBorders>
                  <w:vAlign w:val="center"/>
                </w:tcPr>
                <w:p>
                  <w:pPr>
                    <w:pStyle w:val="84"/>
                    <w:rPr>
                      <w:color w:val="auto"/>
                    </w:rPr>
                  </w:pPr>
                </w:p>
              </w:tc>
              <w:tc>
                <w:tcPr>
                  <w:tcW w:w="2067" w:type="dxa"/>
                  <w:tcBorders>
                    <w:tl2br w:val="nil"/>
                    <w:tr2bl w:val="nil"/>
                  </w:tcBorders>
                  <w:vAlign w:val="center"/>
                </w:tcPr>
                <w:p>
                  <w:pPr>
                    <w:pStyle w:val="84"/>
                    <w:rPr>
                      <w:color w:val="auto"/>
                    </w:rPr>
                  </w:pPr>
                  <w:r>
                    <w:rPr>
                      <w:color w:val="auto"/>
                    </w:rPr>
                    <w:t>昼间</w:t>
                  </w:r>
                </w:p>
              </w:tc>
              <w:tc>
                <w:tcPr>
                  <w:tcW w:w="1224" w:type="dxa"/>
                  <w:tcBorders>
                    <w:tl2br w:val="nil"/>
                    <w:tr2bl w:val="nil"/>
                  </w:tcBorders>
                  <w:vAlign w:val="center"/>
                </w:tcPr>
                <w:p>
                  <w:pPr>
                    <w:pStyle w:val="84"/>
                    <w:rPr>
                      <w:color w:val="auto"/>
                    </w:rPr>
                  </w:pPr>
                  <w:r>
                    <w:rPr>
                      <w:rFonts w:hint="eastAsia"/>
                      <w:color w:val="auto"/>
                    </w:rPr>
                    <w:t>夜间</w:t>
                  </w:r>
                </w:p>
              </w:tc>
              <w:tc>
                <w:tcPr>
                  <w:tcW w:w="1165" w:type="dxa"/>
                  <w:tcBorders>
                    <w:tl2br w:val="nil"/>
                    <w:tr2bl w:val="nil"/>
                  </w:tcBorders>
                  <w:vAlign w:val="center"/>
                </w:tcPr>
                <w:p>
                  <w:pPr>
                    <w:pStyle w:val="84"/>
                    <w:rPr>
                      <w:color w:val="auto"/>
                    </w:rPr>
                  </w:pPr>
                  <w:r>
                    <w:rPr>
                      <w:color w:val="auto"/>
                    </w:rPr>
                    <w:t>昼间</w:t>
                  </w:r>
                </w:p>
              </w:tc>
              <w:tc>
                <w:tcPr>
                  <w:tcW w:w="1365" w:type="dxa"/>
                  <w:tcBorders>
                    <w:tl2br w:val="nil"/>
                    <w:tr2bl w:val="nil"/>
                  </w:tcBorders>
                  <w:vAlign w:val="center"/>
                </w:tcPr>
                <w:p>
                  <w:pPr>
                    <w:pStyle w:val="84"/>
                    <w:rPr>
                      <w:color w:val="auto"/>
                    </w:rPr>
                  </w:pPr>
                  <w:r>
                    <w:rPr>
                      <w:color w:val="auto"/>
                    </w:rPr>
                    <w:t>昼间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1736" w:type="dxa"/>
                  <w:tcBorders>
                    <w:tl2br w:val="nil"/>
                    <w:tr2bl w:val="nil"/>
                  </w:tcBorders>
                  <w:shd w:val="clear" w:color="auto" w:fill="auto"/>
                  <w:vAlign w:val="center"/>
                </w:tcPr>
                <w:p>
                  <w:pPr>
                    <w:pStyle w:val="84"/>
                    <w:rPr>
                      <w:color w:val="auto"/>
                    </w:rPr>
                  </w:pPr>
                  <w:r>
                    <w:rPr>
                      <w:color w:val="auto"/>
                    </w:rPr>
                    <w:t>东厂界</w:t>
                  </w:r>
                </w:p>
              </w:tc>
              <w:tc>
                <w:tcPr>
                  <w:tcW w:w="2067" w:type="dxa"/>
                  <w:tcBorders>
                    <w:tl2br w:val="nil"/>
                    <w:tr2bl w:val="nil"/>
                  </w:tcBorders>
                  <w:shd w:val="clear" w:color="auto" w:fill="auto"/>
                  <w:vAlign w:val="center"/>
                </w:tcPr>
                <w:p>
                  <w:pPr>
                    <w:pStyle w:val="84"/>
                    <w:rPr>
                      <w:color w:val="auto"/>
                    </w:rPr>
                  </w:pPr>
                  <w:r>
                    <w:rPr>
                      <w:rFonts w:hint="eastAsia"/>
                      <w:color w:val="auto"/>
                    </w:rPr>
                    <w:t>36.7</w:t>
                  </w:r>
                </w:p>
              </w:tc>
              <w:tc>
                <w:tcPr>
                  <w:tcW w:w="1224" w:type="dxa"/>
                  <w:tcBorders>
                    <w:tl2br w:val="nil"/>
                    <w:tr2bl w:val="nil"/>
                  </w:tcBorders>
                  <w:shd w:val="clear" w:color="auto" w:fill="auto"/>
                  <w:vAlign w:val="center"/>
                </w:tcPr>
                <w:p>
                  <w:pPr>
                    <w:pStyle w:val="84"/>
                    <w:rPr>
                      <w:color w:val="auto"/>
                    </w:rPr>
                  </w:pPr>
                  <w:r>
                    <w:rPr>
                      <w:rFonts w:hint="eastAsia"/>
                      <w:color w:val="auto"/>
                    </w:rPr>
                    <w:t>/</w:t>
                  </w:r>
                </w:p>
              </w:tc>
              <w:tc>
                <w:tcPr>
                  <w:tcW w:w="1165" w:type="dxa"/>
                  <w:vMerge w:val="restart"/>
                  <w:tcBorders>
                    <w:tl2br w:val="nil"/>
                    <w:tr2bl w:val="nil"/>
                  </w:tcBorders>
                  <w:shd w:val="clear" w:color="auto" w:fill="auto"/>
                  <w:vAlign w:val="center"/>
                </w:tcPr>
                <w:p>
                  <w:pPr>
                    <w:pStyle w:val="84"/>
                    <w:rPr>
                      <w:color w:val="auto"/>
                    </w:rPr>
                  </w:pPr>
                  <w:r>
                    <w:rPr>
                      <w:rFonts w:hint="eastAsia"/>
                      <w:color w:val="auto"/>
                    </w:rPr>
                    <w:t>65</w:t>
                  </w:r>
                </w:p>
              </w:tc>
              <w:tc>
                <w:tcPr>
                  <w:tcW w:w="1365" w:type="dxa"/>
                  <w:tcBorders>
                    <w:tl2br w:val="nil"/>
                    <w:tr2bl w:val="nil"/>
                  </w:tcBorders>
                  <w:vAlign w:val="center"/>
                </w:tcPr>
                <w:p>
                  <w:pPr>
                    <w:pStyle w:val="84"/>
                    <w:rPr>
                      <w:color w:val="auto"/>
                    </w:rPr>
                  </w:pPr>
                  <w:r>
                    <w:rPr>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1736" w:type="dxa"/>
                  <w:tcBorders>
                    <w:tl2br w:val="nil"/>
                    <w:tr2bl w:val="nil"/>
                  </w:tcBorders>
                  <w:shd w:val="clear" w:color="auto" w:fill="auto"/>
                  <w:vAlign w:val="center"/>
                </w:tcPr>
                <w:p>
                  <w:pPr>
                    <w:pStyle w:val="84"/>
                    <w:rPr>
                      <w:color w:val="auto"/>
                    </w:rPr>
                  </w:pPr>
                  <w:r>
                    <w:rPr>
                      <w:color w:val="auto"/>
                    </w:rPr>
                    <w:t>南厂界</w:t>
                  </w:r>
                </w:p>
              </w:tc>
              <w:tc>
                <w:tcPr>
                  <w:tcW w:w="2067" w:type="dxa"/>
                  <w:tcBorders>
                    <w:tl2br w:val="nil"/>
                    <w:tr2bl w:val="nil"/>
                  </w:tcBorders>
                  <w:shd w:val="clear" w:color="auto" w:fill="auto"/>
                  <w:vAlign w:val="center"/>
                </w:tcPr>
                <w:p>
                  <w:pPr>
                    <w:pStyle w:val="84"/>
                    <w:rPr>
                      <w:color w:val="auto"/>
                    </w:rPr>
                  </w:pPr>
                  <w:r>
                    <w:rPr>
                      <w:rFonts w:hint="eastAsia"/>
                      <w:color w:val="auto"/>
                    </w:rPr>
                    <w:t>26.9</w:t>
                  </w:r>
                </w:p>
              </w:tc>
              <w:tc>
                <w:tcPr>
                  <w:tcW w:w="1224" w:type="dxa"/>
                  <w:tcBorders>
                    <w:tl2br w:val="nil"/>
                    <w:tr2bl w:val="nil"/>
                  </w:tcBorders>
                  <w:shd w:val="clear" w:color="auto" w:fill="auto"/>
                  <w:vAlign w:val="center"/>
                </w:tcPr>
                <w:p>
                  <w:pPr>
                    <w:pStyle w:val="84"/>
                    <w:rPr>
                      <w:color w:val="auto"/>
                    </w:rPr>
                  </w:pPr>
                  <w:r>
                    <w:rPr>
                      <w:rFonts w:hint="eastAsia"/>
                      <w:color w:val="auto"/>
                    </w:rPr>
                    <w:t>/</w:t>
                  </w:r>
                </w:p>
              </w:tc>
              <w:tc>
                <w:tcPr>
                  <w:tcW w:w="1165" w:type="dxa"/>
                  <w:vMerge w:val="continue"/>
                  <w:tcBorders>
                    <w:tl2br w:val="nil"/>
                    <w:tr2bl w:val="nil"/>
                  </w:tcBorders>
                  <w:shd w:val="clear" w:color="auto" w:fill="auto"/>
                  <w:vAlign w:val="center"/>
                </w:tcPr>
                <w:p>
                  <w:pPr>
                    <w:pStyle w:val="84"/>
                    <w:rPr>
                      <w:color w:val="auto"/>
                    </w:rPr>
                  </w:pPr>
                </w:p>
              </w:tc>
              <w:tc>
                <w:tcPr>
                  <w:tcW w:w="1365" w:type="dxa"/>
                  <w:tcBorders>
                    <w:tl2br w:val="nil"/>
                    <w:tr2bl w:val="nil"/>
                  </w:tcBorders>
                  <w:vAlign w:val="center"/>
                </w:tcPr>
                <w:p>
                  <w:pPr>
                    <w:pStyle w:val="84"/>
                    <w:rPr>
                      <w:color w:val="auto"/>
                    </w:rPr>
                  </w:pPr>
                  <w:r>
                    <w:rPr>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1736" w:type="dxa"/>
                  <w:tcBorders>
                    <w:tl2br w:val="nil"/>
                    <w:tr2bl w:val="nil"/>
                  </w:tcBorders>
                  <w:shd w:val="clear" w:color="auto" w:fill="auto"/>
                  <w:vAlign w:val="center"/>
                </w:tcPr>
                <w:p>
                  <w:pPr>
                    <w:pStyle w:val="84"/>
                    <w:rPr>
                      <w:color w:val="auto"/>
                    </w:rPr>
                  </w:pPr>
                  <w:r>
                    <w:rPr>
                      <w:color w:val="auto"/>
                    </w:rPr>
                    <w:t>西厂界</w:t>
                  </w:r>
                </w:p>
              </w:tc>
              <w:tc>
                <w:tcPr>
                  <w:tcW w:w="2067" w:type="dxa"/>
                  <w:tcBorders>
                    <w:tl2br w:val="nil"/>
                    <w:tr2bl w:val="nil"/>
                  </w:tcBorders>
                  <w:shd w:val="clear" w:color="auto" w:fill="auto"/>
                  <w:vAlign w:val="center"/>
                </w:tcPr>
                <w:p>
                  <w:pPr>
                    <w:pStyle w:val="84"/>
                    <w:rPr>
                      <w:color w:val="auto"/>
                    </w:rPr>
                  </w:pPr>
                  <w:r>
                    <w:rPr>
                      <w:rFonts w:hint="eastAsia"/>
                      <w:color w:val="auto"/>
                    </w:rPr>
                    <w:t>37.7</w:t>
                  </w:r>
                </w:p>
              </w:tc>
              <w:tc>
                <w:tcPr>
                  <w:tcW w:w="1224" w:type="dxa"/>
                  <w:tcBorders>
                    <w:tl2br w:val="nil"/>
                    <w:tr2bl w:val="nil"/>
                  </w:tcBorders>
                  <w:shd w:val="clear" w:color="auto" w:fill="auto"/>
                  <w:vAlign w:val="center"/>
                </w:tcPr>
                <w:p>
                  <w:pPr>
                    <w:pStyle w:val="84"/>
                    <w:rPr>
                      <w:color w:val="auto"/>
                    </w:rPr>
                  </w:pPr>
                  <w:r>
                    <w:rPr>
                      <w:rFonts w:hint="eastAsia"/>
                      <w:color w:val="auto"/>
                    </w:rPr>
                    <w:t>/</w:t>
                  </w:r>
                </w:p>
              </w:tc>
              <w:tc>
                <w:tcPr>
                  <w:tcW w:w="1165" w:type="dxa"/>
                  <w:vMerge w:val="continue"/>
                  <w:tcBorders>
                    <w:tl2br w:val="nil"/>
                    <w:tr2bl w:val="nil"/>
                  </w:tcBorders>
                  <w:shd w:val="clear" w:color="auto" w:fill="auto"/>
                  <w:vAlign w:val="center"/>
                </w:tcPr>
                <w:p>
                  <w:pPr>
                    <w:pStyle w:val="84"/>
                    <w:rPr>
                      <w:color w:val="auto"/>
                    </w:rPr>
                  </w:pPr>
                </w:p>
              </w:tc>
              <w:tc>
                <w:tcPr>
                  <w:tcW w:w="1365" w:type="dxa"/>
                  <w:tcBorders>
                    <w:tl2br w:val="nil"/>
                    <w:tr2bl w:val="nil"/>
                  </w:tcBorders>
                  <w:vAlign w:val="center"/>
                </w:tcPr>
                <w:p>
                  <w:pPr>
                    <w:pStyle w:val="84"/>
                    <w:rPr>
                      <w:color w:val="auto"/>
                    </w:rPr>
                  </w:pPr>
                  <w:r>
                    <w:rPr>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1736" w:type="dxa"/>
                  <w:tcBorders>
                    <w:tl2br w:val="nil"/>
                    <w:tr2bl w:val="nil"/>
                  </w:tcBorders>
                  <w:shd w:val="clear" w:color="auto" w:fill="auto"/>
                  <w:vAlign w:val="center"/>
                </w:tcPr>
                <w:p>
                  <w:pPr>
                    <w:pStyle w:val="84"/>
                    <w:rPr>
                      <w:color w:val="auto"/>
                    </w:rPr>
                  </w:pPr>
                  <w:r>
                    <w:rPr>
                      <w:color w:val="auto"/>
                    </w:rPr>
                    <w:t>北厂界</w:t>
                  </w:r>
                </w:p>
              </w:tc>
              <w:tc>
                <w:tcPr>
                  <w:tcW w:w="2067" w:type="dxa"/>
                  <w:tcBorders>
                    <w:tl2br w:val="nil"/>
                    <w:tr2bl w:val="nil"/>
                  </w:tcBorders>
                  <w:shd w:val="clear" w:color="auto" w:fill="auto"/>
                  <w:vAlign w:val="center"/>
                </w:tcPr>
                <w:p>
                  <w:pPr>
                    <w:pStyle w:val="84"/>
                    <w:rPr>
                      <w:color w:val="auto"/>
                    </w:rPr>
                  </w:pPr>
                  <w:r>
                    <w:rPr>
                      <w:rFonts w:hint="eastAsia"/>
                      <w:color w:val="auto"/>
                    </w:rPr>
                    <w:t>52.3</w:t>
                  </w:r>
                </w:p>
              </w:tc>
              <w:tc>
                <w:tcPr>
                  <w:tcW w:w="1224" w:type="dxa"/>
                  <w:tcBorders>
                    <w:tl2br w:val="nil"/>
                    <w:tr2bl w:val="nil"/>
                  </w:tcBorders>
                  <w:shd w:val="clear" w:color="auto" w:fill="auto"/>
                  <w:vAlign w:val="center"/>
                </w:tcPr>
                <w:p>
                  <w:pPr>
                    <w:pStyle w:val="84"/>
                    <w:rPr>
                      <w:color w:val="auto"/>
                    </w:rPr>
                  </w:pPr>
                  <w:r>
                    <w:rPr>
                      <w:rFonts w:hint="eastAsia"/>
                      <w:color w:val="auto"/>
                    </w:rPr>
                    <w:t>/</w:t>
                  </w:r>
                </w:p>
              </w:tc>
              <w:tc>
                <w:tcPr>
                  <w:tcW w:w="1165" w:type="dxa"/>
                  <w:vMerge w:val="continue"/>
                  <w:tcBorders>
                    <w:tl2br w:val="nil"/>
                    <w:tr2bl w:val="nil"/>
                  </w:tcBorders>
                  <w:shd w:val="clear" w:color="auto" w:fill="auto"/>
                  <w:vAlign w:val="center"/>
                </w:tcPr>
                <w:p>
                  <w:pPr>
                    <w:pStyle w:val="84"/>
                    <w:rPr>
                      <w:color w:val="auto"/>
                    </w:rPr>
                  </w:pPr>
                </w:p>
              </w:tc>
              <w:tc>
                <w:tcPr>
                  <w:tcW w:w="1365" w:type="dxa"/>
                  <w:tcBorders>
                    <w:tl2br w:val="nil"/>
                    <w:tr2bl w:val="nil"/>
                  </w:tcBorders>
                  <w:vAlign w:val="center"/>
                </w:tcPr>
                <w:p>
                  <w:pPr>
                    <w:pStyle w:val="84"/>
                    <w:rPr>
                      <w:color w:val="auto"/>
                    </w:rPr>
                  </w:pPr>
                  <w:r>
                    <w:rPr>
                      <w:color w:val="auto"/>
                    </w:rPr>
                    <w:t>达标</w:t>
                  </w:r>
                </w:p>
              </w:tc>
            </w:tr>
          </w:tbl>
          <w:p>
            <w:pPr>
              <w:snapToGrid w:val="0"/>
              <w:ind w:firstLine="480"/>
            </w:pPr>
            <w:r>
              <w:t>由上表可知，本项目建成后四侧厂界</w:t>
            </w:r>
            <w:r>
              <w:rPr>
                <w:rFonts w:hint="eastAsia"/>
              </w:rPr>
              <w:t>及敏感点</w:t>
            </w:r>
            <w:r>
              <w:t>噪声值满足《工业企业厂界环境噪声排放标准》（GB12348—2008）中</w:t>
            </w:r>
            <w:r>
              <w:rPr>
                <w:rFonts w:hint="eastAsia"/>
              </w:rPr>
              <w:t>3</w:t>
            </w:r>
            <w:r>
              <w:t>类区标准限值（昼间≤6</w:t>
            </w:r>
            <w:r>
              <w:rPr>
                <w:rFonts w:hint="eastAsia"/>
              </w:rPr>
              <w:t>5</w:t>
            </w:r>
            <w:r>
              <w:t>dB(A)要求。</w:t>
            </w:r>
          </w:p>
          <w:p>
            <w:pPr>
              <w:numPr>
                <w:ilvl w:val="0"/>
                <w:numId w:val="10"/>
              </w:numPr>
              <w:ind w:firstLine="480"/>
            </w:pPr>
            <w:r>
              <w:rPr>
                <w:rFonts w:hint="eastAsia"/>
              </w:rPr>
              <w:t>防治对策</w:t>
            </w:r>
          </w:p>
          <w:p>
            <w:pPr>
              <w:ind w:firstLine="480"/>
            </w:pPr>
            <w:r>
              <w:rPr>
                <w:rFonts w:hint="eastAsia"/>
              </w:rPr>
              <w:t>本项目设备均位于车间内，经墙体阻隔可一定程度上减轻对周边声环境的影响。为确保项目产生的噪声做到达标排放，本环评提出以下噪声防治措施：</w:t>
            </w:r>
          </w:p>
          <w:p>
            <w:pPr>
              <w:adjustRightInd w:val="0"/>
              <w:ind w:firstLine="480"/>
            </w:pPr>
            <w:r>
              <w:t>①从总平面布置上，在工艺合理的前提下，优化布置，充分考虑重点噪声源的均匀布置，并远离噪声敏感区域。</w:t>
            </w:r>
          </w:p>
          <w:p>
            <w:pPr>
              <w:adjustRightInd w:val="0"/>
              <w:ind w:firstLine="480"/>
            </w:pPr>
            <w:r>
              <w:t>②选取低噪声设备，对高噪声设备采取隔振减振垫，底盘与基础之间设置高效减振胶垫；</w:t>
            </w:r>
          </w:p>
          <w:p>
            <w:pPr>
              <w:adjustRightInd w:val="0"/>
              <w:ind w:firstLine="480"/>
            </w:pPr>
            <w:r>
              <w:t>③加强设备的维护和保养，确保其处于良好的运转状态，杜绝因不正常运转产生的高噪声现象；</w:t>
            </w:r>
          </w:p>
          <w:p>
            <w:pPr>
              <w:autoSpaceDE w:val="0"/>
              <w:autoSpaceDN w:val="0"/>
              <w:adjustRightInd w:val="0"/>
              <w:ind w:firstLine="480"/>
              <w:jc w:val="left"/>
              <w:outlineLvl w:val="0"/>
            </w:pPr>
            <w:r>
              <w:t>④</w:t>
            </w:r>
            <w:r>
              <w:rPr>
                <w:rFonts w:hint="eastAsia"/>
              </w:rPr>
              <w:t>车辆在在进入厂区时应降低车速，禁止高速行驶。</w:t>
            </w:r>
          </w:p>
          <w:p>
            <w:pPr>
              <w:autoSpaceDE w:val="0"/>
              <w:autoSpaceDN w:val="0"/>
              <w:adjustRightInd w:val="0"/>
              <w:ind w:firstLine="480"/>
              <w:outlineLvl w:val="0"/>
            </w:pPr>
            <w:r>
              <w:t>通过以上措施，项目运营期噪声对周围环境影响较小。</w:t>
            </w:r>
          </w:p>
          <w:p>
            <w:pPr>
              <w:autoSpaceDE w:val="0"/>
              <w:autoSpaceDN w:val="0"/>
              <w:adjustRightInd w:val="0"/>
              <w:ind w:firstLine="480"/>
              <w:outlineLvl w:val="0"/>
            </w:pPr>
            <w:r>
              <w:rPr>
                <w:rFonts w:hint="eastAsia"/>
              </w:rPr>
              <w:t>（3）监测计划</w:t>
            </w:r>
          </w:p>
          <w:p>
            <w:pPr>
              <w:autoSpaceDE w:val="0"/>
              <w:autoSpaceDN w:val="0"/>
              <w:adjustRightInd w:val="0"/>
              <w:ind w:firstLine="480"/>
              <w:outlineLvl w:val="0"/>
            </w:pPr>
            <w:r>
              <w:rPr>
                <w:rFonts w:hint="eastAsia"/>
              </w:rPr>
              <w:t>噪声监测计划见表4-8。</w:t>
            </w:r>
          </w:p>
          <w:p>
            <w:pPr>
              <w:pStyle w:val="85"/>
              <w:rPr>
                <w:color w:val="auto"/>
              </w:rPr>
            </w:pPr>
            <w:r>
              <w:rPr>
                <w:color w:val="auto"/>
              </w:rPr>
              <w:t>表</w:t>
            </w:r>
            <w:r>
              <w:rPr>
                <w:rFonts w:hint="eastAsia"/>
                <w:color w:val="auto"/>
              </w:rPr>
              <w:t>4-8</w:t>
            </w:r>
            <w:r>
              <w:rPr>
                <w:color w:val="auto"/>
              </w:rPr>
              <w:t>污染源与环境监测计划表</w:t>
            </w:r>
          </w:p>
          <w:tbl>
            <w:tblPr>
              <w:tblStyle w:val="36"/>
              <w:tblW w:w="75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1"/>
              <w:gridCol w:w="1281"/>
              <w:gridCol w:w="926"/>
              <w:gridCol w:w="651"/>
              <w:gridCol w:w="723"/>
              <w:gridCol w:w="2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center"/>
              </w:trPr>
              <w:tc>
                <w:tcPr>
                  <w:tcW w:w="1051" w:type="dxa"/>
                  <w:tcBorders>
                    <w:tl2br w:val="nil"/>
                    <w:tr2bl w:val="nil"/>
                  </w:tcBorders>
                  <w:vAlign w:val="center"/>
                </w:tcPr>
                <w:p>
                  <w:pPr>
                    <w:pStyle w:val="84"/>
                    <w:rPr>
                      <w:color w:val="auto"/>
                    </w:rPr>
                  </w:pPr>
                  <w:r>
                    <w:rPr>
                      <w:color w:val="auto"/>
                    </w:rPr>
                    <w:t>污染源名称</w:t>
                  </w:r>
                </w:p>
              </w:tc>
              <w:tc>
                <w:tcPr>
                  <w:tcW w:w="1281" w:type="dxa"/>
                  <w:tcBorders>
                    <w:tl2br w:val="nil"/>
                    <w:tr2bl w:val="nil"/>
                  </w:tcBorders>
                  <w:vAlign w:val="center"/>
                </w:tcPr>
                <w:p>
                  <w:pPr>
                    <w:pStyle w:val="84"/>
                    <w:rPr>
                      <w:color w:val="auto"/>
                    </w:rPr>
                  </w:pPr>
                  <w:r>
                    <w:rPr>
                      <w:color w:val="auto"/>
                    </w:rPr>
                    <w:t>监测项目</w:t>
                  </w:r>
                </w:p>
              </w:tc>
              <w:tc>
                <w:tcPr>
                  <w:tcW w:w="926" w:type="dxa"/>
                  <w:tcBorders>
                    <w:tl2br w:val="nil"/>
                    <w:tr2bl w:val="nil"/>
                  </w:tcBorders>
                  <w:vAlign w:val="center"/>
                </w:tcPr>
                <w:p>
                  <w:pPr>
                    <w:pStyle w:val="84"/>
                    <w:rPr>
                      <w:color w:val="auto"/>
                    </w:rPr>
                  </w:pPr>
                  <w:r>
                    <w:rPr>
                      <w:color w:val="auto"/>
                    </w:rPr>
                    <w:t>监测点位置</w:t>
                  </w:r>
                </w:p>
              </w:tc>
              <w:tc>
                <w:tcPr>
                  <w:tcW w:w="651" w:type="dxa"/>
                  <w:tcBorders>
                    <w:tl2br w:val="nil"/>
                    <w:tr2bl w:val="nil"/>
                  </w:tcBorders>
                  <w:vAlign w:val="center"/>
                </w:tcPr>
                <w:p>
                  <w:pPr>
                    <w:pStyle w:val="84"/>
                    <w:rPr>
                      <w:color w:val="auto"/>
                    </w:rPr>
                  </w:pPr>
                  <w:r>
                    <w:rPr>
                      <w:color w:val="auto"/>
                    </w:rPr>
                    <w:t>监测</w:t>
                  </w:r>
                </w:p>
                <w:p>
                  <w:pPr>
                    <w:pStyle w:val="84"/>
                    <w:rPr>
                      <w:color w:val="auto"/>
                    </w:rPr>
                  </w:pPr>
                  <w:r>
                    <w:rPr>
                      <w:color w:val="auto"/>
                    </w:rPr>
                    <w:t>点数</w:t>
                  </w:r>
                </w:p>
              </w:tc>
              <w:tc>
                <w:tcPr>
                  <w:tcW w:w="723" w:type="dxa"/>
                  <w:tcBorders>
                    <w:tl2br w:val="nil"/>
                    <w:tr2bl w:val="nil"/>
                  </w:tcBorders>
                  <w:vAlign w:val="center"/>
                </w:tcPr>
                <w:p>
                  <w:pPr>
                    <w:pStyle w:val="84"/>
                    <w:rPr>
                      <w:color w:val="auto"/>
                    </w:rPr>
                  </w:pPr>
                  <w:r>
                    <w:rPr>
                      <w:color w:val="auto"/>
                    </w:rPr>
                    <w:t>监测</w:t>
                  </w:r>
                </w:p>
                <w:p>
                  <w:pPr>
                    <w:pStyle w:val="84"/>
                    <w:rPr>
                      <w:color w:val="auto"/>
                    </w:rPr>
                  </w:pPr>
                  <w:r>
                    <w:rPr>
                      <w:color w:val="auto"/>
                    </w:rPr>
                    <w:t>频率</w:t>
                  </w:r>
                </w:p>
              </w:tc>
              <w:tc>
                <w:tcPr>
                  <w:tcW w:w="2919" w:type="dxa"/>
                  <w:tcBorders>
                    <w:tl2br w:val="nil"/>
                    <w:tr2bl w:val="nil"/>
                  </w:tcBorders>
                  <w:vAlign w:val="center"/>
                </w:tcPr>
                <w:p>
                  <w:pPr>
                    <w:pStyle w:val="84"/>
                    <w:rPr>
                      <w:color w:val="auto"/>
                    </w:rPr>
                  </w:pPr>
                  <w:r>
                    <w:rPr>
                      <w:color w:val="auto"/>
                    </w:rPr>
                    <w:t>控制指标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center"/>
              </w:trPr>
              <w:tc>
                <w:tcPr>
                  <w:tcW w:w="1051" w:type="dxa"/>
                  <w:tcBorders>
                    <w:tl2br w:val="nil"/>
                    <w:tr2bl w:val="nil"/>
                  </w:tcBorders>
                  <w:vAlign w:val="center"/>
                </w:tcPr>
                <w:p>
                  <w:pPr>
                    <w:pStyle w:val="84"/>
                    <w:rPr>
                      <w:color w:val="auto"/>
                    </w:rPr>
                  </w:pPr>
                  <w:r>
                    <w:rPr>
                      <w:color w:val="auto"/>
                    </w:rPr>
                    <w:t>噪声</w:t>
                  </w:r>
                </w:p>
              </w:tc>
              <w:tc>
                <w:tcPr>
                  <w:tcW w:w="1281" w:type="dxa"/>
                  <w:tcBorders>
                    <w:tl2br w:val="nil"/>
                    <w:tr2bl w:val="nil"/>
                  </w:tcBorders>
                  <w:vAlign w:val="center"/>
                </w:tcPr>
                <w:p>
                  <w:pPr>
                    <w:pStyle w:val="84"/>
                    <w:rPr>
                      <w:color w:val="auto"/>
                    </w:rPr>
                  </w:pPr>
                  <w:r>
                    <w:rPr>
                      <w:color w:val="auto"/>
                    </w:rPr>
                    <w:t>Leq</w:t>
                  </w:r>
                  <w:r>
                    <w:rPr>
                      <w:rFonts w:hint="eastAsia"/>
                      <w:color w:val="auto"/>
                    </w:rPr>
                    <w:t>（</w:t>
                  </w:r>
                  <w:r>
                    <w:rPr>
                      <w:color w:val="auto"/>
                    </w:rPr>
                    <w:t>A</w:t>
                  </w:r>
                  <w:r>
                    <w:rPr>
                      <w:rFonts w:hint="eastAsia"/>
                      <w:color w:val="auto"/>
                    </w:rPr>
                    <w:t>）</w:t>
                  </w:r>
                </w:p>
              </w:tc>
              <w:tc>
                <w:tcPr>
                  <w:tcW w:w="926" w:type="dxa"/>
                  <w:tcBorders>
                    <w:tl2br w:val="nil"/>
                    <w:tr2bl w:val="nil"/>
                  </w:tcBorders>
                  <w:vAlign w:val="center"/>
                </w:tcPr>
                <w:p>
                  <w:pPr>
                    <w:pStyle w:val="84"/>
                    <w:rPr>
                      <w:color w:val="auto"/>
                    </w:rPr>
                  </w:pPr>
                  <w:r>
                    <w:rPr>
                      <w:rFonts w:hint="eastAsia"/>
                      <w:color w:val="auto"/>
                    </w:rPr>
                    <w:t>厂区四周</w:t>
                  </w:r>
                </w:p>
              </w:tc>
              <w:tc>
                <w:tcPr>
                  <w:tcW w:w="651" w:type="dxa"/>
                  <w:tcBorders>
                    <w:tl2br w:val="nil"/>
                    <w:tr2bl w:val="nil"/>
                  </w:tcBorders>
                  <w:vAlign w:val="center"/>
                </w:tcPr>
                <w:p>
                  <w:pPr>
                    <w:pStyle w:val="84"/>
                    <w:rPr>
                      <w:color w:val="auto"/>
                    </w:rPr>
                  </w:pPr>
                  <w:r>
                    <w:rPr>
                      <w:color w:val="auto"/>
                    </w:rPr>
                    <w:t>4个</w:t>
                  </w:r>
                </w:p>
              </w:tc>
              <w:tc>
                <w:tcPr>
                  <w:tcW w:w="723" w:type="dxa"/>
                  <w:tcBorders>
                    <w:tl2br w:val="nil"/>
                    <w:tr2bl w:val="nil"/>
                  </w:tcBorders>
                  <w:vAlign w:val="center"/>
                </w:tcPr>
                <w:p>
                  <w:pPr>
                    <w:pStyle w:val="84"/>
                    <w:rPr>
                      <w:color w:val="auto"/>
                    </w:rPr>
                  </w:pPr>
                  <w:r>
                    <w:rPr>
                      <w:color w:val="auto"/>
                    </w:rPr>
                    <w:t>1次/</w:t>
                  </w:r>
                  <w:r>
                    <w:rPr>
                      <w:rFonts w:hint="eastAsia"/>
                      <w:color w:val="auto"/>
                    </w:rPr>
                    <w:t>季度</w:t>
                  </w:r>
                </w:p>
              </w:tc>
              <w:tc>
                <w:tcPr>
                  <w:tcW w:w="2919" w:type="dxa"/>
                  <w:tcBorders>
                    <w:tl2br w:val="nil"/>
                    <w:tr2bl w:val="nil"/>
                  </w:tcBorders>
                  <w:vAlign w:val="center"/>
                </w:tcPr>
                <w:p>
                  <w:pPr>
                    <w:pStyle w:val="84"/>
                    <w:rPr>
                      <w:color w:val="auto"/>
                    </w:rPr>
                  </w:pPr>
                  <w:r>
                    <w:rPr>
                      <w:color w:val="auto"/>
                    </w:rPr>
                    <w:t>《工业企业厂界环境噪声排放标准》（GB12348-2008）</w:t>
                  </w:r>
                  <w:r>
                    <w:rPr>
                      <w:rFonts w:hint="eastAsia"/>
                      <w:color w:val="auto"/>
                    </w:rPr>
                    <w:t>3类标准</w:t>
                  </w:r>
                </w:p>
              </w:tc>
            </w:tr>
          </w:tbl>
          <w:p>
            <w:pPr>
              <w:autoSpaceDE w:val="0"/>
              <w:autoSpaceDN w:val="0"/>
              <w:adjustRightInd w:val="0"/>
              <w:ind w:firstLine="480"/>
              <w:outlineLvl w:val="0"/>
            </w:pPr>
            <w:r>
              <w:rPr>
                <w:rFonts w:hint="eastAsia"/>
              </w:rPr>
              <w:t>4、</w:t>
            </w:r>
            <w:r>
              <w:t>固体废弃物环境影响分析及防治对策</w:t>
            </w:r>
            <w:bookmarkEnd w:id="15"/>
          </w:p>
          <w:p>
            <w:pPr>
              <w:tabs>
                <w:tab w:val="left" w:pos="3808"/>
              </w:tabs>
              <w:adjustRightInd w:val="0"/>
              <w:snapToGrid w:val="0"/>
              <w:ind w:firstLine="480"/>
            </w:pPr>
            <w:r>
              <w:t>运营期</w:t>
            </w:r>
            <w:r>
              <w:rPr>
                <w:rFonts w:hint="eastAsia"/>
              </w:rPr>
              <w:t>产生的</w:t>
            </w:r>
            <w:r>
              <w:t>固体废物</w:t>
            </w:r>
            <w:r>
              <w:rPr>
                <w:rFonts w:hint="eastAsia"/>
              </w:rPr>
              <w:t>主要为</w:t>
            </w:r>
            <w:r>
              <w:t>生产固废，生产固废主要包括</w:t>
            </w:r>
            <w:r>
              <w:rPr>
                <w:rFonts w:hint="eastAsia"/>
              </w:rPr>
              <w:t>地面粉尘、炉渣、除尘灰、废原料包装材料、废机油等。</w:t>
            </w:r>
          </w:p>
          <w:p>
            <w:pPr>
              <w:adjustRightInd w:val="0"/>
              <w:snapToGrid w:val="0"/>
              <w:ind w:firstLine="480"/>
            </w:pPr>
            <w:r>
              <w:t>（1）</w:t>
            </w:r>
            <w:r>
              <w:rPr>
                <w:rFonts w:hint="eastAsia"/>
              </w:rPr>
              <w:t>除尘灰、地面粉尘</w:t>
            </w:r>
          </w:p>
          <w:p>
            <w:pPr>
              <w:ind w:firstLine="480"/>
            </w:pPr>
            <w:r>
              <w:rPr>
                <w:rFonts w:hint="eastAsia"/>
              </w:rPr>
              <w:t>经工程分析计算可得，本项目产生的除尘灰和地面粉尘量约为161.49</w:t>
            </w:r>
            <w:r>
              <w:t>t/a</w:t>
            </w:r>
            <w:r>
              <w:rPr>
                <w:rFonts w:hint="eastAsia"/>
              </w:rPr>
              <w:t>，此部分粉尘经收集后回用于制粒环节。</w:t>
            </w:r>
          </w:p>
          <w:p>
            <w:pPr>
              <w:ind w:firstLine="480"/>
            </w:pPr>
            <w:r>
              <w:rPr>
                <w:rFonts w:hint="eastAsia"/>
              </w:rPr>
              <w:t>（2）炉渣</w:t>
            </w:r>
          </w:p>
          <w:p>
            <w:pPr>
              <w:adjustRightInd w:val="0"/>
              <w:snapToGrid w:val="0"/>
              <w:ind w:firstLine="480"/>
            </w:pPr>
            <w:r>
              <w:rPr>
                <w:rFonts w:hint="eastAsia"/>
              </w:rPr>
              <w:t>根据设备厂家提供的相关资料，项目熔融工序会产生一定炉渣，此部分炉渣主要为SiO</w:t>
            </w:r>
            <w:r>
              <w:rPr>
                <w:rFonts w:hint="eastAsia"/>
                <w:vertAlign w:val="subscript"/>
              </w:rPr>
              <w:t>2</w:t>
            </w:r>
            <w:r>
              <w:rPr>
                <w:rFonts w:hint="eastAsia"/>
              </w:rPr>
              <w:t>等，此部分炉渣产生量约为507t/a，炉渣经收集后可外售作为硅合金原料。</w:t>
            </w:r>
          </w:p>
          <w:p>
            <w:pPr>
              <w:numPr>
                <w:ilvl w:val="0"/>
                <w:numId w:val="10"/>
              </w:numPr>
              <w:autoSpaceDE w:val="0"/>
              <w:autoSpaceDN w:val="0"/>
              <w:adjustRightInd w:val="0"/>
              <w:snapToGrid w:val="0"/>
              <w:ind w:firstLine="480"/>
            </w:pPr>
            <w:r>
              <w:rPr>
                <w:rFonts w:hint="eastAsia"/>
              </w:rPr>
              <w:t>喷淋废渣</w:t>
            </w:r>
          </w:p>
          <w:p>
            <w:pPr>
              <w:ind w:firstLine="480"/>
            </w:pPr>
            <w:r>
              <w:rPr>
                <w:rFonts w:hint="eastAsia"/>
              </w:rPr>
              <w:t>本项目烘干粉尘采用喷淋装置进行除尘，喷淋废水循环使用，池中的底泥经压滤机处理后形成的废渣回用于制粒工序，经分析此部分废渣（含水率约为75%）的量约为67.88t/a。</w:t>
            </w:r>
          </w:p>
          <w:p>
            <w:pPr>
              <w:numPr>
                <w:ilvl w:val="0"/>
                <w:numId w:val="10"/>
              </w:numPr>
              <w:autoSpaceDE w:val="0"/>
              <w:autoSpaceDN w:val="0"/>
              <w:adjustRightInd w:val="0"/>
              <w:snapToGrid w:val="0"/>
              <w:ind w:firstLine="480"/>
            </w:pPr>
            <w:r>
              <w:rPr>
                <w:rFonts w:hint="eastAsia"/>
              </w:rPr>
              <w:t>废原料包装材料</w:t>
            </w:r>
          </w:p>
          <w:p>
            <w:pPr>
              <w:ind w:firstLine="480"/>
            </w:pPr>
            <w:r>
              <w:rPr>
                <w:rFonts w:hint="eastAsia"/>
              </w:rPr>
              <w:t>项目原料为袋装，入厂后会有去包环节，此部分产生的废原料包装材料量约为2.6t/a，此部分包装交由厂家回收利用。</w:t>
            </w:r>
          </w:p>
          <w:p>
            <w:pPr>
              <w:numPr>
                <w:ilvl w:val="0"/>
                <w:numId w:val="10"/>
              </w:numPr>
              <w:ind w:firstLine="480"/>
            </w:pPr>
            <w:r>
              <w:rPr>
                <w:rFonts w:hint="eastAsia"/>
              </w:rPr>
              <w:t>废机油、废油桶</w:t>
            </w:r>
          </w:p>
          <w:p>
            <w:pPr>
              <w:ind w:firstLine="480"/>
            </w:pPr>
            <w:r>
              <w:rPr>
                <w:rFonts w:hint="eastAsia"/>
              </w:rPr>
              <w:t>设备保养过程中会产生一定量废机油，此部分废机油和废油桶的产生量约为0.15t/a，此部分废机油经收集后依托厂区已设的危废暂存间进行暂存，定期交由资质单位进行处理。</w:t>
            </w:r>
          </w:p>
          <w:p>
            <w:pPr>
              <w:autoSpaceDE w:val="0"/>
              <w:autoSpaceDN w:val="0"/>
              <w:adjustRightInd w:val="0"/>
              <w:snapToGrid w:val="0"/>
              <w:ind w:left="480" w:leftChars="200" w:firstLine="0" w:firstLineChars="0"/>
            </w:pPr>
            <w:r>
              <w:t>项目危险废物产生情况见表</w:t>
            </w:r>
            <w:r>
              <w:rPr>
                <w:rFonts w:hint="eastAsia"/>
              </w:rPr>
              <w:t>4-9</w:t>
            </w:r>
            <w:r>
              <w:t>。</w:t>
            </w:r>
          </w:p>
          <w:p>
            <w:pPr>
              <w:pStyle w:val="85"/>
              <w:rPr>
                <w:color w:val="auto"/>
              </w:rPr>
            </w:pPr>
            <w:r>
              <w:rPr>
                <w:color w:val="auto"/>
              </w:rPr>
              <w:t>表</w:t>
            </w:r>
            <w:r>
              <w:rPr>
                <w:rFonts w:hint="eastAsia"/>
                <w:color w:val="auto"/>
              </w:rPr>
              <w:t>4-9</w:t>
            </w:r>
            <w:r>
              <w:rPr>
                <w:color w:val="auto"/>
              </w:rPr>
              <w:t>项目危险废物产生情况表</w:t>
            </w:r>
          </w:p>
          <w:tbl>
            <w:tblPr>
              <w:tblStyle w:val="36"/>
              <w:tblW w:w="75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741"/>
              <w:gridCol w:w="776"/>
              <w:gridCol w:w="1196"/>
              <w:gridCol w:w="901"/>
              <w:gridCol w:w="658"/>
              <w:gridCol w:w="426"/>
              <w:gridCol w:w="937"/>
              <w:gridCol w:w="426"/>
              <w:gridCol w:w="586"/>
              <w:gridCol w:w="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 w:type="dxa"/>
                  <w:tcBorders>
                    <w:tl2br w:val="nil"/>
                    <w:tr2bl w:val="nil"/>
                  </w:tcBorders>
                  <w:vAlign w:val="center"/>
                </w:tcPr>
                <w:p>
                  <w:pPr>
                    <w:pStyle w:val="84"/>
                    <w:rPr>
                      <w:color w:val="auto"/>
                    </w:rPr>
                  </w:pPr>
                  <w:r>
                    <w:rPr>
                      <w:color w:val="auto"/>
                    </w:rPr>
                    <w:t>序号</w:t>
                  </w:r>
                </w:p>
              </w:tc>
              <w:tc>
                <w:tcPr>
                  <w:tcW w:w="741" w:type="dxa"/>
                  <w:tcBorders>
                    <w:tl2br w:val="nil"/>
                    <w:tr2bl w:val="nil"/>
                  </w:tcBorders>
                  <w:vAlign w:val="center"/>
                </w:tcPr>
                <w:p>
                  <w:pPr>
                    <w:pStyle w:val="84"/>
                    <w:rPr>
                      <w:color w:val="auto"/>
                    </w:rPr>
                  </w:pPr>
                  <w:r>
                    <w:rPr>
                      <w:color w:val="auto"/>
                    </w:rPr>
                    <w:t>危险废物名称</w:t>
                  </w:r>
                </w:p>
              </w:tc>
              <w:tc>
                <w:tcPr>
                  <w:tcW w:w="776" w:type="dxa"/>
                  <w:tcBorders>
                    <w:tl2br w:val="nil"/>
                    <w:tr2bl w:val="nil"/>
                  </w:tcBorders>
                  <w:vAlign w:val="center"/>
                </w:tcPr>
                <w:p>
                  <w:pPr>
                    <w:pStyle w:val="84"/>
                    <w:rPr>
                      <w:color w:val="auto"/>
                    </w:rPr>
                  </w:pPr>
                  <w:r>
                    <w:rPr>
                      <w:color w:val="auto"/>
                    </w:rPr>
                    <w:t>危险废物类别</w:t>
                  </w:r>
                </w:p>
              </w:tc>
              <w:tc>
                <w:tcPr>
                  <w:tcW w:w="1196" w:type="dxa"/>
                  <w:tcBorders>
                    <w:tl2br w:val="nil"/>
                    <w:tr2bl w:val="nil"/>
                  </w:tcBorders>
                  <w:vAlign w:val="center"/>
                </w:tcPr>
                <w:p>
                  <w:pPr>
                    <w:pStyle w:val="84"/>
                    <w:rPr>
                      <w:color w:val="auto"/>
                    </w:rPr>
                  </w:pPr>
                  <w:r>
                    <w:rPr>
                      <w:color w:val="auto"/>
                    </w:rPr>
                    <w:t>危险废物代码</w:t>
                  </w:r>
                </w:p>
              </w:tc>
              <w:tc>
                <w:tcPr>
                  <w:tcW w:w="901" w:type="dxa"/>
                  <w:tcBorders>
                    <w:tl2br w:val="nil"/>
                    <w:tr2bl w:val="nil"/>
                  </w:tcBorders>
                  <w:vAlign w:val="center"/>
                </w:tcPr>
                <w:p>
                  <w:pPr>
                    <w:pStyle w:val="84"/>
                    <w:rPr>
                      <w:color w:val="auto"/>
                    </w:rPr>
                  </w:pPr>
                  <w:r>
                    <w:rPr>
                      <w:color w:val="auto"/>
                    </w:rPr>
                    <w:t>产生量</w:t>
                  </w:r>
                </w:p>
              </w:tc>
              <w:tc>
                <w:tcPr>
                  <w:tcW w:w="658" w:type="dxa"/>
                  <w:tcBorders>
                    <w:tl2br w:val="nil"/>
                    <w:tr2bl w:val="nil"/>
                  </w:tcBorders>
                  <w:vAlign w:val="center"/>
                </w:tcPr>
                <w:p>
                  <w:pPr>
                    <w:pStyle w:val="84"/>
                    <w:rPr>
                      <w:color w:val="auto"/>
                    </w:rPr>
                  </w:pPr>
                  <w:r>
                    <w:rPr>
                      <w:color w:val="auto"/>
                    </w:rPr>
                    <w:t>产生工序及装置</w:t>
                  </w:r>
                </w:p>
              </w:tc>
              <w:tc>
                <w:tcPr>
                  <w:tcW w:w="426" w:type="dxa"/>
                  <w:tcBorders>
                    <w:tl2br w:val="nil"/>
                    <w:tr2bl w:val="nil"/>
                  </w:tcBorders>
                  <w:vAlign w:val="center"/>
                </w:tcPr>
                <w:p>
                  <w:pPr>
                    <w:pStyle w:val="84"/>
                    <w:rPr>
                      <w:color w:val="auto"/>
                    </w:rPr>
                  </w:pPr>
                  <w:r>
                    <w:rPr>
                      <w:color w:val="auto"/>
                    </w:rPr>
                    <w:t>形态</w:t>
                  </w:r>
                </w:p>
              </w:tc>
              <w:tc>
                <w:tcPr>
                  <w:tcW w:w="937" w:type="dxa"/>
                  <w:tcBorders>
                    <w:tl2br w:val="nil"/>
                    <w:tr2bl w:val="nil"/>
                  </w:tcBorders>
                  <w:vAlign w:val="center"/>
                </w:tcPr>
                <w:p>
                  <w:pPr>
                    <w:pStyle w:val="84"/>
                    <w:rPr>
                      <w:color w:val="auto"/>
                    </w:rPr>
                  </w:pPr>
                  <w:r>
                    <w:rPr>
                      <w:color w:val="auto"/>
                    </w:rPr>
                    <w:t>主要成分</w:t>
                  </w:r>
                </w:p>
              </w:tc>
              <w:tc>
                <w:tcPr>
                  <w:tcW w:w="426" w:type="dxa"/>
                  <w:tcBorders>
                    <w:tl2br w:val="nil"/>
                    <w:tr2bl w:val="nil"/>
                  </w:tcBorders>
                  <w:vAlign w:val="center"/>
                </w:tcPr>
                <w:p>
                  <w:pPr>
                    <w:pStyle w:val="84"/>
                    <w:rPr>
                      <w:color w:val="auto"/>
                    </w:rPr>
                  </w:pPr>
                  <w:r>
                    <w:rPr>
                      <w:color w:val="auto"/>
                    </w:rPr>
                    <w:t>产废周期</w:t>
                  </w:r>
                </w:p>
              </w:tc>
              <w:tc>
                <w:tcPr>
                  <w:tcW w:w="586" w:type="dxa"/>
                  <w:tcBorders>
                    <w:tl2br w:val="nil"/>
                    <w:tr2bl w:val="nil"/>
                  </w:tcBorders>
                  <w:vAlign w:val="center"/>
                </w:tcPr>
                <w:p>
                  <w:pPr>
                    <w:pStyle w:val="84"/>
                    <w:rPr>
                      <w:color w:val="auto"/>
                    </w:rPr>
                  </w:pPr>
                  <w:r>
                    <w:rPr>
                      <w:color w:val="auto"/>
                    </w:rPr>
                    <w:t>危险特性</w:t>
                  </w:r>
                </w:p>
              </w:tc>
              <w:tc>
                <w:tcPr>
                  <w:tcW w:w="481" w:type="dxa"/>
                  <w:tcBorders>
                    <w:tl2br w:val="nil"/>
                    <w:tr2bl w:val="nil"/>
                  </w:tcBorders>
                  <w:vAlign w:val="center"/>
                </w:tcPr>
                <w:p>
                  <w:pPr>
                    <w:pStyle w:val="84"/>
                    <w:rPr>
                      <w:color w:val="auto"/>
                    </w:rPr>
                  </w:pPr>
                  <w:r>
                    <w:rPr>
                      <w:color w:val="auto"/>
                    </w:rPr>
                    <w:t>污染防治措施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 w:type="dxa"/>
                  <w:tcBorders>
                    <w:tl2br w:val="nil"/>
                    <w:tr2bl w:val="nil"/>
                  </w:tcBorders>
                  <w:vAlign w:val="center"/>
                </w:tcPr>
                <w:p>
                  <w:pPr>
                    <w:pStyle w:val="84"/>
                    <w:rPr>
                      <w:color w:val="auto"/>
                    </w:rPr>
                  </w:pPr>
                  <w:r>
                    <w:rPr>
                      <w:rFonts w:hint="eastAsia"/>
                      <w:color w:val="auto"/>
                    </w:rPr>
                    <w:t>1</w:t>
                  </w:r>
                </w:p>
              </w:tc>
              <w:tc>
                <w:tcPr>
                  <w:tcW w:w="741" w:type="dxa"/>
                  <w:tcBorders>
                    <w:tl2br w:val="nil"/>
                    <w:tr2bl w:val="nil"/>
                  </w:tcBorders>
                  <w:vAlign w:val="center"/>
                </w:tcPr>
                <w:p>
                  <w:pPr>
                    <w:pStyle w:val="84"/>
                    <w:rPr>
                      <w:color w:val="auto"/>
                    </w:rPr>
                  </w:pPr>
                  <w:r>
                    <w:rPr>
                      <w:rFonts w:hint="eastAsia"/>
                      <w:color w:val="auto"/>
                    </w:rPr>
                    <w:t>废机油、废油桶</w:t>
                  </w:r>
                </w:p>
              </w:tc>
              <w:tc>
                <w:tcPr>
                  <w:tcW w:w="776" w:type="dxa"/>
                  <w:tcBorders>
                    <w:tl2br w:val="nil"/>
                    <w:tr2bl w:val="nil"/>
                  </w:tcBorders>
                  <w:vAlign w:val="center"/>
                </w:tcPr>
                <w:p>
                  <w:pPr>
                    <w:pStyle w:val="84"/>
                    <w:rPr>
                      <w:color w:val="auto"/>
                    </w:rPr>
                  </w:pPr>
                  <w:r>
                    <w:rPr>
                      <w:rFonts w:hint="eastAsia"/>
                      <w:color w:val="auto"/>
                    </w:rPr>
                    <w:t>HW08</w:t>
                  </w:r>
                </w:p>
              </w:tc>
              <w:tc>
                <w:tcPr>
                  <w:tcW w:w="1196" w:type="dxa"/>
                  <w:tcBorders>
                    <w:tl2br w:val="nil"/>
                    <w:tr2bl w:val="nil"/>
                  </w:tcBorders>
                  <w:vAlign w:val="center"/>
                </w:tcPr>
                <w:p>
                  <w:pPr>
                    <w:pStyle w:val="84"/>
                    <w:rPr>
                      <w:color w:val="auto"/>
                    </w:rPr>
                  </w:pPr>
                  <w:r>
                    <w:rPr>
                      <w:rFonts w:hint="eastAsia"/>
                      <w:color w:val="auto"/>
                    </w:rPr>
                    <w:t>900-217-08</w:t>
                  </w:r>
                </w:p>
              </w:tc>
              <w:tc>
                <w:tcPr>
                  <w:tcW w:w="901" w:type="dxa"/>
                  <w:tcBorders>
                    <w:tl2br w:val="nil"/>
                    <w:tr2bl w:val="nil"/>
                  </w:tcBorders>
                  <w:vAlign w:val="center"/>
                </w:tcPr>
                <w:p>
                  <w:pPr>
                    <w:pStyle w:val="84"/>
                    <w:rPr>
                      <w:color w:val="auto"/>
                    </w:rPr>
                  </w:pPr>
                  <w:r>
                    <w:rPr>
                      <w:rFonts w:hint="eastAsia"/>
                      <w:color w:val="auto"/>
                    </w:rPr>
                    <w:t>0.15t/a</w:t>
                  </w:r>
                </w:p>
              </w:tc>
              <w:tc>
                <w:tcPr>
                  <w:tcW w:w="658" w:type="dxa"/>
                  <w:tcBorders>
                    <w:tl2br w:val="nil"/>
                    <w:tr2bl w:val="nil"/>
                  </w:tcBorders>
                  <w:vAlign w:val="center"/>
                </w:tcPr>
                <w:p>
                  <w:pPr>
                    <w:pStyle w:val="84"/>
                    <w:rPr>
                      <w:color w:val="auto"/>
                    </w:rPr>
                  </w:pPr>
                  <w:r>
                    <w:rPr>
                      <w:rFonts w:hint="eastAsia"/>
                      <w:color w:val="auto"/>
                    </w:rPr>
                    <w:t>设备维修、保养</w:t>
                  </w:r>
                </w:p>
              </w:tc>
              <w:tc>
                <w:tcPr>
                  <w:tcW w:w="426" w:type="dxa"/>
                  <w:tcBorders>
                    <w:tl2br w:val="nil"/>
                    <w:tr2bl w:val="nil"/>
                  </w:tcBorders>
                  <w:vAlign w:val="center"/>
                </w:tcPr>
                <w:p>
                  <w:pPr>
                    <w:pStyle w:val="84"/>
                    <w:rPr>
                      <w:color w:val="auto"/>
                    </w:rPr>
                  </w:pPr>
                  <w:r>
                    <w:rPr>
                      <w:rFonts w:hint="eastAsia"/>
                      <w:color w:val="auto"/>
                    </w:rPr>
                    <w:t>固态</w:t>
                  </w:r>
                </w:p>
              </w:tc>
              <w:tc>
                <w:tcPr>
                  <w:tcW w:w="937" w:type="dxa"/>
                  <w:tcBorders>
                    <w:tl2br w:val="nil"/>
                    <w:tr2bl w:val="nil"/>
                  </w:tcBorders>
                  <w:vAlign w:val="center"/>
                </w:tcPr>
                <w:p>
                  <w:pPr>
                    <w:pStyle w:val="84"/>
                    <w:rPr>
                      <w:color w:val="auto"/>
                    </w:rPr>
                  </w:pPr>
                  <w:r>
                    <w:rPr>
                      <w:rFonts w:hint="eastAsia"/>
                      <w:color w:val="auto"/>
                    </w:rPr>
                    <w:t>矿物油</w:t>
                  </w:r>
                </w:p>
              </w:tc>
              <w:tc>
                <w:tcPr>
                  <w:tcW w:w="426" w:type="dxa"/>
                  <w:tcBorders>
                    <w:tl2br w:val="nil"/>
                    <w:tr2bl w:val="nil"/>
                  </w:tcBorders>
                  <w:vAlign w:val="center"/>
                </w:tcPr>
                <w:p>
                  <w:pPr>
                    <w:pStyle w:val="84"/>
                    <w:rPr>
                      <w:color w:val="auto"/>
                    </w:rPr>
                  </w:pPr>
                  <w:r>
                    <w:rPr>
                      <w:color w:val="auto"/>
                    </w:rPr>
                    <w:t>间断</w:t>
                  </w:r>
                </w:p>
              </w:tc>
              <w:tc>
                <w:tcPr>
                  <w:tcW w:w="586" w:type="dxa"/>
                  <w:tcBorders>
                    <w:tl2br w:val="nil"/>
                    <w:tr2bl w:val="nil"/>
                  </w:tcBorders>
                  <w:vAlign w:val="center"/>
                </w:tcPr>
                <w:p>
                  <w:pPr>
                    <w:pStyle w:val="84"/>
                    <w:rPr>
                      <w:color w:val="auto"/>
                    </w:rPr>
                  </w:pPr>
                  <w:r>
                    <w:rPr>
                      <w:color w:val="auto"/>
                    </w:rPr>
                    <w:t>毒性</w:t>
                  </w:r>
                </w:p>
              </w:tc>
              <w:tc>
                <w:tcPr>
                  <w:tcW w:w="481" w:type="dxa"/>
                  <w:tcBorders>
                    <w:tl2br w:val="nil"/>
                    <w:tr2bl w:val="nil"/>
                  </w:tcBorders>
                  <w:vAlign w:val="center"/>
                </w:tcPr>
                <w:p>
                  <w:pPr>
                    <w:pStyle w:val="84"/>
                    <w:rPr>
                      <w:color w:val="auto"/>
                    </w:rPr>
                  </w:pPr>
                </w:p>
              </w:tc>
            </w:tr>
          </w:tbl>
          <w:p>
            <w:pPr>
              <w:autoSpaceDE w:val="0"/>
              <w:autoSpaceDN w:val="0"/>
              <w:adjustRightInd w:val="0"/>
              <w:spacing w:beforeLines="50"/>
              <w:ind w:firstLine="480"/>
              <w:jc w:val="left"/>
            </w:pPr>
            <w:r>
              <w:t>本项目固废产生情况详见表</w:t>
            </w:r>
            <w:r>
              <w:rPr>
                <w:rFonts w:hint="eastAsia"/>
              </w:rPr>
              <w:t>4-10</w:t>
            </w:r>
            <w:r>
              <w:t>，项目运营期固废去向明确，不产生二次污染。</w:t>
            </w:r>
          </w:p>
          <w:p>
            <w:pPr>
              <w:pStyle w:val="85"/>
              <w:rPr>
                <w:color w:val="auto"/>
              </w:rPr>
            </w:pPr>
            <w:r>
              <w:rPr>
                <w:color w:val="auto"/>
              </w:rPr>
              <w:t>表</w:t>
            </w:r>
            <w:r>
              <w:rPr>
                <w:rFonts w:hint="eastAsia"/>
                <w:color w:val="auto"/>
              </w:rPr>
              <w:t>4-10</w:t>
            </w:r>
            <w:r>
              <w:rPr>
                <w:color w:val="auto"/>
              </w:rPr>
              <w:t>固体废弃物产排情况一览表</w:t>
            </w:r>
          </w:p>
          <w:tbl>
            <w:tblPr>
              <w:tblStyle w:val="36"/>
              <w:tblW w:w="75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1163"/>
              <w:gridCol w:w="587"/>
              <w:gridCol w:w="1758"/>
              <w:gridCol w:w="1088"/>
              <w:gridCol w:w="1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13" w:type="dxa"/>
                  <w:tcBorders>
                    <w:tl2br w:val="nil"/>
                    <w:tr2bl w:val="nil"/>
                  </w:tcBorders>
                  <w:vAlign w:val="center"/>
                </w:tcPr>
                <w:p>
                  <w:pPr>
                    <w:pStyle w:val="84"/>
                    <w:rPr>
                      <w:color w:val="auto"/>
                    </w:rPr>
                  </w:pPr>
                  <w:r>
                    <w:rPr>
                      <w:color w:val="auto"/>
                    </w:rPr>
                    <w:t>污染物名称</w:t>
                  </w:r>
                </w:p>
              </w:tc>
              <w:tc>
                <w:tcPr>
                  <w:tcW w:w="1163" w:type="dxa"/>
                  <w:tcBorders>
                    <w:tl2br w:val="nil"/>
                    <w:tr2bl w:val="nil"/>
                  </w:tcBorders>
                  <w:vAlign w:val="center"/>
                </w:tcPr>
                <w:p>
                  <w:pPr>
                    <w:pStyle w:val="84"/>
                    <w:rPr>
                      <w:color w:val="auto"/>
                    </w:rPr>
                  </w:pPr>
                  <w:r>
                    <w:rPr>
                      <w:color w:val="auto"/>
                    </w:rPr>
                    <w:t>产生工段</w:t>
                  </w:r>
                </w:p>
              </w:tc>
              <w:tc>
                <w:tcPr>
                  <w:tcW w:w="2345" w:type="dxa"/>
                  <w:gridSpan w:val="2"/>
                  <w:tcBorders>
                    <w:tl2br w:val="nil"/>
                    <w:tr2bl w:val="nil"/>
                  </w:tcBorders>
                  <w:vAlign w:val="center"/>
                </w:tcPr>
                <w:p>
                  <w:pPr>
                    <w:pStyle w:val="84"/>
                    <w:rPr>
                      <w:color w:val="auto"/>
                    </w:rPr>
                  </w:pPr>
                  <w:r>
                    <w:rPr>
                      <w:color w:val="auto"/>
                    </w:rPr>
                    <w:t>性质</w:t>
                  </w:r>
                </w:p>
              </w:tc>
              <w:tc>
                <w:tcPr>
                  <w:tcW w:w="1088" w:type="dxa"/>
                  <w:tcBorders>
                    <w:tl2br w:val="nil"/>
                    <w:tr2bl w:val="nil"/>
                  </w:tcBorders>
                  <w:vAlign w:val="center"/>
                </w:tcPr>
                <w:p>
                  <w:pPr>
                    <w:pStyle w:val="84"/>
                    <w:rPr>
                      <w:color w:val="auto"/>
                    </w:rPr>
                  </w:pPr>
                  <w:r>
                    <w:rPr>
                      <w:color w:val="auto"/>
                    </w:rPr>
                    <w:t>产生量</w:t>
                  </w:r>
                </w:p>
              </w:tc>
              <w:tc>
                <w:tcPr>
                  <w:tcW w:w="1848" w:type="dxa"/>
                  <w:tcBorders>
                    <w:tl2br w:val="nil"/>
                    <w:tr2bl w:val="nil"/>
                  </w:tcBorders>
                  <w:vAlign w:val="center"/>
                </w:tcPr>
                <w:p>
                  <w:pPr>
                    <w:pStyle w:val="84"/>
                    <w:rPr>
                      <w:color w:val="auto"/>
                    </w:rPr>
                  </w:pPr>
                  <w:r>
                    <w:rPr>
                      <w:color w:val="auto"/>
                    </w:rPr>
                    <w:t>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113" w:type="dxa"/>
                  <w:tcBorders>
                    <w:tl2br w:val="nil"/>
                    <w:tr2bl w:val="nil"/>
                  </w:tcBorders>
                  <w:vAlign w:val="center"/>
                </w:tcPr>
                <w:p>
                  <w:pPr>
                    <w:pStyle w:val="84"/>
                    <w:rPr>
                      <w:color w:val="auto"/>
                    </w:rPr>
                  </w:pPr>
                  <w:r>
                    <w:rPr>
                      <w:rFonts w:hint="eastAsia"/>
                      <w:color w:val="auto"/>
                    </w:rPr>
                    <w:t>除尘灰、地面粉尘</w:t>
                  </w:r>
                </w:p>
              </w:tc>
              <w:tc>
                <w:tcPr>
                  <w:tcW w:w="1163" w:type="dxa"/>
                  <w:vMerge w:val="restart"/>
                  <w:tcBorders>
                    <w:tl2br w:val="nil"/>
                    <w:tr2bl w:val="nil"/>
                  </w:tcBorders>
                  <w:vAlign w:val="center"/>
                </w:tcPr>
                <w:p>
                  <w:pPr>
                    <w:pStyle w:val="84"/>
                    <w:rPr>
                      <w:color w:val="auto"/>
                    </w:rPr>
                  </w:pPr>
                  <w:r>
                    <w:rPr>
                      <w:rFonts w:hint="eastAsia"/>
                      <w:color w:val="auto"/>
                    </w:rPr>
                    <w:t>除尘环节</w:t>
                  </w:r>
                </w:p>
              </w:tc>
              <w:tc>
                <w:tcPr>
                  <w:tcW w:w="587" w:type="dxa"/>
                  <w:vMerge w:val="restart"/>
                  <w:tcBorders>
                    <w:tl2br w:val="nil"/>
                    <w:tr2bl w:val="nil"/>
                  </w:tcBorders>
                  <w:vAlign w:val="center"/>
                </w:tcPr>
                <w:p>
                  <w:pPr>
                    <w:pStyle w:val="84"/>
                    <w:rPr>
                      <w:color w:val="auto"/>
                    </w:rPr>
                  </w:pPr>
                  <w:r>
                    <w:rPr>
                      <w:color w:val="auto"/>
                    </w:rPr>
                    <w:t>一般固废</w:t>
                  </w:r>
                </w:p>
              </w:tc>
              <w:tc>
                <w:tcPr>
                  <w:tcW w:w="1758" w:type="dxa"/>
                  <w:tcBorders>
                    <w:tl2br w:val="nil"/>
                    <w:tr2bl w:val="nil"/>
                  </w:tcBorders>
                  <w:vAlign w:val="center"/>
                </w:tcPr>
                <w:p>
                  <w:pPr>
                    <w:pStyle w:val="84"/>
                    <w:rPr>
                      <w:color w:val="auto"/>
                    </w:rPr>
                  </w:pPr>
                  <w:r>
                    <w:rPr>
                      <w:rFonts w:hint="eastAsia"/>
                      <w:color w:val="auto"/>
                    </w:rPr>
                    <w:t>/</w:t>
                  </w:r>
                </w:p>
              </w:tc>
              <w:tc>
                <w:tcPr>
                  <w:tcW w:w="1088" w:type="dxa"/>
                  <w:tcBorders>
                    <w:tl2br w:val="nil"/>
                    <w:tr2bl w:val="nil"/>
                  </w:tcBorders>
                  <w:vAlign w:val="center"/>
                </w:tcPr>
                <w:p>
                  <w:pPr>
                    <w:pStyle w:val="84"/>
                    <w:rPr>
                      <w:color w:val="auto"/>
                    </w:rPr>
                  </w:pPr>
                  <w:r>
                    <w:rPr>
                      <w:rFonts w:hint="eastAsia"/>
                      <w:color w:val="auto"/>
                    </w:rPr>
                    <w:t>161.49</w:t>
                  </w:r>
                  <w:r>
                    <w:rPr>
                      <w:color w:val="auto"/>
                    </w:rPr>
                    <w:t>t/a</w:t>
                  </w:r>
                </w:p>
              </w:tc>
              <w:tc>
                <w:tcPr>
                  <w:tcW w:w="1848" w:type="dxa"/>
                  <w:vMerge w:val="restart"/>
                  <w:tcBorders>
                    <w:tl2br w:val="nil"/>
                    <w:tr2bl w:val="nil"/>
                  </w:tcBorders>
                  <w:vAlign w:val="center"/>
                </w:tcPr>
                <w:p>
                  <w:pPr>
                    <w:pStyle w:val="84"/>
                    <w:rPr>
                      <w:color w:val="auto"/>
                    </w:rPr>
                  </w:pPr>
                  <w:r>
                    <w:rPr>
                      <w:rFonts w:hint="eastAsia"/>
                      <w:color w:val="auto"/>
                    </w:rPr>
                    <w:t>收集后回用于制粒环节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jc w:val="center"/>
              </w:trPr>
              <w:tc>
                <w:tcPr>
                  <w:tcW w:w="1113" w:type="dxa"/>
                  <w:tcBorders>
                    <w:tl2br w:val="nil"/>
                    <w:tr2bl w:val="nil"/>
                  </w:tcBorders>
                  <w:vAlign w:val="center"/>
                </w:tcPr>
                <w:p>
                  <w:pPr>
                    <w:pStyle w:val="84"/>
                    <w:rPr>
                      <w:color w:val="auto"/>
                    </w:rPr>
                  </w:pPr>
                  <w:r>
                    <w:rPr>
                      <w:rFonts w:hint="eastAsia"/>
                      <w:color w:val="auto"/>
                    </w:rPr>
                    <w:t>喷淋废渣</w:t>
                  </w:r>
                </w:p>
              </w:tc>
              <w:tc>
                <w:tcPr>
                  <w:tcW w:w="1163" w:type="dxa"/>
                  <w:vMerge w:val="continue"/>
                  <w:tcBorders>
                    <w:tl2br w:val="nil"/>
                    <w:tr2bl w:val="nil"/>
                  </w:tcBorders>
                  <w:vAlign w:val="center"/>
                </w:tcPr>
                <w:p>
                  <w:pPr>
                    <w:pStyle w:val="84"/>
                    <w:rPr>
                      <w:color w:val="auto"/>
                    </w:rPr>
                  </w:pPr>
                </w:p>
              </w:tc>
              <w:tc>
                <w:tcPr>
                  <w:tcW w:w="587" w:type="dxa"/>
                  <w:vMerge w:val="continue"/>
                  <w:tcBorders>
                    <w:tl2br w:val="nil"/>
                    <w:tr2bl w:val="nil"/>
                  </w:tcBorders>
                  <w:vAlign w:val="center"/>
                </w:tcPr>
                <w:p>
                  <w:pPr>
                    <w:pStyle w:val="84"/>
                    <w:rPr>
                      <w:color w:val="auto"/>
                    </w:rPr>
                  </w:pPr>
                </w:p>
              </w:tc>
              <w:tc>
                <w:tcPr>
                  <w:tcW w:w="1758" w:type="dxa"/>
                  <w:tcBorders>
                    <w:tl2br w:val="nil"/>
                    <w:tr2bl w:val="nil"/>
                  </w:tcBorders>
                  <w:vAlign w:val="center"/>
                </w:tcPr>
                <w:p>
                  <w:pPr>
                    <w:pStyle w:val="84"/>
                    <w:rPr>
                      <w:color w:val="auto"/>
                    </w:rPr>
                  </w:pPr>
                  <w:r>
                    <w:rPr>
                      <w:rFonts w:hint="eastAsia"/>
                      <w:color w:val="auto"/>
                    </w:rPr>
                    <w:t>/</w:t>
                  </w:r>
                </w:p>
              </w:tc>
              <w:tc>
                <w:tcPr>
                  <w:tcW w:w="1088" w:type="dxa"/>
                  <w:tcBorders>
                    <w:tl2br w:val="nil"/>
                    <w:tr2bl w:val="nil"/>
                  </w:tcBorders>
                  <w:vAlign w:val="center"/>
                </w:tcPr>
                <w:p>
                  <w:pPr>
                    <w:pStyle w:val="84"/>
                    <w:rPr>
                      <w:color w:val="auto"/>
                    </w:rPr>
                  </w:pPr>
                  <w:r>
                    <w:rPr>
                      <w:rFonts w:hint="eastAsia"/>
                      <w:color w:val="auto"/>
                    </w:rPr>
                    <w:t>67.88</w:t>
                  </w:r>
                  <w:r>
                    <w:rPr>
                      <w:color w:val="auto"/>
                    </w:rPr>
                    <w:t>t/a</w:t>
                  </w:r>
                </w:p>
              </w:tc>
              <w:tc>
                <w:tcPr>
                  <w:tcW w:w="1848" w:type="dxa"/>
                  <w:vMerge w:val="continue"/>
                  <w:tcBorders>
                    <w:tl2br w:val="nil"/>
                    <w:tr2bl w:val="nil"/>
                  </w:tcBorders>
                  <w:vAlign w:val="center"/>
                </w:tcPr>
                <w:p>
                  <w:pPr>
                    <w:pStyle w:val="84"/>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13" w:type="dxa"/>
                  <w:tcBorders>
                    <w:tl2br w:val="nil"/>
                    <w:tr2bl w:val="nil"/>
                  </w:tcBorders>
                  <w:vAlign w:val="center"/>
                </w:tcPr>
                <w:p>
                  <w:pPr>
                    <w:pStyle w:val="84"/>
                    <w:rPr>
                      <w:color w:val="auto"/>
                    </w:rPr>
                  </w:pPr>
                  <w:r>
                    <w:rPr>
                      <w:rFonts w:hint="eastAsia"/>
                      <w:color w:val="auto"/>
                    </w:rPr>
                    <w:t>炉渣</w:t>
                  </w:r>
                </w:p>
              </w:tc>
              <w:tc>
                <w:tcPr>
                  <w:tcW w:w="1163" w:type="dxa"/>
                  <w:tcBorders>
                    <w:tl2br w:val="nil"/>
                    <w:tr2bl w:val="nil"/>
                  </w:tcBorders>
                  <w:vAlign w:val="center"/>
                </w:tcPr>
                <w:p>
                  <w:pPr>
                    <w:pStyle w:val="84"/>
                    <w:rPr>
                      <w:color w:val="auto"/>
                    </w:rPr>
                  </w:pPr>
                  <w:r>
                    <w:rPr>
                      <w:rFonts w:hint="eastAsia"/>
                      <w:color w:val="auto"/>
                    </w:rPr>
                    <w:t>熔融过程</w:t>
                  </w:r>
                </w:p>
              </w:tc>
              <w:tc>
                <w:tcPr>
                  <w:tcW w:w="587" w:type="dxa"/>
                  <w:vMerge w:val="continue"/>
                  <w:tcBorders>
                    <w:tl2br w:val="nil"/>
                    <w:tr2bl w:val="nil"/>
                  </w:tcBorders>
                  <w:vAlign w:val="center"/>
                </w:tcPr>
                <w:p>
                  <w:pPr>
                    <w:pStyle w:val="84"/>
                    <w:rPr>
                      <w:color w:val="auto"/>
                    </w:rPr>
                  </w:pPr>
                </w:p>
              </w:tc>
              <w:tc>
                <w:tcPr>
                  <w:tcW w:w="1758" w:type="dxa"/>
                  <w:tcBorders>
                    <w:tl2br w:val="nil"/>
                    <w:tr2bl w:val="nil"/>
                  </w:tcBorders>
                  <w:vAlign w:val="center"/>
                </w:tcPr>
                <w:p>
                  <w:pPr>
                    <w:pStyle w:val="84"/>
                    <w:rPr>
                      <w:color w:val="auto"/>
                    </w:rPr>
                  </w:pPr>
                  <w:r>
                    <w:rPr>
                      <w:rFonts w:hint="eastAsia"/>
                      <w:color w:val="auto"/>
                    </w:rPr>
                    <w:t>/</w:t>
                  </w:r>
                </w:p>
              </w:tc>
              <w:tc>
                <w:tcPr>
                  <w:tcW w:w="1088" w:type="dxa"/>
                  <w:tcBorders>
                    <w:tl2br w:val="nil"/>
                    <w:tr2bl w:val="nil"/>
                  </w:tcBorders>
                  <w:vAlign w:val="center"/>
                </w:tcPr>
                <w:p>
                  <w:pPr>
                    <w:pStyle w:val="84"/>
                    <w:rPr>
                      <w:color w:val="auto"/>
                    </w:rPr>
                  </w:pPr>
                  <w:r>
                    <w:rPr>
                      <w:rFonts w:hint="eastAsia"/>
                      <w:color w:val="auto"/>
                    </w:rPr>
                    <w:t>507</w:t>
                  </w:r>
                  <w:r>
                    <w:rPr>
                      <w:color w:val="auto"/>
                    </w:rPr>
                    <w:t>t/a</w:t>
                  </w:r>
                </w:p>
              </w:tc>
              <w:tc>
                <w:tcPr>
                  <w:tcW w:w="1848" w:type="dxa"/>
                  <w:tcBorders>
                    <w:tl2br w:val="nil"/>
                    <w:tr2bl w:val="nil"/>
                  </w:tcBorders>
                  <w:vAlign w:val="center"/>
                </w:tcPr>
                <w:p>
                  <w:pPr>
                    <w:pStyle w:val="84"/>
                    <w:rPr>
                      <w:color w:val="auto"/>
                    </w:rPr>
                  </w:pPr>
                  <w:r>
                    <w:rPr>
                      <w:rFonts w:hint="eastAsia"/>
                      <w:color w:val="auto"/>
                    </w:rPr>
                    <w:t>收集后可外售作为硅合金原料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13" w:type="dxa"/>
                  <w:tcBorders>
                    <w:tl2br w:val="nil"/>
                    <w:tr2bl w:val="nil"/>
                  </w:tcBorders>
                  <w:vAlign w:val="center"/>
                </w:tcPr>
                <w:p>
                  <w:pPr>
                    <w:pStyle w:val="84"/>
                    <w:rPr>
                      <w:color w:val="auto"/>
                    </w:rPr>
                  </w:pPr>
                  <w:r>
                    <w:rPr>
                      <w:rFonts w:hint="eastAsia"/>
                      <w:color w:val="auto"/>
                    </w:rPr>
                    <w:t>废原料包装材料</w:t>
                  </w:r>
                </w:p>
              </w:tc>
              <w:tc>
                <w:tcPr>
                  <w:tcW w:w="1163" w:type="dxa"/>
                  <w:tcBorders>
                    <w:tl2br w:val="nil"/>
                    <w:tr2bl w:val="nil"/>
                  </w:tcBorders>
                  <w:vAlign w:val="center"/>
                </w:tcPr>
                <w:p>
                  <w:pPr>
                    <w:pStyle w:val="84"/>
                    <w:rPr>
                      <w:color w:val="auto"/>
                    </w:rPr>
                  </w:pPr>
                  <w:r>
                    <w:rPr>
                      <w:rFonts w:hint="eastAsia"/>
                      <w:color w:val="auto"/>
                    </w:rPr>
                    <w:t>去包装过程</w:t>
                  </w:r>
                </w:p>
              </w:tc>
              <w:tc>
                <w:tcPr>
                  <w:tcW w:w="587" w:type="dxa"/>
                  <w:vMerge w:val="continue"/>
                  <w:tcBorders>
                    <w:tl2br w:val="nil"/>
                    <w:tr2bl w:val="nil"/>
                  </w:tcBorders>
                  <w:vAlign w:val="center"/>
                </w:tcPr>
                <w:p>
                  <w:pPr>
                    <w:pStyle w:val="84"/>
                    <w:rPr>
                      <w:color w:val="auto"/>
                    </w:rPr>
                  </w:pPr>
                </w:p>
              </w:tc>
              <w:tc>
                <w:tcPr>
                  <w:tcW w:w="1758" w:type="dxa"/>
                  <w:tcBorders>
                    <w:tl2br w:val="nil"/>
                    <w:tr2bl w:val="nil"/>
                  </w:tcBorders>
                  <w:vAlign w:val="center"/>
                </w:tcPr>
                <w:p>
                  <w:pPr>
                    <w:pStyle w:val="84"/>
                    <w:rPr>
                      <w:color w:val="auto"/>
                    </w:rPr>
                  </w:pPr>
                  <w:r>
                    <w:rPr>
                      <w:rFonts w:hint="eastAsia"/>
                      <w:color w:val="auto"/>
                    </w:rPr>
                    <w:t>/</w:t>
                  </w:r>
                </w:p>
              </w:tc>
              <w:tc>
                <w:tcPr>
                  <w:tcW w:w="1088" w:type="dxa"/>
                  <w:tcBorders>
                    <w:tl2br w:val="nil"/>
                    <w:tr2bl w:val="nil"/>
                  </w:tcBorders>
                  <w:vAlign w:val="center"/>
                </w:tcPr>
                <w:p>
                  <w:pPr>
                    <w:pStyle w:val="84"/>
                    <w:rPr>
                      <w:color w:val="auto"/>
                    </w:rPr>
                  </w:pPr>
                  <w:r>
                    <w:rPr>
                      <w:rFonts w:hint="eastAsia"/>
                      <w:color w:val="auto"/>
                    </w:rPr>
                    <w:t>2.6</w:t>
                  </w:r>
                </w:p>
              </w:tc>
              <w:tc>
                <w:tcPr>
                  <w:tcW w:w="1848" w:type="dxa"/>
                  <w:tcBorders>
                    <w:tl2br w:val="nil"/>
                    <w:tr2bl w:val="nil"/>
                  </w:tcBorders>
                  <w:vAlign w:val="center"/>
                </w:tcPr>
                <w:p>
                  <w:pPr>
                    <w:pStyle w:val="84"/>
                    <w:rPr>
                      <w:color w:val="auto"/>
                    </w:rPr>
                  </w:pPr>
                  <w:r>
                    <w:rPr>
                      <w:rFonts w:hint="eastAsia"/>
                      <w:color w:val="auto"/>
                    </w:rPr>
                    <w:t>交由厂家回收处理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13" w:type="dxa"/>
                  <w:tcBorders>
                    <w:tl2br w:val="nil"/>
                    <w:tr2bl w:val="nil"/>
                  </w:tcBorders>
                  <w:vAlign w:val="center"/>
                </w:tcPr>
                <w:p>
                  <w:pPr>
                    <w:pStyle w:val="84"/>
                    <w:rPr>
                      <w:color w:val="auto"/>
                    </w:rPr>
                  </w:pPr>
                  <w:r>
                    <w:rPr>
                      <w:rFonts w:hint="eastAsia"/>
                      <w:color w:val="auto"/>
                    </w:rPr>
                    <w:t>废机油、废油桶</w:t>
                  </w:r>
                </w:p>
              </w:tc>
              <w:tc>
                <w:tcPr>
                  <w:tcW w:w="1163" w:type="dxa"/>
                  <w:tcBorders>
                    <w:tl2br w:val="nil"/>
                    <w:tr2bl w:val="nil"/>
                  </w:tcBorders>
                  <w:vAlign w:val="center"/>
                </w:tcPr>
                <w:p>
                  <w:pPr>
                    <w:pStyle w:val="84"/>
                    <w:rPr>
                      <w:color w:val="auto"/>
                    </w:rPr>
                  </w:pPr>
                  <w:r>
                    <w:rPr>
                      <w:rFonts w:hint="eastAsia"/>
                      <w:color w:val="auto"/>
                    </w:rPr>
                    <w:t>设备维修、保养</w:t>
                  </w:r>
                </w:p>
              </w:tc>
              <w:tc>
                <w:tcPr>
                  <w:tcW w:w="587" w:type="dxa"/>
                  <w:tcBorders>
                    <w:tl2br w:val="nil"/>
                    <w:tr2bl w:val="nil"/>
                  </w:tcBorders>
                  <w:vAlign w:val="center"/>
                </w:tcPr>
                <w:p>
                  <w:pPr>
                    <w:pStyle w:val="84"/>
                    <w:rPr>
                      <w:color w:val="auto"/>
                    </w:rPr>
                  </w:pPr>
                  <w:r>
                    <w:rPr>
                      <w:rFonts w:hint="eastAsia"/>
                      <w:color w:val="auto"/>
                    </w:rPr>
                    <w:t>危险固废</w:t>
                  </w:r>
                </w:p>
              </w:tc>
              <w:tc>
                <w:tcPr>
                  <w:tcW w:w="1758" w:type="dxa"/>
                  <w:tcBorders>
                    <w:tl2br w:val="nil"/>
                    <w:tr2bl w:val="nil"/>
                  </w:tcBorders>
                  <w:vAlign w:val="center"/>
                </w:tcPr>
                <w:p>
                  <w:pPr>
                    <w:pStyle w:val="84"/>
                    <w:rPr>
                      <w:color w:val="auto"/>
                    </w:rPr>
                  </w:pPr>
                  <w:r>
                    <w:rPr>
                      <w:rFonts w:hint="eastAsia"/>
                      <w:color w:val="auto"/>
                    </w:rPr>
                    <w:t>HW08900-217-08</w:t>
                  </w:r>
                </w:p>
              </w:tc>
              <w:tc>
                <w:tcPr>
                  <w:tcW w:w="1088" w:type="dxa"/>
                  <w:tcBorders>
                    <w:tl2br w:val="nil"/>
                    <w:tr2bl w:val="nil"/>
                  </w:tcBorders>
                  <w:vAlign w:val="center"/>
                </w:tcPr>
                <w:p>
                  <w:pPr>
                    <w:pStyle w:val="84"/>
                    <w:rPr>
                      <w:color w:val="auto"/>
                    </w:rPr>
                  </w:pPr>
                  <w:r>
                    <w:rPr>
                      <w:rFonts w:hint="eastAsia"/>
                      <w:color w:val="auto"/>
                    </w:rPr>
                    <w:t>0.15</w:t>
                  </w:r>
                  <w:r>
                    <w:rPr>
                      <w:color w:val="auto"/>
                    </w:rPr>
                    <w:t>t/a</w:t>
                  </w:r>
                </w:p>
              </w:tc>
              <w:tc>
                <w:tcPr>
                  <w:tcW w:w="1848" w:type="dxa"/>
                  <w:tcBorders>
                    <w:tl2br w:val="nil"/>
                    <w:tr2bl w:val="nil"/>
                  </w:tcBorders>
                  <w:vAlign w:val="center"/>
                </w:tcPr>
                <w:p>
                  <w:pPr>
                    <w:pStyle w:val="84"/>
                    <w:rPr>
                      <w:color w:val="auto"/>
                    </w:rPr>
                  </w:pPr>
                  <w:r>
                    <w:rPr>
                      <w:rFonts w:hint="eastAsia"/>
                      <w:color w:val="auto"/>
                    </w:rPr>
                    <w:t>委托有资质单位处置</w:t>
                  </w:r>
                </w:p>
              </w:tc>
            </w:tr>
          </w:tbl>
          <w:p>
            <w:pPr>
              <w:autoSpaceDE w:val="0"/>
              <w:autoSpaceDN w:val="0"/>
              <w:adjustRightInd w:val="0"/>
              <w:ind w:firstLine="480"/>
            </w:pPr>
            <w:r>
              <w:rPr>
                <w:rFonts w:hint="eastAsia"/>
              </w:rPr>
              <w:t>本项目于厂区东侧中部位置设置一处炉渣暂存区，约20m</w:t>
            </w:r>
            <w:r>
              <w:rPr>
                <w:rFonts w:hint="eastAsia"/>
                <w:vertAlign w:val="superscript"/>
              </w:rPr>
              <w:t>2</w:t>
            </w:r>
            <w:r>
              <w:rPr>
                <w:rFonts w:hint="eastAsia"/>
              </w:rPr>
              <w:t>；硅渣暂存区的建设按照一般固体废物的贮存要求执行，一般固体废物的贮存应参照</w:t>
            </w:r>
            <w:r>
              <w:t>《一般工业固体废物贮存和填埋污染控制标准》（GB18599-2020）</w:t>
            </w:r>
            <w:r>
              <w:rPr>
                <w:rFonts w:hint="eastAsia"/>
              </w:rPr>
              <w:t>中的规定执行，建设必要的固废分类收集和临时贮存设施，具体要求如下：</w:t>
            </w:r>
          </w:p>
          <w:p>
            <w:pPr>
              <w:autoSpaceDE w:val="0"/>
              <w:autoSpaceDN w:val="0"/>
              <w:adjustRightInd w:val="0"/>
              <w:ind w:firstLine="480"/>
            </w:pPr>
            <w:r>
              <w:rPr>
                <w:rFonts w:hint="eastAsia"/>
              </w:rPr>
              <w:t>①一般工业固体废物应分类收集、储存，不能混存。</w:t>
            </w:r>
          </w:p>
          <w:p>
            <w:pPr>
              <w:autoSpaceDE w:val="0"/>
              <w:autoSpaceDN w:val="0"/>
              <w:adjustRightInd w:val="0"/>
              <w:ind w:firstLine="480"/>
            </w:pPr>
            <w:r>
              <w:rPr>
                <w:rFonts w:hint="eastAsia"/>
              </w:rPr>
              <w:t>②一般工业固体废物临时储存地点必须建有天棚，不允许露天堆放，以防雨水冲刷，雨水通过场地四周导流渠流向雨水排放管；临时堆放场地为水泥铺设地面，以防渗漏。</w:t>
            </w:r>
          </w:p>
          <w:p>
            <w:pPr>
              <w:autoSpaceDE w:val="0"/>
              <w:autoSpaceDN w:val="0"/>
              <w:adjustRightInd w:val="0"/>
              <w:ind w:firstLine="480"/>
            </w:pPr>
            <w:r>
              <w:rPr>
                <w:rFonts w:hint="eastAsia"/>
              </w:rPr>
              <w:t>③储存场应加强监督管理，按《环境保护图形标志》（GB15562.2）设置环境保护图形标志，并建立出入档案，便于核查。</w:t>
            </w:r>
          </w:p>
          <w:p>
            <w:pPr>
              <w:autoSpaceDE w:val="0"/>
              <w:autoSpaceDN w:val="0"/>
              <w:adjustRightInd w:val="0"/>
              <w:ind w:firstLine="480"/>
            </w:pPr>
            <w:r>
              <w:rPr>
                <w:rFonts w:hint="eastAsia"/>
              </w:rPr>
              <w:t>④建立档案制度，将临时储存的一般工业固体废物的种类、数量和外运的一般工业固体废物的种类、数量详细记录在案，长期保存，供随时查阅。</w:t>
            </w:r>
          </w:p>
          <w:p>
            <w:pPr>
              <w:autoSpaceDE w:val="0"/>
              <w:autoSpaceDN w:val="0"/>
              <w:adjustRightInd w:val="0"/>
              <w:ind w:firstLine="480"/>
            </w:pPr>
            <w:r>
              <w:rPr>
                <w:rFonts w:hint="eastAsia"/>
              </w:rPr>
              <w:t>本项目依托原有危险暂存间进行危废存储，经过现场调查，该内部设置满足相关建设要求，且已完成建设项目环境竣工验收。</w:t>
            </w:r>
          </w:p>
          <w:p>
            <w:pPr>
              <w:autoSpaceDE w:val="0"/>
              <w:autoSpaceDN w:val="0"/>
              <w:adjustRightInd w:val="0"/>
              <w:ind w:firstLine="480"/>
            </w:pPr>
            <w:r>
              <w:rPr>
                <w:rFonts w:hint="eastAsia"/>
              </w:rPr>
              <w:t>按《危险废物贮存污染控制标准》（GB18597-2023）中相关要求，本项目在危废暂存及转运过程中特别应注意做到以下几点：</w:t>
            </w:r>
          </w:p>
          <w:p>
            <w:pPr>
              <w:ind w:firstLine="480"/>
            </w:pPr>
            <w:r>
              <w:rPr>
                <w:rFonts w:hint="eastAsia"/>
              </w:rPr>
              <w:t>①废机油必须设置专用贮罐（或贮槽）贮存，并设置托盘，作出标识，妥善存放，定期外运；</w:t>
            </w:r>
          </w:p>
          <w:p>
            <w:pPr>
              <w:ind w:firstLine="480"/>
            </w:pPr>
            <w:r>
              <w:rPr>
                <w:rFonts w:hint="eastAsia"/>
              </w:rPr>
              <w:t>②装载液体、半固体危险废物的容器内须留足够空间，容器顶部与液体表面之间保留100毫米以上的空间；</w:t>
            </w:r>
          </w:p>
          <w:p>
            <w:pPr>
              <w:ind w:firstLine="480"/>
            </w:pPr>
            <w:r>
              <w:rPr>
                <w:rFonts w:hint="eastAsia"/>
              </w:rPr>
              <w:t>③禁止将危险固废混入一般固废中贮存、外运；</w:t>
            </w:r>
          </w:p>
          <w:p>
            <w:pPr>
              <w:ind w:firstLine="480"/>
            </w:pPr>
            <w:r>
              <w:rPr>
                <w:rFonts w:hint="eastAsia"/>
              </w:rPr>
              <w:t>④</w:t>
            </w:r>
            <w:r>
              <w:t>建立档案制度，对暂存的废物种类、数量、特性、包装容器类别、存放库位、存入日期、运出日期等详细记录在案并长期保存</w:t>
            </w:r>
            <w:r>
              <w:rPr>
                <w:rFonts w:hint="eastAsia"/>
              </w:rPr>
              <w:t>，</w:t>
            </w:r>
            <w:r>
              <w:t>建立定期巡查、维护制度。</w:t>
            </w:r>
          </w:p>
          <w:p>
            <w:pPr>
              <w:ind w:firstLine="480"/>
            </w:pPr>
            <w:r>
              <w:rPr>
                <w:rFonts w:hint="eastAsia"/>
              </w:rPr>
              <w:t>⑤必须向有关部门对废物进行申报，按照国家有关规定填写危险废物转移联单，并向危险废物移出地和接收地生态环境行政主管部门如实报告。</w:t>
            </w:r>
          </w:p>
          <w:p>
            <w:pPr>
              <w:ind w:firstLine="480"/>
            </w:pPr>
            <w:r>
              <w:rPr>
                <w:rFonts w:hint="eastAsia"/>
              </w:rPr>
              <w:t>综上所述，本项目所产生的固废均得到合理处置，对周边环境影响极小。</w:t>
            </w:r>
          </w:p>
          <w:p>
            <w:pPr>
              <w:ind w:firstLine="480"/>
            </w:pPr>
            <w:r>
              <w:rPr>
                <w:rFonts w:hint="eastAsia"/>
              </w:rPr>
              <w:t>5、地下水及土壤</w:t>
            </w:r>
            <w:r>
              <w:t>环境影响分析及防治对策</w:t>
            </w:r>
          </w:p>
          <w:p>
            <w:pPr>
              <w:ind w:firstLine="480"/>
            </w:pPr>
            <w:r>
              <w:rPr>
                <w:rFonts w:hint="eastAsia"/>
              </w:rPr>
              <w:t>本项目运营生产过程中危险废物的储存可能会污染土壤及地下水，污染途径为废矿物油的泄露导致的垂直入渗，会对土壤、地下水产生污染风险。经调查，目前危废暂存间已按照《危险废物贮存污染控制》（GB18597-2023）的要求进行了防渗处理，厂区其他地面已进行水泥硬化。</w:t>
            </w:r>
          </w:p>
          <w:p>
            <w:pPr>
              <w:ind w:firstLine="480"/>
            </w:pPr>
            <w:r>
              <w:rPr>
                <w:rFonts w:hint="eastAsia"/>
              </w:rPr>
              <w:t>6、</w:t>
            </w:r>
            <w:r>
              <w:t>生态环境影响及防控措施</w:t>
            </w:r>
          </w:p>
          <w:p>
            <w:pPr>
              <w:ind w:firstLine="480"/>
            </w:pPr>
            <w:r>
              <w:t>本项目施工期</w:t>
            </w:r>
            <w:r>
              <w:rPr>
                <w:rFonts w:hint="eastAsia"/>
              </w:rPr>
              <w:t>在已建车间内进行，不会对原有地表进行</w:t>
            </w:r>
            <w:r>
              <w:t>扰动和破坏。</w:t>
            </w:r>
          </w:p>
          <w:p>
            <w:pPr>
              <w:ind w:firstLine="480"/>
            </w:pPr>
            <w:r>
              <w:rPr>
                <w:rFonts w:hint="eastAsia"/>
              </w:rPr>
              <w:t>（1）</w:t>
            </w:r>
            <w:r>
              <w:t>环境风险影响及防控措施</w:t>
            </w:r>
          </w:p>
          <w:p>
            <w:pPr>
              <w:ind w:firstLine="480"/>
            </w:pPr>
            <w:r>
              <w:t>①危险物质及风险源情况</w:t>
            </w:r>
          </w:p>
          <w:p>
            <w:pPr>
              <w:ind w:firstLine="480"/>
            </w:pPr>
            <w:r>
              <w:t>根据工程特点，根据《建设项目环境风险评价技术导则》（HJ169-2018），简单风险识别的内容包括危险物质及分布情况、可能影响环境的途径，项目环境风险识别见表4-</w:t>
            </w:r>
            <w:r>
              <w:rPr>
                <w:rFonts w:hint="eastAsia"/>
              </w:rPr>
              <w:t>11</w:t>
            </w:r>
            <w:r>
              <w:t>。</w:t>
            </w:r>
          </w:p>
          <w:p>
            <w:pPr>
              <w:pStyle w:val="92"/>
            </w:pPr>
            <w:r>
              <w:t>表4-</w:t>
            </w:r>
            <w:r>
              <w:rPr>
                <w:rFonts w:hint="eastAsia"/>
              </w:rPr>
              <w:t>11</w:t>
            </w:r>
            <w:r>
              <w:t>项目环境风险识别</w:t>
            </w:r>
          </w:p>
          <w:tbl>
            <w:tblPr>
              <w:tblStyle w:val="36"/>
              <w:tblW w:w="75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916"/>
              <w:gridCol w:w="1110"/>
              <w:gridCol w:w="2952"/>
              <w:gridCol w:w="1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921" w:type="dxa"/>
                  <w:tcBorders>
                    <w:tl2br w:val="nil"/>
                    <w:tr2bl w:val="nil"/>
                  </w:tcBorders>
                  <w:vAlign w:val="center"/>
                </w:tcPr>
                <w:p>
                  <w:pPr>
                    <w:pStyle w:val="96"/>
                  </w:pPr>
                  <w:r>
                    <w:t>危险物质</w:t>
                  </w:r>
                </w:p>
              </w:tc>
              <w:tc>
                <w:tcPr>
                  <w:tcW w:w="916" w:type="dxa"/>
                  <w:tcBorders>
                    <w:tl2br w:val="nil"/>
                    <w:tr2bl w:val="nil"/>
                  </w:tcBorders>
                  <w:vAlign w:val="center"/>
                </w:tcPr>
                <w:p>
                  <w:pPr>
                    <w:pStyle w:val="96"/>
                  </w:pPr>
                  <w:r>
                    <w:t>主要成分</w:t>
                  </w:r>
                </w:p>
              </w:tc>
              <w:tc>
                <w:tcPr>
                  <w:tcW w:w="1110" w:type="dxa"/>
                  <w:tcBorders>
                    <w:tl2br w:val="nil"/>
                    <w:tr2bl w:val="nil"/>
                  </w:tcBorders>
                  <w:vAlign w:val="center"/>
                </w:tcPr>
                <w:p>
                  <w:pPr>
                    <w:pStyle w:val="96"/>
                  </w:pPr>
                  <w:r>
                    <w:t>环境风险类型</w:t>
                  </w:r>
                </w:p>
              </w:tc>
              <w:tc>
                <w:tcPr>
                  <w:tcW w:w="2952" w:type="dxa"/>
                  <w:tcBorders>
                    <w:tl2br w:val="nil"/>
                    <w:tr2bl w:val="nil"/>
                  </w:tcBorders>
                  <w:vAlign w:val="center"/>
                </w:tcPr>
                <w:p>
                  <w:pPr>
                    <w:pStyle w:val="96"/>
                  </w:pPr>
                  <w:r>
                    <w:t>环境影响途径</w:t>
                  </w:r>
                </w:p>
              </w:tc>
              <w:tc>
                <w:tcPr>
                  <w:tcW w:w="1652" w:type="dxa"/>
                  <w:tcBorders>
                    <w:tl2br w:val="nil"/>
                    <w:tr2bl w:val="nil"/>
                  </w:tcBorders>
                  <w:vAlign w:val="center"/>
                </w:tcPr>
                <w:p>
                  <w:pPr>
                    <w:pStyle w:val="96"/>
                  </w:pPr>
                  <w:r>
                    <w:t>可能受影响的环境保护目标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921" w:type="dxa"/>
                  <w:vMerge w:val="restart"/>
                  <w:tcBorders>
                    <w:tl2br w:val="nil"/>
                    <w:tr2bl w:val="nil"/>
                  </w:tcBorders>
                  <w:vAlign w:val="center"/>
                </w:tcPr>
                <w:p>
                  <w:pPr>
                    <w:pStyle w:val="96"/>
                  </w:pPr>
                  <w:r>
                    <w:rPr>
                      <w:rFonts w:hint="eastAsia"/>
                    </w:rPr>
                    <w:t>废机油</w:t>
                  </w:r>
                </w:p>
              </w:tc>
              <w:tc>
                <w:tcPr>
                  <w:tcW w:w="916" w:type="dxa"/>
                  <w:vMerge w:val="restart"/>
                  <w:tcBorders>
                    <w:tl2br w:val="nil"/>
                    <w:tr2bl w:val="nil"/>
                  </w:tcBorders>
                  <w:vAlign w:val="center"/>
                </w:tcPr>
                <w:p>
                  <w:pPr>
                    <w:pStyle w:val="96"/>
                  </w:pPr>
                  <w:r>
                    <w:t>矿物油</w:t>
                  </w:r>
                </w:p>
              </w:tc>
              <w:tc>
                <w:tcPr>
                  <w:tcW w:w="1110" w:type="dxa"/>
                  <w:tcBorders>
                    <w:tl2br w:val="nil"/>
                    <w:tr2bl w:val="nil"/>
                  </w:tcBorders>
                  <w:vAlign w:val="center"/>
                </w:tcPr>
                <w:p>
                  <w:pPr>
                    <w:pStyle w:val="96"/>
                  </w:pPr>
                  <w:r>
                    <w:t>泄漏</w:t>
                  </w:r>
                </w:p>
              </w:tc>
              <w:tc>
                <w:tcPr>
                  <w:tcW w:w="2952" w:type="dxa"/>
                  <w:tcBorders>
                    <w:tl2br w:val="nil"/>
                    <w:tr2bl w:val="nil"/>
                  </w:tcBorders>
                  <w:vAlign w:val="center"/>
                </w:tcPr>
                <w:p>
                  <w:pPr>
                    <w:pStyle w:val="96"/>
                  </w:pPr>
                  <w:r>
                    <w:t>防渗层破裂，矿物油泄漏，污染地下水及土壤</w:t>
                  </w:r>
                </w:p>
              </w:tc>
              <w:tc>
                <w:tcPr>
                  <w:tcW w:w="1652" w:type="dxa"/>
                  <w:tcBorders>
                    <w:tl2br w:val="nil"/>
                    <w:tr2bl w:val="nil"/>
                  </w:tcBorders>
                  <w:vAlign w:val="center"/>
                </w:tcPr>
                <w:p>
                  <w:pPr>
                    <w:pStyle w:val="96"/>
                  </w:pPr>
                  <w:r>
                    <w:t>地下水、土壤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921" w:type="dxa"/>
                  <w:vMerge w:val="continue"/>
                  <w:tcBorders>
                    <w:tl2br w:val="nil"/>
                    <w:tr2bl w:val="nil"/>
                  </w:tcBorders>
                  <w:vAlign w:val="center"/>
                </w:tcPr>
                <w:p>
                  <w:pPr>
                    <w:pStyle w:val="96"/>
                  </w:pPr>
                </w:p>
              </w:tc>
              <w:tc>
                <w:tcPr>
                  <w:tcW w:w="916" w:type="dxa"/>
                  <w:vMerge w:val="continue"/>
                  <w:tcBorders>
                    <w:tl2br w:val="nil"/>
                    <w:tr2bl w:val="nil"/>
                  </w:tcBorders>
                  <w:vAlign w:val="center"/>
                </w:tcPr>
                <w:p>
                  <w:pPr>
                    <w:pStyle w:val="96"/>
                  </w:pPr>
                </w:p>
              </w:tc>
              <w:tc>
                <w:tcPr>
                  <w:tcW w:w="1110" w:type="dxa"/>
                  <w:tcBorders>
                    <w:tl2br w:val="nil"/>
                    <w:tr2bl w:val="nil"/>
                  </w:tcBorders>
                  <w:vAlign w:val="center"/>
                </w:tcPr>
                <w:p>
                  <w:pPr>
                    <w:pStyle w:val="96"/>
                  </w:pPr>
                  <w:r>
                    <w:t>火灾</w:t>
                  </w:r>
                </w:p>
              </w:tc>
              <w:tc>
                <w:tcPr>
                  <w:tcW w:w="2952" w:type="dxa"/>
                  <w:tcBorders>
                    <w:tl2br w:val="nil"/>
                    <w:tr2bl w:val="nil"/>
                  </w:tcBorders>
                  <w:vAlign w:val="center"/>
                </w:tcPr>
                <w:p>
                  <w:pPr>
                    <w:pStyle w:val="96"/>
                  </w:pPr>
                  <w:r>
                    <w:t>遇明火发生火灾事故诱发次生环境事件</w:t>
                  </w:r>
                </w:p>
              </w:tc>
              <w:tc>
                <w:tcPr>
                  <w:tcW w:w="1652" w:type="dxa"/>
                  <w:tcBorders>
                    <w:tl2br w:val="nil"/>
                    <w:tr2bl w:val="nil"/>
                  </w:tcBorders>
                  <w:vAlign w:val="center"/>
                </w:tcPr>
                <w:p>
                  <w:pPr>
                    <w:pStyle w:val="96"/>
                  </w:pPr>
                  <w:r>
                    <w:t>环境空气、土壤和地下水</w:t>
                  </w:r>
                </w:p>
              </w:tc>
            </w:tr>
          </w:tbl>
          <w:p>
            <w:pPr>
              <w:ind w:firstLine="480"/>
            </w:pPr>
            <w:r>
              <w:t>②环境风险防范措施及应急要求</w:t>
            </w:r>
          </w:p>
          <w:p>
            <w:pPr>
              <w:ind w:firstLine="480"/>
            </w:pPr>
            <w:r>
              <w:rPr>
                <w:rFonts w:hint="eastAsia"/>
              </w:rPr>
              <w:t>A、</w:t>
            </w:r>
            <w:r>
              <w:t>危险物质泄漏防范措施及应急要求</w:t>
            </w:r>
          </w:p>
          <w:p>
            <w:pPr>
              <w:ind w:firstLine="480"/>
            </w:pPr>
            <w:r>
              <w:rPr>
                <w:rFonts w:hint="eastAsia"/>
              </w:rPr>
              <w:t>I、</w:t>
            </w:r>
            <w:r>
              <w:t>防范措施</w:t>
            </w:r>
          </w:p>
          <w:p>
            <w:pPr>
              <w:ind w:firstLine="480"/>
            </w:pPr>
            <w:r>
              <w:rPr>
                <w:rFonts w:hint="eastAsia"/>
              </w:rPr>
              <w:t>目前危废暂存间已按照</w:t>
            </w:r>
            <w:r>
              <w:t>《危险废物贮存污染控制标准》（GB18597-20</w:t>
            </w:r>
            <w:r>
              <w:rPr>
                <w:rFonts w:hint="eastAsia"/>
              </w:rPr>
              <w:t>23</w:t>
            </w:r>
            <w:r>
              <w:t>）</w:t>
            </w:r>
            <w:r>
              <w:rPr>
                <w:rFonts w:hint="eastAsia"/>
              </w:rPr>
              <w:t>中的相关要求进行建设，危废暂存间严格做到“四防”</w:t>
            </w:r>
            <w:r>
              <w:t>（防风、防雨、防晒、防渗漏），</w:t>
            </w:r>
            <w:r>
              <w:rPr>
                <w:rFonts w:hint="eastAsia"/>
              </w:rPr>
              <w:t>且危废暂存间已完成基础防渗。</w:t>
            </w:r>
          </w:p>
          <w:p>
            <w:pPr>
              <w:ind w:firstLine="480"/>
            </w:pPr>
            <w:r>
              <w:t>运营过程中</w:t>
            </w:r>
            <w:r>
              <w:rPr>
                <w:rFonts w:hint="eastAsia"/>
              </w:rPr>
              <w:t>要求</w:t>
            </w:r>
            <w:r>
              <w:t>规范操作，轻拿轻放；危废间</w:t>
            </w:r>
            <w:r>
              <w:rPr>
                <w:rFonts w:hint="eastAsia"/>
              </w:rPr>
              <w:t>要求</w:t>
            </w:r>
            <w:r>
              <w:t>配备棉麻布、泄漏液体收集装置。</w:t>
            </w:r>
          </w:p>
          <w:p>
            <w:pPr>
              <w:ind w:firstLine="480"/>
            </w:pPr>
            <w:r>
              <w:rPr>
                <w:rFonts w:hint="eastAsia"/>
              </w:rPr>
              <w:t>II、</w:t>
            </w:r>
            <w:r>
              <w:t>应急要求</w:t>
            </w:r>
          </w:p>
          <w:p>
            <w:pPr>
              <w:ind w:firstLine="480"/>
            </w:pPr>
            <w:r>
              <w:t>若发生泄露事故，迅速将泄漏装置扶起，避免进一步大量泄漏；小量泄漏：用棉纱吸附或吸收，大量泄漏：将泄漏物导入集液槽，后续将集液槽中的物质用专用容器收集后存放在相应危废间内。</w:t>
            </w:r>
          </w:p>
          <w:p>
            <w:pPr>
              <w:ind w:firstLine="480"/>
            </w:pPr>
            <w:r>
              <w:rPr>
                <w:rFonts w:hint="eastAsia"/>
              </w:rPr>
              <w:t>B、</w:t>
            </w:r>
            <w:r>
              <w:t>火灾风险防范措施及应急要求</w:t>
            </w:r>
          </w:p>
          <w:p>
            <w:pPr>
              <w:ind w:firstLine="480"/>
            </w:pPr>
            <w:r>
              <w:rPr>
                <w:rFonts w:hint="eastAsia"/>
              </w:rPr>
              <w:t>I、</w:t>
            </w:r>
            <w:r>
              <w:t>防范措施</w:t>
            </w:r>
          </w:p>
          <w:p>
            <w:pPr>
              <w:ind w:firstLine="480"/>
            </w:pPr>
            <w:r>
              <w:t>严禁烟火；配备消防沙、铁锹、灭火器等消防器材；各个危废间做好通风；配备自给正压式呼吸器、防护手套和防毒服。</w:t>
            </w:r>
          </w:p>
          <w:p>
            <w:pPr>
              <w:ind w:firstLine="480"/>
            </w:pPr>
            <w:r>
              <w:rPr>
                <w:rFonts w:hint="eastAsia"/>
              </w:rPr>
              <w:t>II、</w:t>
            </w:r>
            <w:r>
              <w:t>应急要求</w:t>
            </w:r>
          </w:p>
          <w:p>
            <w:pPr>
              <w:ind w:firstLine="480"/>
            </w:pPr>
            <w:r>
              <w:t>若发生火灾，迅速撤离泄漏污染区人员至安全区，并进行隔离，严格限制出入；切断火源。建议应急处理人员戴自给正压式呼吸器，穿防毒服，尽可能切断泄漏源。根据火势用砂土、灭火器或水及时灭火。</w:t>
            </w:r>
          </w:p>
          <w:p>
            <w:pPr>
              <w:ind w:left="480" w:leftChars="200" w:firstLine="0" w:firstLineChars="0"/>
            </w:pPr>
            <w:r>
              <w:rPr>
                <w:rFonts w:hint="eastAsia"/>
              </w:rPr>
              <w:t>8、本项目实施后“三本账”核算</w:t>
            </w:r>
          </w:p>
          <w:p>
            <w:pPr>
              <w:ind w:firstLine="480"/>
            </w:pPr>
            <w:r>
              <w:rPr>
                <w:rFonts w:hint="eastAsia"/>
              </w:rPr>
              <w:t>本项目新增烘干、制粒设备，其中中频炉利用原有项目热处理生产线的中频炉，不新增中频炉，经查阅原项目（重型锻造生产线建设项目）环评及验收相关资料，热处理生产线中频炉运营过程中排放的粉尘量约为0.3t/a。因此本项目建成后全厂“三本账”核算结果如下：</w:t>
            </w:r>
          </w:p>
          <w:p>
            <w:pPr>
              <w:pStyle w:val="91"/>
              <w:rPr>
                <w:b/>
                <w:bCs/>
              </w:rPr>
            </w:pPr>
            <w:r>
              <w:rPr>
                <w:rFonts w:hint="eastAsia"/>
                <w:b/>
                <w:bCs/>
              </w:rPr>
              <w:t>表4-12本项目实施后项目污染物排放量核算一览表单位：t/a</w:t>
            </w:r>
          </w:p>
          <w:tbl>
            <w:tblPr>
              <w:tblStyle w:val="37"/>
              <w:tblW w:w="75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6"/>
              <w:gridCol w:w="1441"/>
              <w:gridCol w:w="1243"/>
              <w:gridCol w:w="1242"/>
              <w:gridCol w:w="1242"/>
              <w:gridCol w:w="1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046" w:type="dxa"/>
                  <w:tcBorders>
                    <w:tl2br w:val="single" w:color="auto" w:sz="4" w:space="0"/>
                  </w:tcBorders>
                  <w:vAlign w:val="center"/>
                </w:tcPr>
                <w:p>
                  <w:pPr>
                    <w:pStyle w:val="84"/>
                    <w:rPr>
                      <w:color w:val="auto"/>
                    </w:rPr>
                  </w:pPr>
                  <w:r>
                    <w:rPr>
                      <w:rFonts w:hint="eastAsia"/>
                      <w:color w:val="auto"/>
                    </w:rPr>
                    <w:t>类别</w:t>
                  </w:r>
                  <w:r>
                    <w:rPr>
                      <w:rFonts w:hint="eastAsia"/>
                      <w:color w:val="auto"/>
                    </w:rPr>
                    <w:br w:type="textWrapping"/>
                  </w:r>
                  <w:r>
                    <w:rPr>
                      <w:rFonts w:hint="eastAsia"/>
                      <w:color w:val="auto"/>
                    </w:rPr>
                    <w:t>项目</w:t>
                  </w:r>
                </w:p>
              </w:tc>
              <w:tc>
                <w:tcPr>
                  <w:tcW w:w="1441" w:type="dxa"/>
                  <w:vAlign w:val="center"/>
                </w:tcPr>
                <w:p>
                  <w:pPr>
                    <w:pStyle w:val="84"/>
                    <w:rPr>
                      <w:color w:val="auto"/>
                    </w:rPr>
                  </w:pPr>
                  <w:r>
                    <w:rPr>
                      <w:rFonts w:hint="eastAsia"/>
                      <w:color w:val="auto"/>
                    </w:rPr>
                    <w:t>污染物名称</w:t>
                  </w:r>
                </w:p>
              </w:tc>
              <w:tc>
                <w:tcPr>
                  <w:tcW w:w="1243" w:type="dxa"/>
                  <w:vAlign w:val="center"/>
                </w:tcPr>
                <w:p>
                  <w:pPr>
                    <w:pStyle w:val="84"/>
                    <w:rPr>
                      <w:color w:val="auto"/>
                    </w:rPr>
                  </w:pPr>
                  <w:r>
                    <w:rPr>
                      <w:rFonts w:hint="eastAsia"/>
                      <w:color w:val="auto"/>
                    </w:rPr>
                    <w:t>原有工程排放量</w:t>
                  </w:r>
                </w:p>
              </w:tc>
              <w:tc>
                <w:tcPr>
                  <w:tcW w:w="1242" w:type="dxa"/>
                  <w:vAlign w:val="center"/>
                </w:tcPr>
                <w:p>
                  <w:pPr>
                    <w:pStyle w:val="84"/>
                    <w:rPr>
                      <w:color w:val="auto"/>
                    </w:rPr>
                  </w:pPr>
                  <w:r>
                    <w:rPr>
                      <w:rFonts w:hint="eastAsia"/>
                      <w:color w:val="auto"/>
                    </w:rPr>
                    <w:t>本项目排放量</w:t>
                  </w:r>
                </w:p>
              </w:tc>
              <w:tc>
                <w:tcPr>
                  <w:tcW w:w="1242" w:type="dxa"/>
                  <w:vAlign w:val="center"/>
                </w:tcPr>
                <w:p>
                  <w:pPr>
                    <w:pStyle w:val="84"/>
                    <w:rPr>
                      <w:color w:val="auto"/>
                    </w:rPr>
                  </w:pPr>
                  <w:r>
                    <w:rPr>
                      <w:rFonts w:hint="eastAsia"/>
                      <w:color w:val="auto"/>
                    </w:rPr>
                    <w:t>本项目建成后排放量</w:t>
                  </w:r>
                </w:p>
              </w:tc>
              <w:tc>
                <w:tcPr>
                  <w:tcW w:w="1334" w:type="dxa"/>
                  <w:vAlign w:val="center"/>
                </w:tcPr>
                <w:p>
                  <w:pPr>
                    <w:pStyle w:val="84"/>
                    <w:rPr>
                      <w:color w:val="auto"/>
                    </w:rPr>
                  </w:pPr>
                  <w:r>
                    <w:rPr>
                      <w:rFonts w:hint="eastAsia"/>
                      <w:color w:val="auto"/>
                    </w:rPr>
                    <w:t>排放增减量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 w:hRule="atLeast"/>
              </w:trPr>
              <w:tc>
                <w:tcPr>
                  <w:tcW w:w="1046" w:type="dxa"/>
                  <w:vMerge w:val="restart"/>
                  <w:vAlign w:val="center"/>
                </w:tcPr>
                <w:p>
                  <w:pPr>
                    <w:pStyle w:val="84"/>
                    <w:rPr>
                      <w:color w:val="auto"/>
                    </w:rPr>
                  </w:pPr>
                  <w:r>
                    <w:rPr>
                      <w:rFonts w:hint="eastAsia"/>
                      <w:color w:val="auto"/>
                    </w:rPr>
                    <w:t>废气污染物</w:t>
                  </w:r>
                </w:p>
              </w:tc>
              <w:tc>
                <w:tcPr>
                  <w:tcW w:w="1441" w:type="dxa"/>
                  <w:vAlign w:val="center"/>
                </w:tcPr>
                <w:p>
                  <w:pPr>
                    <w:pStyle w:val="91"/>
                  </w:pPr>
                  <w:r>
                    <w:rPr>
                      <w:rFonts w:hint="eastAsia"/>
                    </w:rPr>
                    <w:t>粉尘</w:t>
                  </w:r>
                </w:p>
              </w:tc>
              <w:tc>
                <w:tcPr>
                  <w:tcW w:w="1243" w:type="dxa"/>
                  <w:vAlign w:val="center"/>
                </w:tcPr>
                <w:p>
                  <w:pPr>
                    <w:pStyle w:val="91"/>
                  </w:pPr>
                  <w:r>
                    <w:rPr>
                      <w:rFonts w:hint="eastAsia"/>
                    </w:rPr>
                    <w:t>9.2</w:t>
                  </w:r>
                </w:p>
              </w:tc>
              <w:tc>
                <w:tcPr>
                  <w:tcW w:w="1242" w:type="dxa"/>
                  <w:vAlign w:val="center"/>
                </w:tcPr>
                <w:p>
                  <w:pPr>
                    <w:pStyle w:val="84"/>
                    <w:rPr>
                      <w:color w:val="auto"/>
                    </w:rPr>
                  </w:pPr>
                  <w:r>
                    <w:rPr>
                      <w:rFonts w:hint="eastAsia"/>
                      <w:color w:val="auto"/>
                    </w:rPr>
                    <w:t>4.01</w:t>
                  </w:r>
                </w:p>
              </w:tc>
              <w:tc>
                <w:tcPr>
                  <w:tcW w:w="1242" w:type="dxa"/>
                  <w:vAlign w:val="center"/>
                </w:tcPr>
                <w:p>
                  <w:pPr>
                    <w:pStyle w:val="91"/>
                  </w:pPr>
                  <w:r>
                    <w:rPr>
                      <w:rFonts w:hint="eastAsia"/>
                    </w:rPr>
                    <w:t>13.21</w:t>
                  </w:r>
                </w:p>
              </w:tc>
              <w:tc>
                <w:tcPr>
                  <w:tcW w:w="1334" w:type="dxa"/>
                  <w:vAlign w:val="center"/>
                </w:tcPr>
                <w:p>
                  <w:pPr>
                    <w:pStyle w:val="84"/>
                    <w:rPr>
                      <w:color w:val="auto"/>
                    </w:rPr>
                  </w:pPr>
                  <w:r>
                    <w:rPr>
                      <w:rFonts w:hint="eastAsia"/>
                      <w:color w:val="auto"/>
                    </w:rPr>
                    <w:t>+4.01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6" w:type="dxa"/>
                  <w:vMerge w:val="continue"/>
                  <w:vAlign w:val="center"/>
                </w:tcPr>
                <w:p>
                  <w:pPr>
                    <w:pStyle w:val="84"/>
                    <w:rPr>
                      <w:color w:val="auto"/>
                    </w:rPr>
                  </w:pPr>
                </w:p>
              </w:tc>
              <w:tc>
                <w:tcPr>
                  <w:tcW w:w="1441" w:type="dxa"/>
                  <w:vAlign w:val="center"/>
                </w:tcPr>
                <w:p>
                  <w:pPr>
                    <w:pStyle w:val="91"/>
                  </w:pPr>
                  <w:r>
                    <w:rPr>
                      <w:rFonts w:hint="eastAsia"/>
                    </w:rPr>
                    <w:t>苯</w:t>
                  </w:r>
                </w:p>
              </w:tc>
              <w:tc>
                <w:tcPr>
                  <w:tcW w:w="1243" w:type="dxa"/>
                  <w:vAlign w:val="center"/>
                </w:tcPr>
                <w:p>
                  <w:pPr>
                    <w:pStyle w:val="91"/>
                  </w:pPr>
                  <w:r>
                    <w:rPr>
                      <w:rFonts w:hint="eastAsia"/>
                    </w:rPr>
                    <w:t>0.242</w:t>
                  </w:r>
                </w:p>
              </w:tc>
              <w:tc>
                <w:tcPr>
                  <w:tcW w:w="1242" w:type="dxa"/>
                  <w:vAlign w:val="center"/>
                </w:tcPr>
                <w:p>
                  <w:pPr>
                    <w:spacing w:line="240" w:lineRule="auto"/>
                    <w:ind w:firstLine="480"/>
                  </w:pPr>
                  <w:r>
                    <w:rPr>
                      <w:rFonts w:hint="eastAsia"/>
                    </w:rPr>
                    <w:t>/</w:t>
                  </w:r>
                </w:p>
              </w:tc>
              <w:tc>
                <w:tcPr>
                  <w:tcW w:w="1242" w:type="dxa"/>
                  <w:vAlign w:val="center"/>
                </w:tcPr>
                <w:p>
                  <w:pPr>
                    <w:pStyle w:val="91"/>
                  </w:pPr>
                  <w:r>
                    <w:rPr>
                      <w:rFonts w:hint="eastAsia"/>
                    </w:rPr>
                    <w:t>0.242</w:t>
                  </w:r>
                </w:p>
              </w:tc>
              <w:tc>
                <w:tcPr>
                  <w:tcW w:w="1334" w:type="dxa"/>
                  <w:vAlign w:val="center"/>
                </w:tcPr>
                <w:p>
                  <w:pPr>
                    <w:pStyle w:val="84"/>
                    <w:rPr>
                      <w:color w:val="auto"/>
                    </w:rPr>
                  </w:pPr>
                  <w:r>
                    <w:rPr>
                      <w:rFonts w:hint="eastAsia"/>
                      <w:color w:val="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6" w:type="dxa"/>
                  <w:vMerge w:val="continue"/>
                  <w:vAlign w:val="center"/>
                </w:tcPr>
                <w:p>
                  <w:pPr>
                    <w:pStyle w:val="84"/>
                    <w:rPr>
                      <w:color w:val="auto"/>
                    </w:rPr>
                  </w:pPr>
                </w:p>
              </w:tc>
              <w:tc>
                <w:tcPr>
                  <w:tcW w:w="1441" w:type="dxa"/>
                  <w:vAlign w:val="center"/>
                </w:tcPr>
                <w:p>
                  <w:pPr>
                    <w:pStyle w:val="91"/>
                  </w:pPr>
                  <w:r>
                    <w:rPr>
                      <w:rFonts w:hint="eastAsia"/>
                    </w:rPr>
                    <w:t>甲苯</w:t>
                  </w:r>
                </w:p>
              </w:tc>
              <w:tc>
                <w:tcPr>
                  <w:tcW w:w="1243" w:type="dxa"/>
                  <w:vAlign w:val="center"/>
                </w:tcPr>
                <w:p>
                  <w:pPr>
                    <w:pStyle w:val="91"/>
                  </w:pPr>
                  <w:r>
                    <w:rPr>
                      <w:rFonts w:hint="eastAsia"/>
                    </w:rPr>
                    <w:t>0.263</w:t>
                  </w:r>
                </w:p>
              </w:tc>
              <w:tc>
                <w:tcPr>
                  <w:tcW w:w="1242" w:type="dxa"/>
                  <w:vAlign w:val="center"/>
                </w:tcPr>
                <w:p>
                  <w:pPr>
                    <w:spacing w:line="240" w:lineRule="auto"/>
                    <w:ind w:firstLine="480"/>
                  </w:pPr>
                  <w:r>
                    <w:rPr>
                      <w:rFonts w:hint="eastAsia"/>
                    </w:rPr>
                    <w:t>/</w:t>
                  </w:r>
                </w:p>
              </w:tc>
              <w:tc>
                <w:tcPr>
                  <w:tcW w:w="1242" w:type="dxa"/>
                  <w:vAlign w:val="center"/>
                </w:tcPr>
                <w:p>
                  <w:pPr>
                    <w:pStyle w:val="91"/>
                  </w:pPr>
                  <w:r>
                    <w:rPr>
                      <w:rFonts w:hint="eastAsia"/>
                    </w:rPr>
                    <w:t>0.263</w:t>
                  </w:r>
                </w:p>
              </w:tc>
              <w:tc>
                <w:tcPr>
                  <w:tcW w:w="1334" w:type="dxa"/>
                  <w:vAlign w:val="center"/>
                </w:tcPr>
                <w:p>
                  <w:pPr>
                    <w:pStyle w:val="84"/>
                    <w:rPr>
                      <w:color w:val="auto"/>
                    </w:rPr>
                  </w:pPr>
                  <w:r>
                    <w:rPr>
                      <w:rFonts w:hint="eastAsia"/>
                      <w:color w:val="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6" w:type="dxa"/>
                  <w:vMerge w:val="continue"/>
                  <w:vAlign w:val="center"/>
                </w:tcPr>
                <w:p>
                  <w:pPr>
                    <w:pStyle w:val="84"/>
                    <w:rPr>
                      <w:color w:val="auto"/>
                    </w:rPr>
                  </w:pPr>
                </w:p>
              </w:tc>
              <w:tc>
                <w:tcPr>
                  <w:tcW w:w="1441" w:type="dxa"/>
                  <w:vAlign w:val="center"/>
                </w:tcPr>
                <w:p>
                  <w:pPr>
                    <w:pStyle w:val="91"/>
                  </w:pPr>
                  <w:r>
                    <w:rPr>
                      <w:rFonts w:hint="eastAsia"/>
                    </w:rPr>
                    <w:t>苯乙烯</w:t>
                  </w:r>
                </w:p>
              </w:tc>
              <w:tc>
                <w:tcPr>
                  <w:tcW w:w="1243" w:type="dxa"/>
                  <w:vAlign w:val="center"/>
                </w:tcPr>
                <w:p>
                  <w:pPr>
                    <w:pStyle w:val="91"/>
                  </w:pPr>
                  <w:r>
                    <w:rPr>
                      <w:rFonts w:hint="eastAsia"/>
                    </w:rPr>
                    <w:t>0.088</w:t>
                  </w:r>
                </w:p>
              </w:tc>
              <w:tc>
                <w:tcPr>
                  <w:tcW w:w="1242" w:type="dxa"/>
                  <w:vAlign w:val="center"/>
                </w:tcPr>
                <w:p>
                  <w:pPr>
                    <w:spacing w:line="240" w:lineRule="auto"/>
                    <w:ind w:firstLine="480"/>
                  </w:pPr>
                  <w:r>
                    <w:rPr>
                      <w:rFonts w:hint="eastAsia"/>
                    </w:rPr>
                    <w:t>/</w:t>
                  </w:r>
                </w:p>
              </w:tc>
              <w:tc>
                <w:tcPr>
                  <w:tcW w:w="1242" w:type="dxa"/>
                  <w:vAlign w:val="center"/>
                </w:tcPr>
                <w:p>
                  <w:pPr>
                    <w:pStyle w:val="91"/>
                  </w:pPr>
                  <w:r>
                    <w:rPr>
                      <w:rFonts w:hint="eastAsia"/>
                    </w:rPr>
                    <w:t>0.088</w:t>
                  </w:r>
                </w:p>
              </w:tc>
              <w:tc>
                <w:tcPr>
                  <w:tcW w:w="1334" w:type="dxa"/>
                  <w:vAlign w:val="center"/>
                </w:tcPr>
                <w:p>
                  <w:pPr>
                    <w:pStyle w:val="84"/>
                    <w:rPr>
                      <w:color w:val="auto"/>
                    </w:rPr>
                  </w:pPr>
                  <w:r>
                    <w:rPr>
                      <w:rFonts w:hint="eastAsia"/>
                      <w:color w:val="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 w:hRule="atLeast"/>
              </w:trPr>
              <w:tc>
                <w:tcPr>
                  <w:tcW w:w="1046" w:type="dxa"/>
                  <w:vMerge w:val="continue"/>
                  <w:vAlign w:val="center"/>
                </w:tcPr>
                <w:p>
                  <w:pPr>
                    <w:pStyle w:val="84"/>
                    <w:rPr>
                      <w:color w:val="auto"/>
                    </w:rPr>
                  </w:pPr>
                </w:p>
              </w:tc>
              <w:tc>
                <w:tcPr>
                  <w:tcW w:w="1441" w:type="dxa"/>
                </w:tcPr>
                <w:p>
                  <w:pPr>
                    <w:pStyle w:val="91"/>
                  </w:pPr>
                  <w:r>
                    <w:rPr>
                      <w:rFonts w:hint="eastAsia"/>
                    </w:rPr>
                    <w:t>二甲苯</w:t>
                  </w:r>
                </w:p>
              </w:tc>
              <w:tc>
                <w:tcPr>
                  <w:tcW w:w="1243" w:type="dxa"/>
                </w:tcPr>
                <w:p>
                  <w:pPr>
                    <w:pStyle w:val="91"/>
                  </w:pPr>
                  <w:r>
                    <w:rPr>
                      <w:rFonts w:hint="eastAsia"/>
                    </w:rPr>
                    <w:t>0.078</w:t>
                  </w:r>
                </w:p>
              </w:tc>
              <w:tc>
                <w:tcPr>
                  <w:tcW w:w="1242" w:type="dxa"/>
                  <w:vAlign w:val="center"/>
                </w:tcPr>
                <w:p>
                  <w:pPr>
                    <w:spacing w:line="240" w:lineRule="auto"/>
                    <w:ind w:firstLine="480"/>
                  </w:pPr>
                  <w:r>
                    <w:rPr>
                      <w:rFonts w:hint="eastAsia"/>
                    </w:rPr>
                    <w:t>/</w:t>
                  </w:r>
                </w:p>
              </w:tc>
              <w:tc>
                <w:tcPr>
                  <w:tcW w:w="1242" w:type="dxa"/>
                </w:tcPr>
                <w:p>
                  <w:pPr>
                    <w:pStyle w:val="91"/>
                  </w:pPr>
                  <w:r>
                    <w:rPr>
                      <w:rFonts w:hint="eastAsia"/>
                    </w:rPr>
                    <w:t>0.078</w:t>
                  </w:r>
                </w:p>
              </w:tc>
              <w:tc>
                <w:tcPr>
                  <w:tcW w:w="1334" w:type="dxa"/>
                  <w:vAlign w:val="center"/>
                </w:tcPr>
                <w:p>
                  <w:pPr>
                    <w:pStyle w:val="84"/>
                    <w:rPr>
                      <w:color w:val="auto"/>
                    </w:rPr>
                  </w:pPr>
                  <w:r>
                    <w:rPr>
                      <w:rFonts w:hint="eastAsia"/>
                      <w:color w:val="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6" w:type="dxa"/>
                  <w:vMerge w:val="continue"/>
                  <w:vAlign w:val="center"/>
                </w:tcPr>
                <w:p>
                  <w:pPr>
                    <w:pStyle w:val="84"/>
                    <w:rPr>
                      <w:color w:val="auto"/>
                    </w:rPr>
                  </w:pPr>
                </w:p>
              </w:tc>
              <w:tc>
                <w:tcPr>
                  <w:tcW w:w="1441" w:type="dxa"/>
                </w:tcPr>
                <w:p>
                  <w:pPr>
                    <w:pStyle w:val="91"/>
                  </w:pPr>
                  <w:r>
                    <w:rPr>
                      <w:rFonts w:hint="eastAsia"/>
                    </w:rPr>
                    <w:t>甲醛</w:t>
                  </w:r>
                </w:p>
              </w:tc>
              <w:tc>
                <w:tcPr>
                  <w:tcW w:w="1243" w:type="dxa"/>
                </w:tcPr>
                <w:p>
                  <w:pPr>
                    <w:pStyle w:val="91"/>
                  </w:pPr>
                  <w:r>
                    <w:rPr>
                      <w:rFonts w:hint="eastAsia"/>
                    </w:rPr>
                    <w:t>0.046</w:t>
                  </w:r>
                </w:p>
              </w:tc>
              <w:tc>
                <w:tcPr>
                  <w:tcW w:w="1242" w:type="dxa"/>
                  <w:vAlign w:val="center"/>
                </w:tcPr>
                <w:p>
                  <w:pPr>
                    <w:pStyle w:val="91"/>
                  </w:pPr>
                  <w:r>
                    <w:rPr>
                      <w:rFonts w:hint="eastAsia"/>
                    </w:rPr>
                    <w:t>/</w:t>
                  </w:r>
                </w:p>
              </w:tc>
              <w:tc>
                <w:tcPr>
                  <w:tcW w:w="1242" w:type="dxa"/>
                </w:tcPr>
                <w:p>
                  <w:pPr>
                    <w:pStyle w:val="91"/>
                  </w:pPr>
                  <w:r>
                    <w:rPr>
                      <w:rFonts w:hint="eastAsia"/>
                    </w:rPr>
                    <w:t>0.046</w:t>
                  </w:r>
                </w:p>
              </w:tc>
              <w:tc>
                <w:tcPr>
                  <w:tcW w:w="1334" w:type="dxa"/>
                  <w:vAlign w:val="center"/>
                </w:tcPr>
                <w:p>
                  <w:pPr>
                    <w:pStyle w:val="84"/>
                    <w:rPr>
                      <w:color w:val="auto"/>
                    </w:rPr>
                  </w:pPr>
                  <w:r>
                    <w:rPr>
                      <w:rFonts w:hint="eastAsia"/>
                      <w:color w:val="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46" w:type="dxa"/>
                  <w:vMerge w:val="continue"/>
                  <w:vAlign w:val="center"/>
                </w:tcPr>
                <w:p>
                  <w:pPr>
                    <w:pStyle w:val="84"/>
                    <w:rPr>
                      <w:color w:val="auto"/>
                    </w:rPr>
                  </w:pPr>
                </w:p>
              </w:tc>
              <w:tc>
                <w:tcPr>
                  <w:tcW w:w="1441" w:type="dxa"/>
                  <w:vAlign w:val="center"/>
                </w:tcPr>
                <w:p>
                  <w:pPr>
                    <w:pStyle w:val="91"/>
                  </w:pPr>
                  <w:r>
                    <w:rPr>
                      <w:rFonts w:hint="eastAsia"/>
                    </w:rPr>
                    <w:t>TVOC</w:t>
                  </w:r>
                </w:p>
              </w:tc>
              <w:tc>
                <w:tcPr>
                  <w:tcW w:w="1243" w:type="dxa"/>
                  <w:vAlign w:val="center"/>
                </w:tcPr>
                <w:p>
                  <w:pPr>
                    <w:pStyle w:val="91"/>
                  </w:pPr>
                  <w:r>
                    <w:rPr>
                      <w:rFonts w:hint="eastAsia"/>
                    </w:rPr>
                    <w:t>0.005</w:t>
                  </w:r>
                </w:p>
              </w:tc>
              <w:tc>
                <w:tcPr>
                  <w:tcW w:w="1242" w:type="dxa"/>
                  <w:vAlign w:val="center"/>
                </w:tcPr>
                <w:p>
                  <w:pPr>
                    <w:spacing w:line="240" w:lineRule="auto"/>
                    <w:ind w:firstLine="480"/>
                  </w:pPr>
                  <w:r>
                    <w:rPr>
                      <w:rFonts w:hint="eastAsia"/>
                    </w:rPr>
                    <w:t>/</w:t>
                  </w:r>
                </w:p>
              </w:tc>
              <w:tc>
                <w:tcPr>
                  <w:tcW w:w="1242" w:type="dxa"/>
                  <w:vAlign w:val="center"/>
                </w:tcPr>
                <w:p>
                  <w:pPr>
                    <w:pStyle w:val="91"/>
                  </w:pPr>
                  <w:r>
                    <w:rPr>
                      <w:rFonts w:hint="eastAsia"/>
                    </w:rPr>
                    <w:t>0.005</w:t>
                  </w:r>
                </w:p>
              </w:tc>
              <w:tc>
                <w:tcPr>
                  <w:tcW w:w="1334" w:type="dxa"/>
                  <w:vAlign w:val="center"/>
                </w:tcPr>
                <w:p>
                  <w:pPr>
                    <w:pStyle w:val="84"/>
                    <w:rPr>
                      <w:color w:val="auto"/>
                    </w:rPr>
                  </w:pPr>
                  <w:r>
                    <w:rPr>
                      <w:rFonts w:hint="eastAsia"/>
                      <w:color w:val="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trPr>
              <w:tc>
                <w:tcPr>
                  <w:tcW w:w="1046" w:type="dxa"/>
                  <w:vMerge w:val="restart"/>
                  <w:vAlign w:val="center"/>
                </w:tcPr>
                <w:p>
                  <w:pPr>
                    <w:pStyle w:val="84"/>
                    <w:rPr>
                      <w:color w:val="auto"/>
                    </w:rPr>
                  </w:pPr>
                  <w:r>
                    <w:rPr>
                      <w:rFonts w:hint="eastAsia"/>
                      <w:color w:val="auto"/>
                    </w:rPr>
                    <w:t>废水污染物</w:t>
                  </w:r>
                </w:p>
              </w:tc>
              <w:tc>
                <w:tcPr>
                  <w:tcW w:w="1441" w:type="dxa"/>
                  <w:vAlign w:val="center"/>
                </w:tcPr>
                <w:p>
                  <w:pPr>
                    <w:pStyle w:val="91"/>
                  </w:pPr>
                  <w:r>
                    <w:rPr>
                      <w:rFonts w:hint="eastAsia"/>
                    </w:rPr>
                    <w:t>COD</w:t>
                  </w:r>
                </w:p>
              </w:tc>
              <w:tc>
                <w:tcPr>
                  <w:tcW w:w="1243" w:type="dxa"/>
                  <w:vAlign w:val="center"/>
                </w:tcPr>
                <w:p>
                  <w:pPr>
                    <w:pStyle w:val="91"/>
                  </w:pPr>
                  <w:r>
                    <w:rPr>
                      <w:rFonts w:hint="eastAsia"/>
                    </w:rPr>
                    <w:t>0.491</w:t>
                  </w:r>
                </w:p>
              </w:tc>
              <w:tc>
                <w:tcPr>
                  <w:tcW w:w="1242" w:type="dxa"/>
                  <w:vAlign w:val="center"/>
                </w:tcPr>
                <w:p>
                  <w:pPr>
                    <w:pStyle w:val="84"/>
                    <w:rPr>
                      <w:color w:val="auto"/>
                    </w:rPr>
                  </w:pPr>
                  <w:r>
                    <w:rPr>
                      <w:rFonts w:hint="eastAsia"/>
                      <w:color w:val="auto"/>
                    </w:rPr>
                    <w:t>0</w:t>
                  </w:r>
                </w:p>
              </w:tc>
              <w:tc>
                <w:tcPr>
                  <w:tcW w:w="1242" w:type="dxa"/>
                  <w:vAlign w:val="center"/>
                </w:tcPr>
                <w:p>
                  <w:pPr>
                    <w:pStyle w:val="91"/>
                  </w:pPr>
                  <w:r>
                    <w:rPr>
                      <w:rFonts w:hint="eastAsia"/>
                    </w:rPr>
                    <w:t>0.491</w:t>
                  </w:r>
                </w:p>
              </w:tc>
              <w:tc>
                <w:tcPr>
                  <w:tcW w:w="1334" w:type="dxa"/>
                  <w:vAlign w:val="center"/>
                </w:tcPr>
                <w:p>
                  <w:pPr>
                    <w:pStyle w:val="84"/>
                    <w:rPr>
                      <w:color w:val="auto"/>
                    </w:rPr>
                  </w:pPr>
                  <w:r>
                    <w:rPr>
                      <w:rFonts w:hint="eastAsia"/>
                      <w:color w:val="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6" w:type="dxa"/>
                  <w:vMerge w:val="continue"/>
                  <w:vAlign w:val="center"/>
                </w:tcPr>
                <w:p>
                  <w:pPr>
                    <w:pStyle w:val="84"/>
                    <w:rPr>
                      <w:color w:val="auto"/>
                    </w:rPr>
                  </w:pPr>
                </w:p>
              </w:tc>
              <w:tc>
                <w:tcPr>
                  <w:tcW w:w="1441" w:type="dxa"/>
                </w:tcPr>
                <w:p>
                  <w:pPr>
                    <w:pStyle w:val="91"/>
                  </w:pPr>
                  <w:r>
                    <w:rPr>
                      <w:rFonts w:hint="eastAsia"/>
                    </w:rPr>
                    <w:t>氨氮</w:t>
                  </w:r>
                </w:p>
              </w:tc>
              <w:tc>
                <w:tcPr>
                  <w:tcW w:w="1243" w:type="dxa"/>
                </w:tcPr>
                <w:p>
                  <w:pPr>
                    <w:pStyle w:val="91"/>
                  </w:pPr>
                  <w:r>
                    <w:rPr>
                      <w:rFonts w:hint="eastAsia"/>
                    </w:rPr>
                    <w:t>0.039</w:t>
                  </w:r>
                </w:p>
              </w:tc>
              <w:tc>
                <w:tcPr>
                  <w:tcW w:w="1242" w:type="dxa"/>
                  <w:vAlign w:val="center"/>
                </w:tcPr>
                <w:p>
                  <w:pPr>
                    <w:pStyle w:val="91"/>
                  </w:pPr>
                  <w:r>
                    <w:rPr>
                      <w:rFonts w:hint="eastAsia"/>
                    </w:rPr>
                    <w:t>0</w:t>
                  </w:r>
                </w:p>
              </w:tc>
              <w:tc>
                <w:tcPr>
                  <w:tcW w:w="1242" w:type="dxa"/>
                </w:tcPr>
                <w:p>
                  <w:pPr>
                    <w:pStyle w:val="91"/>
                  </w:pPr>
                  <w:r>
                    <w:rPr>
                      <w:rFonts w:hint="eastAsia"/>
                    </w:rPr>
                    <w:t>0.039</w:t>
                  </w:r>
                </w:p>
              </w:tc>
              <w:tc>
                <w:tcPr>
                  <w:tcW w:w="1334" w:type="dxa"/>
                  <w:vAlign w:val="center"/>
                </w:tcPr>
                <w:p>
                  <w:pPr>
                    <w:pStyle w:val="84"/>
                    <w:rPr>
                      <w:color w:val="auto"/>
                    </w:rPr>
                  </w:pPr>
                  <w:r>
                    <w:rPr>
                      <w:rFonts w:hint="eastAsia"/>
                      <w:color w:val="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trPr>
              <w:tc>
                <w:tcPr>
                  <w:tcW w:w="1046" w:type="dxa"/>
                  <w:vMerge w:val="continue"/>
                  <w:vAlign w:val="center"/>
                </w:tcPr>
                <w:p>
                  <w:pPr>
                    <w:pStyle w:val="84"/>
                    <w:rPr>
                      <w:color w:val="auto"/>
                    </w:rPr>
                  </w:pPr>
                </w:p>
              </w:tc>
              <w:tc>
                <w:tcPr>
                  <w:tcW w:w="1441" w:type="dxa"/>
                </w:tcPr>
                <w:p>
                  <w:pPr>
                    <w:pStyle w:val="91"/>
                  </w:pPr>
                  <w:r>
                    <w:rPr>
                      <w:rFonts w:hint="eastAsia"/>
                    </w:rPr>
                    <w:t>SS</w:t>
                  </w:r>
                </w:p>
              </w:tc>
              <w:tc>
                <w:tcPr>
                  <w:tcW w:w="1243" w:type="dxa"/>
                </w:tcPr>
                <w:p>
                  <w:pPr>
                    <w:pStyle w:val="91"/>
                  </w:pPr>
                  <w:r>
                    <w:rPr>
                      <w:rFonts w:hint="eastAsia"/>
                    </w:rPr>
                    <w:t>0.182</w:t>
                  </w:r>
                </w:p>
              </w:tc>
              <w:tc>
                <w:tcPr>
                  <w:tcW w:w="1242" w:type="dxa"/>
                  <w:vAlign w:val="center"/>
                </w:tcPr>
                <w:p>
                  <w:pPr>
                    <w:pStyle w:val="91"/>
                  </w:pPr>
                  <w:r>
                    <w:rPr>
                      <w:rFonts w:hint="eastAsia"/>
                    </w:rPr>
                    <w:t>0</w:t>
                  </w:r>
                </w:p>
              </w:tc>
              <w:tc>
                <w:tcPr>
                  <w:tcW w:w="1242" w:type="dxa"/>
                </w:tcPr>
                <w:p>
                  <w:pPr>
                    <w:pStyle w:val="91"/>
                  </w:pPr>
                  <w:r>
                    <w:rPr>
                      <w:rFonts w:hint="eastAsia"/>
                    </w:rPr>
                    <w:t>0.182</w:t>
                  </w:r>
                </w:p>
              </w:tc>
              <w:tc>
                <w:tcPr>
                  <w:tcW w:w="1334" w:type="dxa"/>
                  <w:vAlign w:val="center"/>
                </w:tcPr>
                <w:p>
                  <w:pPr>
                    <w:pStyle w:val="84"/>
                    <w:rPr>
                      <w:color w:val="auto"/>
                    </w:rPr>
                  </w:pPr>
                  <w:r>
                    <w:rPr>
                      <w:rFonts w:hint="eastAsia"/>
                      <w:color w:val="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6" w:type="dxa"/>
                  <w:vMerge w:val="restart"/>
                  <w:vAlign w:val="center"/>
                </w:tcPr>
                <w:p>
                  <w:pPr>
                    <w:pStyle w:val="84"/>
                    <w:rPr>
                      <w:color w:val="auto"/>
                    </w:rPr>
                  </w:pPr>
                  <w:r>
                    <w:rPr>
                      <w:rFonts w:hint="eastAsia"/>
                      <w:color w:val="auto"/>
                    </w:rPr>
                    <w:t>固体废物</w:t>
                  </w:r>
                </w:p>
              </w:tc>
              <w:tc>
                <w:tcPr>
                  <w:tcW w:w="1441" w:type="dxa"/>
                  <w:vAlign w:val="center"/>
                </w:tcPr>
                <w:p>
                  <w:pPr>
                    <w:pStyle w:val="91"/>
                  </w:pPr>
                  <w:r>
                    <w:rPr>
                      <w:rFonts w:hint="eastAsia"/>
                    </w:rPr>
                    <w:t>生活垃圾</w:t>
                  </w:r>
                </w:p>
              </w:tc>
              <w:tc>
                <w:tcPr>
                  <w:tcW w:w="1243" w:type="dxa"/>
                  <w:vAlign w:val="center"/>
                </w:tcPr>
                <w:p>
                  <w:pPr>
                    <w:pStyle w:val="91"/>
                  </w:pPr>
                  <w:r>
                    <w:rPr>
                      <w:rFonts w:hint="eastAsia"/>
                    </w:rPr>
                    <w:t>12</w:t>
                  </w:r>
                </w:p>
              </w:tc>
              <w:tc>
                <w:tcPr>
                  <w:tcW w:w="1242" w:type="dxa"/>
                </w:tcPr>
                <w:p>
                  <w:pPr>
                    <w:pStyle w:val="91"/>
                  </w:pPr>
                  <w:r>
                    <w:rPr>
                      <w:rFonts w:hint="eastAsia"/>
                    </w:rPr>
                    <w:t>/</w:t>
                  </w:r>
                </w:p>
              </w:tc>
              <w:tc>
                <w:tcPr>
                  <w:tcW w:w="1242" w:type="dxa"/>
                  <w:vAlign w:val="center"/>
                </w:tcPr>
                <w:p>
                  <w:pPr>
                    <w:pStyle w:val="91"/>
                  </w:pPr>
                  <w:r>
                    <w:rPr>
                      <w:rFonts w:hint="eastAsia"/>
                    </w:rPr>
                    <w:t>12</w:t>
                  </w:r>
                </w:p>
              </w:tc>
              <w:tc>
                <w:tcPr>
                  <w:tcW w:w="1334" w:type="dxa"/>
                  <w:vAlign w:val="center"/>
                </w:tcPr>
                <w:p>
                  <w:pPr>
                    <w:pStyle w:val="84"/>
                    <w:rPr>
                      <w:color w:val="auto"/>
                    </w:rPr>
                  </w:pPr>
                  <w:r>
                    <w:rPr>
                      <w:rFonts w:hint="eastAsia"/>
                      <w:color w:val="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6" w:type="dxa"/>
                  <w:vMerge w:val="continue"/>
                  <w:vAlign w:val="center"/>
                </w:tcPr>
                <w:p>
                  <w:pPr>
                    <w:pStyle w:val="84"/>
                    <w:rPr>
                      <w:color w:val="auto"/>
                    </w:rPr>
                  </w:pPr>
                </w:p>
              </w:tc>
              <w:tc>
                <w:tcPr>
                  <w:tcW w:w="1441" w:type="dxa"/>
                  <w:vAlign w:val="center"/>
                </w:tcPr>
                <w:p>
                  <w:pPr>
                    <w:pStyle w:val="91"/>
                  </w:pPr>
                  <w:r>
                    <w:rPr>
                      <w:rFonts w:hint="eastAsia"/>
                    </w:rPr>
                    <w:t>边角料</w:t>
                  </w:r>
                </w:p>
              </w:tc>
              <w:tc>
                <w:tcPr>
                  <w:tcW w:w="1243" w:type="dxa"/>
                  <w:vAlign w:val="center"/>
                </w:tcPr>
                <w:p>
                  <w:pPr>
                    <w:pStyle w:val="91"/>
                  </w:pPr>
                  <w:r>
                    <w:rPr>
                      <w:rFonts w:hint="eastAsia"/>
                    </w:rPr>
                    <w:t>3000</w:t>
                  </w:r>
                </w:p>
              </w:tc>
              <w:tc>
                <w:tcPr>
                  <w:tcW w:w="1242" w:type="dxa"/>
                </w:tcPr>
                <w:p>
                  <w:pPr>
                    <w:pStyle w:val="91"/>
                  </w:pPr>
                  <w:r>
                    <w:rPr>
                      <w:rFonts w:hint="eastAsia"/>
                    </w:rPr>
                    <w:t>/</w:t>
                  </w:r>
                </w:p>
              </w:tc>
              <w:tc>
                <w:tcPr>
                  <w:tcW w:w="1242" w:type="dxa"/>
                  <w:vAlign w:val="center"/>
                </w:tcPr>
                <w:p>
                  <w:pPr>
                    <w:pStyle w:val="91"/>
                  </w:pPr>
                  <w:r>
                    <w:rPr>
                      <w:rFonts w:hint="eastAsia"/>
                    </w:rPr>
                    <w:t>3000</w:t>
                  </w:r>
                </w:p>
              </w:tc>
              <w:tc>
                <w:tcPr>
                  <w:tcW w:w="1334" w:type="dxa"/>
                  <w:vAlign w:val="center"/>
                </w:tcPr>
                <w:p>
                  <w:pPr>
                    <w:pStyle w:val="84"/>
                    <w:rPr>
                      <w:color w:val="auto"/>
                    </w:rPr>
                  </w:pPr>
                  <w:r>
                    <w:rPr>
                      <w:rFonts w:hint="eastAsia"/>
                      <w:color w:val="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6" w:type="dxa"/>
                  <w:vMerge w:val="continue"/>
                  <w:vAlign w:val="center"/>
                </w:tcPr>
                <w:p>
                  <w:pPr>
                    <w:pStyle w:val="84"/>
                    <w:rPr>
                      <w:color w:val="auto"/>
                    </w:rPr>
                  </w:pPr>
                </w:p>
              </w:tc>
              <w:tc>
                <w:tcPr>
                  <w:tcW w:w="1441" w:type="dxa"/>
                  <w:vAlign w:val="center"/>
                </w:tcPr>
                <w:p>
                  <w:pPr>
                    <w:pStyle w:val="91"/>
                  </w:pPr>
                  <w:r>
                    <w:rPr>
                      <w:rFonts w:hint="eastAsia"/>
                    </w:rPr>
                    <w:t>氧化皮</w:t>
                  </w:r>
                </w:p>
              </w:tc>
              <w:tc>
                <w:tcPr>
                  <w:tcW w:w="1243" w:type="dxa"/>
                  <w:vAlign w:val="center"/>
                </w:tcPr>
                <w:p>
                  <w:pPr>
                    <w:pStyle w:val="91"/>
                  </w:pPr>
                  <w:r>
                    <w:rPr>
                      <w:rFonts w:hint="eastAsia"/>
                    </w:rPr>
                    <w:t>1800</w:t>
                  </w:r>
                </w:p>
              </w:tc>
              <w:tc>
                <w:tcPr>
                  <w:tcW w:w="1242" w:type="dxa"/>
                </w:tcPr>
                <w:p>
                  <w:pPr>
                    <w:pStyle w:val="91"/>
                  </w:pPr>
                  <w:r>
                    <w:rPr>
                      <w:rFonts w:hint="eastAsia"/>
                    </w:rPr>
                    <w:t>/</w:t>
                  </w:r>
                </w:p>
              </w:tc>
              <w:tc>
                <w:tcPr>
                  <w:tcW w:w="1242" w:type="dxa"/>
                  <w:vAlign w:val="center"/>
                </w:tcPr>
                <w:p>
                  <w:pPr>
                    <w:pStyle w:val="91"/>
                  </w:pPr>
                  <w:r>
                    <w:rPr>
                      <w:rFonts w:hint="eastAsia"/>
                    </w:rPr>
                    <w:t>1800</w:t>
                  </w:r>
                </w:p>
              </w:tc>
              <w:tc>
                <w:tcPr>
                  <w:tcW w:w="1334" w:type="dxa"/>
                  <w:vAlign w:val="center"/>
                </w:tcPr>
                <w:p>
                  <w:pPr>
                    <w:pStyle w:val="84"/>
                    <w:rPr>
                      <w:color w:val="auto"/>
                    </w:rPr>
                  </w:pPr>
                  <w:r>
                    <w:rPr>
                      <w:rFonts w:hint="eastAsia"/>
                      <w:color w:val="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6" w:type="dxa"/>
                  <w:vMerge w:val="continue"/>
                  <w:vAlign w:val="center"/>
                </w:tcPr>
                <w:p>
                  <w:pPr>
                    <w:pStyle w:val="84"/>
                    <w:rPr>
                      <w:color w:val="auto"/>
                    </w:rPr>
                  </w:pPr>
                </w:p>
              </w:tc>
              <w:tc>
                <w:tcPr>
                  <w:tcW w:w="1441" w:type="dxa"/>
                  <w:vAlign w:val="center"/>
                </w:tcPr>
                <w:p>
                  <w:pPr>
                    <w:pStyle w:val="91"/>
                  </w:pPr>
                  <w:r>
                    <w:rPr>
                      <w:rFonts w:hint="eastAsia"/>
                    </w:rPr>
                    <w:t>废砂</w:t>
                  </w:r>
                </w:p>
              </w:tc>
              <w:tc>
                <w:tcPr>
                  <w:tcW w:w="1243" w:type="dxa"/>
                  <w:vAlign w:val="center"/>
                </w:tcPr>
                <w:p>
                  <w:pPr>
                    <w:pStyle w:val="91"/>
                  </w:pPr>
                  <w:r>
                    <w:rPr>
                      <w:rFonts w:hint="eastAsia"/>
                    </w:rPr>
                    <w:t>25</w:t>
                  </w:r>
                </w:p>
              </w:tc>
              <w:tc>
                <w:tcPr>
                  <w:tcW w:w="1242" w:type="dxa"/>
                </w:tcPr>
                <w:p>
                  <w:pPr>
                    <w:pStyle w:val="91"/>
                  </w:pPr>
                  <w:r>
                    <w:rPr>
                      <w:rFonts w:hint="eastAsia"/>
                    </w:rPr>
                    <w:t>/</w:t>
                  </w:r>
                </w:p>
              </w:tc>
              <w:tc>
                <w:tcPr>
                  <w:tcW w:w="1242" w:type="dxa"/>
                  <w:vAlign w:val="center"/>
                </w:tcPr>
                <w:p>
                  <w:pPr>
                    <w:pStyle w:val="91"/>
                  </w:pPr>
                  <w:r>
                    <w:rPr>
                      <w:rFonts w:hint="eastAsia"/>
                    </w:rPr>
                    <w:t>25</w:t>
                  </w:r>
                </w:p>
              </w:tc>
              <w:tc>
                <w:tcPr>
                  <w:tcW w:w="1334" w:type="dxa"/>
                  <w:vAlign w:val="center"/>
                </w:tcPr>
                <w:p>
                  <w:pPr>
                    <w:pStyle w:val="84"/>
                    <w:rPr>
                      <w:color w:val="auto"/>
                    </w:rPr>
                  </w:pPr>
                  <w:r>
                    <w:rPr>
                      <w:rFonts w:hint="eastAsia"/>
                      <w:color w:val="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trPr>
              <w:tc>
                <w:tcPr>
                  <w:tcW w:w="1046" w:type="dxa"/>
                  <w:vMerge w:val="continue"/>
                  <w:vAlign w:val="center"/>
                </w:tcPr>
                <w:p>
                  <w:pPr>
                    <w:pStyle w:val="84"/>
                    <w:rPr>
                      <w:color w:val="auto"/>
                    </w:rPr>
                  </w:pPr>
                </w:p>
              </w:tc>
              <w:tc>
                <w:tcPr>
                  <w:tcW w:w="1441" w:type="dxa"/>
                </w:tcPr>
                <w:p>
                  <w:pPr>
                    <w:pStyle w:val="91"/>
                  </w:pPr>
                  <w:r>
                    <w:rPr>
                      <w:rFonts w:hint="eastAsia"/>
                    </w:rPr>
                    <w:t>粉尘</w:t>
                  </w:r>
                </w:p>
              </w:tc>
              <w:tc>
                <w:tcPr>
                  <w:tcW w:w="1243" w:type="dxa"/>
                </w:tcPr>
                <w:p>
                  <w:pPr>
                    <w:pStyle w:val="91"/>
                  </w:pPr>
                  <w:r>
                    <w:rPr>
                      <w:rFonts w:hint="eastAsia"/>
                    </w:rPr>
                    <w:t>1405.911</w:t>
                  </w:r>
                </w:p>
              </w:tc>
              <w:tc>
                <w:tcPr>
                  <w:tcW w:w="1242" w:type="dxa"/>
                </w:tcPr>
                <w:p>
                  <w:pPr>
                    <w:pStyle w:val="91"/>
                  </w:pPr>
                  <w:r>
                    <w:rPr>
                      <w:rFonts w:hint="eastAsia"/>
                    </w:rPr>
                    <w:t>161.49</w:t>
                  </w:r>
                </w:p>
              </w:tc>
              <w:tc>
                <w:tcPr>
                  <w:tcW w:w="1242" w:type="dxa"/>
                </w:tcPr>
                <w:p>
                  <w:pPr>
                    <w:pStyle w:val="91"/>
                  </w:pPr>
                  <w:r>
                    <w:rPr>
                      <w:rFonts w:hint="eastAsia"/>
                    </w:rPr>
                    <w:t>1567.401</w:t>
                  </w:r>
                </w:p>
              </w:tc>
              <w:tc>
                <w:tcPr>
                  <w:tcW w:w="1334" w:type="dxa"/>
                  <w:vAlign w:val="center"/>
                </w:tcPr>
                <w:p>
                  <w:pPr>
                    <w:pStyle w:val="84"/>
                    <w:rPr>
                      <w:color w:val="auto"/>
                    </w:rPr>
                  </w:pPr>
                  <w:r>
                    <w:rPr>
                      <w:rFonts w:hint="eastAsia"/>
                      <w:color w:val="auto"/>
                    </w:rPr>
                    <w:t>+161.49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trPr>
              <w:tc>
                <w:tcPr>
                  <w:tcW w:w="1046" w:type="dxa"/>
                  <w:vMerge w:val="continue"/>
                  <w:vAlign w:val="center"/>
                </w:tcPr>
                <w:p>
                  <w:pPr>
                    <w:pStyle w:val="84"/>
                    <w:rPr>
                      <w:color w:val="auto"/>
                    </w:rPr>
                  </w:pPr>
                </w:p>
              </w:tc>
              <w:tc>
                <w:tcPr>
                  <w:tcW w:w="1441" w:type="dxa"/>
                </w:tcPr>
                <w:p>
                  <w:pPr>
                    <w:pStyle w:val="91"/>
                  </w:pPr>
                  <w:r>
                    <w:rPr>
                      <w:rFonts w:hint="eastAsia"/>
                    </w:rPr>
                    <w:t>喷淋废渣</w:t>
                  </w:r>
                </w:p>
              </w:tc>
              <w:tc>
                <w:tcPr>
                  <w:tcW w:w="1243" w:type="dxa"/>
                </w:tcPr>
                <w:p>
                  <w:pPr>
                    <w:pStyle w:val="91"/>
                  </w:pPr>
                  <w:r>
                    <w:rPr>
                      <w:rFonts w:hint="eastAsia"/>
                    </w:rPr>
                    <w:t>/</w:t>
                  </w:r>
                </w:p>
              </w:tc>
              <w:tc>
                <w:tcPr>
                  <w:tcW w:w="1242" w:type="dxa"/>
                </w:tcPr>
                <w:p>
                  <w:pPr>
                    <w:pStyle w:val="91"/>
                  </w:pPr>
                  <w:r>
                    <w:rPr>
                      <w:rFonts w:hint="eastAsia"/>
                    </w:rPr>
                    <w:t>67.88</w:t>
                  </w:r>
                </w:p>
              </w:tc>
              <w:tc>
                <w:tcPr>
                  <w:tcW w:w="1242" w:type="dxa"/>
                </w:tcPr>
                <w:p>
                  <w:pPr>
                    <w:pStyle w:val="91"/>
                  </w:pPr>
                  <w:r>
                    <w:rPr>
                      <w:rFonts w:hint="eastAsia"/>
                    </w:rPr>
                    <w:t>67.88</w:t>
                  </w:r>
                </w:p>
              </w:tc>
              <w:tc>
                <w:tcPr>
                  <w:tcW w:w="1334" w:type="dxa"/>
                  <w:vAlign w:val="center"/>
                </w:tcPr>
                <w:p>
                  <w:pPr>
                    <w:pStyle w:val="84"/>
                    <w:rPr>
                      <w:color w:val="auto"/>
                    </w:rPr>
                  </w:pPr>
                  <w:r>
                    <w:rPr>
                      <w:rFonts w:hint="eastAsia"/>
                      <w:color w:val="auto"/>
                    </w:rPr>
                    <w:t>+67.88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trPr>
              <w:tc>
                <w:tcPr>
                  <w:tcW w:w="1046" w:type="dxa"/>
                  <w:vMerge w:val="continue"/>
                  <w:vAlign w:val="center"/>
                </w:tcPr>
                <w:p>
                  <w:pPr>
                    <w:pStyle w:val="84"/>
                    <w:rPr>
                      <w:color w:val="auto"/>
                    </w:rPr>
                  </w:pPr>
                </w:p>
              </w:tc>
              <w:tc>
                <w:tcPr>
                  <w:tcW w:w="1441" w:type="dxa"/>
                </w:tcPr>
                <w:p>
                  <w:pPr>
                    <w:pStyle w:val="91"/>
                  </w:pPr>
                  <w:r>
                    <w:rPr>
                      <w:rFonts w:hint="eastAsia"/>
                    </w:rPr>
                    <w:t>废包装物</w:t>
                  </w:r>
                </w:p>
              </w:tc>
              <w:tc>
                <w:tcPr>
                  <w:tcW w:w="1243" w:type="dxa"/>
                </w:tcPr>
                <w:p>
                  <w:pPr>
                    <w:pStyle w:val="91"/>
                    <w:rPr>
                      <w:kern w:val="2"/>
                    </w:rPr>
                  </w:pPr>
                  <w:r>
                    <w:rPr>
                      <w:rFonts w:hint="eastAsia"/>
                    </w:rPr>
                    <w:t>1.5</w:t>
                  </w:r>
                </w:p>
              </w:tc>
              <w:tc>
                <w:tcPr>
                  <w:tcW w:w="1242" w:type="dxa"/>
                </w:tcPr>
                <w:p>
                  <w:pPr>
                    <w:pStyle w:val="91"/>
                    <w:rPr>
                      <w:kern w:val="2"/>
                    </w:rPr>
                  </w:pPr>
                  <w:r>
                    <w:rPr>
                      <w:rFonts w:hint="eastAsia"/>
                    </w:rPr>
                    <w:t>2.6</w:t>
                  </w:r>
                </w:p>
              </w:tc>
              <w:tc>
                <w:tcPr>
                  <w:tcW w:w="1242" w:type="dxa"/>
                </w:tcPr>
                <w:p>
                  <w:pPr>
                    <w:pStyle w:val="91"/>
                    <w:rPr>
                      <w:kern w:val="2"/>
                    </w:rPr>
                  </w:pPr>
                  <w:r>
                    <w:rPr>
                      <w:rFonts w:hint="eastAsia"/>
                    </w:rPr>
                    <w:t>4.1</w:t>
                  </w:r>
                </w:p>
              </w:tc>
              <w:tc>
                <w:tcPr>
                  <w:tcW w:w="1334" w:type="dxa"/>
                  <w:vAlign w:val="center"/>
                </w:tcPr>
                <w:p>
                  <w:pPr>
                    <w:pStyle w:val="84"/>
                    <w:rPr>
                      <w:color w:val="auto"/>
                    </w:rPr>
                  </w:pPr>
                  <w:r>
                    <w:rPr>
                      <w:rFonts w:hint="eastAsia"/>
                      <w:color w:val="auto"/>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trPr>
              <w:tc>
                <w:tcPr>
                  <w:tcW w:w="1046" w:type="dxa"/>
                  <w:vMerge w:val="continue"/>
                  <w:vAlign w:val="center"/>
                </w:tcPr>
                <w:p>
                  <w:pPr>
                    <w:pStyle w:val="84"/>
                    <w:rPr>
                      <w:color w:val="auto"/>
                    </w:rPr>
                  </w:pPr>
                </w:p>
              </w:tc>
              <w:tc>
                <w:tcPr>
                  <w:tcW w:w="1441" w:type="dxa"/>
                </w:tcPr>
                <w:p>
                  <w:pPr>
                    <w:pStyle w:val="91"/>
                  </w:pPr>
                  <w:r>
                    <w:rPr>
                      <w:rFonts w:hint="eastAsia"/>
                    </w:rPr>
                    <w:t>油渣</w:t>
                  </w:r>
                </w:p>
              </w:tc>
              <w:tc>
                <w:tcPr>
                  <w:tcW w:w="1243" w:type="dxa"/>
                </w:tcPr>
                <w:p>
                  <w:pPr>
                    <w:pStyle w:val="91"/>
                  </w:pPr>
                  <w:r>
                    <w:rPr>
                      <w:rFonts w:hint="eastAsia"/>
                    </w:rPr>
                    <w:t>0.5</w:t>
                  </w:r>
                </w:p>
              </w:tc>
              <w:tc>
                <w:tcPr>
                  <w:tcW w:w="1242" w:type="dxa"/>
                </w:tcPr>
                <w:p>
                  <w:pPr>
                    <w:pStyle w:val="91"/>
                  </w:pPr>
                  <w:r>
                    <w:rPr>
                      <w:rFonts w:hint="eastAsia"/>
                    </w:rPr>
                    <w:t>/</w:t>
                  </w:r>
                </w:p>
              </w:tc>
              <w:tc>
                <w:tcPr>
                  <w:tcW w:w="1242" w:type="dxa"/>
                </w:tcPr>
                <w:p>
                  <w:pPr>
                    <w:pStyle w:val="91"/>
                  </w:pPr>
                  <w:r>
                    <w:rPr>
                      <w:rFonts w:hint="eastAsia"/>
                    </w:rPr>
                    <w:t>3.82</w:t>
                  </w:r>
                </w:p>
              </w:tc>
              <w:tc>
                <w:tcPr>
                  <w:tcW w:w="1334" w:type="dxa"/>
                  <w:vAlign w:val="center"/>
                </w:tcPr>
                <w:p>
                  <w:pPr>
                    <w:pStyle w:val="84"/>
                    <w:rPr>
                      <w:color w:val="auto"/>
                    </w:rPr>
                  </w:pPr>
                  <w:r>
                    <w:rPr>
                      <w:rFonts w:hint="eastAsia"/>
                      <w:color w:val="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trPr>
              <w:tc>
                <w:tcPr>
                  <w:tcW w:w="1046" w:type="dxa"/>
                  <w:vMerge w:val="continue"/>
                  <w:vAlign w:val="center"/>
                </w:tcPr>
                <w:p>
                  <w:pPr>
                    <w:pStyle w:val="84"/>
                    <w:rPr>
                      <w:color w:val="auto"/>
                    </w:rPr>
                  </w:pPr>
                </w:p>
              </w:tc>
              <w:tc>
                <w:tcPr>
                  <w:tcW w:w="1441" w:type="dxa"/>
                </w:tcPr>
                <w:p>
                  <w:pPr>
                    <w:pStyle w:val="91"/>
                  </w:pPr>
                  <w:r>
                    <w:rPr>
                      <w:rFonts w:hint="eastAsia"/>
                    </w:rPr>
                    <w:t>废切削液</w:t>
                  </w:r>
                </w:p>
              </w:tc>
              <w:tc>
                <w:tcPr>
                  <w:tcW w:w="1243" w:type="dxa"/>
                </w:tcPr>
                <w:p>
                  <w:pPr>
                    <w:pStyle w:val="91"/>
                  </w:pPr>
                  <w:r>
                    <w:rPr>
                      <w:rFonts w:hint="eastAsia"/>
                    </w:rPr>
                    <w:t>8</w:t>
                  </w:r>
                </w:p>
              </w:tc>
              <w:tc>
                <w:tcPr>
                  <w:tcW w:w="1242" w:type="dxa"/>
                  <w:vAlign w:val="center"/>
                </w:tcPr>
                <w:p>
                  <w:pPr>
                    <w:pStyle w:val="91"/>
                  </w:pPr>
                  <w:r>
                    <w:rPr>
                      <w:rFonts w:hint="eastAsia"/>
                    </w:rPr>
                    <w:t>/</w:t>
                  </w:r>
                </w:p>
              </w:tc>
              <w:tc>
                <w:tcPr>
                  <w:tcW w:w="1242" w:type="dxa"/>
                  <w:vAlign w:val="center"/>
                </w:tcPr>
                <w:p>
                  <w:pPr>
                    <w:pStyle w:val="91"/>
                  </w:pPr>
                  <w:r>
                    <w:rPr>
                      <w:rFonts w:hint="eastAsia"/>
                    </w:rPr>
                    <w:t>0.4</w:t>
                  </w:r>
                </w:p>
              </w:tc>
              <w:tc>
                <w:tcPr>
                  <w:tcW w:w="1334" w:type="dxa"/>
                  <w:vAlign w:val="center"/>
                </w:tcPr>
                <w:p>
                  <w:pPr>
                    <w:pStyle w:val="91"/>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trPr>
              <w:tc>
                <w:tcPr>
                  <w:tcW w:w="1046" w:type="dxa"/>
                  <w:vMerge w:val="continue"/>
                  <w:vAlign w:val="center"/>
                </w:tcPr>
                <w:p>
                  <w:pPr>
                    <w:pStyle w:val="84"/>
                    <w:rPr>
                      <w:color w:val="auto"/>
                    </w:rPr>
                  </w:pPr>
                </w:p>
              </w:tc>
              <w:tc>
                <w:tcPr>
                  <w:tcW w:w="1441" w:type="dxa"/>
                </w:tcPr>
                <w:p>
                  <w:pPr>
                    <w:pStyle w:val="91"/>
                  </w:pPr>
                  <w:r>
                    <w:rPr>
                      <w:rFonts w:hint="eastAsia"/>
                    </w:rPr>
                    <w:t>炉渣</w:t>
                  </w:r>
                </w:p>
              </w:tc>
              <w:tc>
                <w:tcPr>
                  <w:tcW w:w="1243" w:type="dxa"/>
                </w:tcPr>
                <w:p>
                  <w:pPr>
                    <w:pStyle w:val="91"/>
                  </w:pPr>
                  <w:r>
                    <w:rPr>
                      <w:rFonts w:hint="eastAsia"/>
                    </w:rPr>
                    <w:t>/</w:t>
                  </w:r>
                </w:p>
              </w:tc>
              <w:tc>
                <w:tcPr>
                  <w:tcW w:w="1242" w:type="dxa"/>
                  <w:vAlign w:val="center"/>
                </w:tcPr>
                <w:p>
                  <w:pPr>
                    <w:pStyle w:val="91"/>
                  </w:pPr>
                  <w:r>
                    <w:rPr>
                      <w:rFonts w:hint="eastAsia"/>
                    </w:rPr>
                    <w:t>507</w:t>
                  </w:r>
                </w:p>
              </w:tc>
              <w:tc>
                <w:tcPr>
                  <w:tcW w:w="1242" w:type="dxa"/>
                  <w:vAlign w:val="center"/>
                </w:tcPr>
                <w:p>
                  <w:pPr>
                    <w:pStyle w:val="91"/>
                  </w:pPr>
                  <w:r>
                    <w:rPr>
                      <w:rFonts w:hint="eastAsia"/>
                    </w:rPr>
                    <w:t>507</w:t>
                  </w:r>
                </w:p>
              </w:tc>
              <w:tc>
                <w:tcPr>
                  <w:tcW w:w="1334" w:type="dxa"/>
                  <w:vAlign w:val="center"/>
                </w:tcPr>
                <w:p>
                  <w:pPr>
                    <w:pStyle w:val="91"/>
                  </w:pPr>
                  <w:r>
                    <w:rPr>
                      <w:rFonts w:hint="eastAsia"/>
                    </w:rPr>
                    <w:t>+507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trPr>
              <w:tc>
                <w:tcPr>
                  <w:tcW w:w="1046" w:type="dxa"/>
                  <w:vMerge w:val="continue"/>
                  <w:vAlign w:val="center"/>
                </w:tcPr>
                <w:p>
                  <w:pPr>
                    <w:pStyle w:val="84"/>
                    <w:rPr>
                      <w:color w:val="auto"/>
                    </w:rPr>
                  </w:pPr>
                </w:p>
              </w:tc>
              <w:tc>
                <w:tcPr>
                  <w:tcW w:w="1441" w:type="dxa"/>
                  <w:vAlign w:val="center"/>
                </w:tcPr>
                <w:p>
                  <w:pPr>
                    <w:pStyle w:val="91"/>
                  </w:pPr>
                  <w:r>
                    <w:rPr>
                      <w:rFonts w:hint="eastAsia"/>
                    </w:rPr>
                    <w:t>废机油及废油桶</w:t>
                  </w:r>
                </w:p>
              </w:tc>
              <w:tc>
                <w:tcPr>
                  <w:tcW w:w="1243" w:type="dxa"/>
                  <w:vAlign w:val="center"/>
                </w:tcPr>
                <w:p>
                  <w:pPr>
                    <w:pStyle w:val="91"/>
                  </w:pPr>
                  <w:r>
                    <w:rPr>
                      <w:rFonts w:hint="eastAsia"/>
                    </w:rPr>
                    <w:t>/</w:t>
                  </w:r>
                </w:p>
              </w:tc>
              <w:tc>
                <w:tcPr>
                  <w:tcW w:w="1242" w:type="dxa"/>
                  <w:vAlign w:val="center"/>
                </w:tcPr>
                <w:p>
                  <w:pPr>
                    <w:pStyle w:val="91"/>
                  </w:pPr>
                  <w:r>
                    <w:rPr>
                      <w:rFonts w:hint="eastAsia"/>
                    </w:rPr>
                    <w:t>0.15</w:t>
                  </w:r>
                </w:p>
              </w:tc>
              <w:tc>
                <w:tcPr>
                  <w:tcW w:w="1242" w:type="dxa"/>
                  <w:vAlign w:val="center"/>
                </w:tcPr>
                <w:p>
                  <w:pPr>
                    <w:pStyle w:val="91"/>
                  </w:pPr>
                  <w:r>
                    <w:rPr>
                      <w:rFonts w:hint="eastAsia"/>
                    </w:rPr>
                    <w:t>0.15</w:t>
                  </w:r>
                </w:p>
              </w:tc>
              <w:tc>
                <w:tcPr>
                  <w:tcW w:w="1334" w:type="dxa"/>
                  <w:vAlign w:val="center"/>
                </w:tcPr>
                <w:p>
                  <w:pPr>
                    <w:pStyle w:val="91"/>
                  </w:pPr>
                  <w:r>
                    <w:rPr>
                      <w:rFonts w:hint="eastAsia"/>
                    </w:rPr>
                    <w:t>+0.15</w:t>
                  </w:r>
                </w:p>
              </w:tc>
            </w:tr>
          </w:tbl>
          <w:p>
            <w:pPr>
              <w:autoSpaceDE w:val="0"/>
              <w:autoSpaceDN w:val="0"/>
              <w:adjustRightInd w:val="0"/>
              <w:snapToGrid w:val="0"/>
              <w:spacing w:line="460" w:lineRule="exact"/>
              <w:ind w:firstLine="480"/>
            </w:pPr>
            <w:r>
              <w:rPr>
                <w:rFonts w:hint="eastAsia"/>
              </w:rPr>
              <w:t>9、环保设施投资估算表</w:t>
            </w:r>
          </w:p>
          <w:p>
            <w:pPr>
              <w:autoSpaceDE w:val="0"/>
              <w:autoSpaceDN w:val="0"/>
              <w:adjustRightInd w:val="0"/>
              <w:snapToGrid w:val="0"/>
              <w:spacing w:line="460" w:lineRule="exact"/>
              <w:ind w:firstLine="480"/>
            </w:pPr>
            <w:r>
              <w:t>项目总投资</w:t>
            </w:r>
            <w:r>
              <w:rPr>
                <w:rFonts w:hint="eastAsia"/>
              </w:rPr>
              <w:t>5300</w:t>
            </w:r>
            <w:r>
              <w:t>万元，</w:t>
            </w:r>
            <w:r>
              <w:rPr>
                <w:rFonts w:hint="eastAsia"/>
              </w:rPr>
              <w:t>环保投资86.5万元</w:t>
            </w:r>
            <w:r>
              <w:t>，占总投资</w:t>
            </w:r>
            <w:r>
              <w:rPr>
                <w:rFonts w:hint="eastAsia"/>
              </w:rPr>
              <w:t>1.63</w:t>
            </w:r>
            <w:r>
              <w:t>%。</w:t>
            </w:r>
            <w:r>
              <w:rPr>
                <w:rFonts w:hint="eastAsia"/>
              </w:rPr>
              <w:t>环保投资</w:t>
            </w:r>
            <w:r>
              <w:t>见</w:t>
            </w:r>
            <w:r>
              <w:rPr>
                <w:rFonts w:hint="eastAsia"/>
              </w:rPr>
              <w:t>下表</w:t>
            </w:r>
            <w:r>
              <w:t>。</w:t>
            </w:r>
          </w:p>
          <w:p>
            <w:pPr>
              <w:pStyle w:val="85"/>
              <w:rPr>
                <w:color w:val="auto"/>
              </w:rPr>
            </w:pPr>
            <w:r>
              <w:rPr>
                <w:rFonts w:hint="eastAsia"/>
                <w:color w:val="auto"/>
              </w:rPr>
              <w:t>表4-13</w:t>
            </w:r>
            <w:r>
              <w:rPr>
                <w:color w:val="auto"/>
              </w:rPr>
              <w:t>环保投资估算表</w:t>
            </w:r>
          </w:p>
          <w:tbl>
            <w:tblPr>
              <w:tblStyle w:val="37"/>
              <w:tblW w:w="7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1454"/>
              <w:gridCol w:w="1942"/>
              <w:gridCol w:w="1269"/>
              <w:gridCol w:w="8"/>
              <w:gridCol w:w="1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0" w:type="dxa"/>
                  <w:vAlign w:val="center"/>
                </w:tcPr>
                <w:p>
                  <w:pPr>
                    <w:pStyle w:val="84"/>
                    <w:rPr>
                      <w:color w:val="auto"/>
                    </w:rPr>
                  </w:pPr>
                  <w:r>
                    <w:rPr>
                      <w:color w:val="auto"/>
                    </w:rPr>
                    <w:t>项目</w:t>
                  </w:r>
                </w:p>
              </w:tc>
              <w:tc>
                <w:tcPr>
                  <w:tcW w:w="1454" w:type="dxa"/>
                  <w:vAlign w:val="center"/>
                </w:tcPr>
                <w:p>
                  <w:pPr>
                    <w:pStyle w:val="84"/>
                    <w:rPr>
                      <w:color w:val="auto"/>
                    </w:rPr>
                  </w:pPr>
                  <w:r>
                    <w:rPr>
                      <w:color w:val="auto"/>
                    </w:rPr>
                    <w:t>污染物</w:t>
                  </w:r>
                </w:p>
              </w:tc>
              <w:tc>
                <w:tcPr>
                  <w:tcW w:w="1942" w:type="dxa"/>
                  <w:vAlign w:val="center"/>
                </w:tcPr>
                <w:p>
                  <w:pPr>
                    <w:pStyle w:val="84"/>
                    <w:rPr>
                      <w:color w:val="auto"/>
                    </w:rPr>
                  </w:pPr>
                  <w:r>
                    <w:rPr>
                      <w:color w:val="auto"/>
                    </w:rPr>
                    <w:t>治理设施</w:t>
                  </w:r>
                </w:p>
              </w:tc>
              <w:tc>
                <w:tcPr>
                  <w:tcW w:w="1277" w:type="dxa"/>
                  <w:gridSpan w:val="2"/>
                  <w:vAlign w:val="center"/>
                </w:tcPr>
                <w:p>
                  <w:pPr>
                    <w:pStyle w:val="84"/>
                    <w:rPr>
                      <w:color w:val="auto"/>
                    </w:rPr>
                  </w:pPr>
                  <w:r>
                    <w:rPr>
                      <w:color w:val="auto"/>
                    </w:rPr>
                    <w:t>数量</w:t>
                  </w:r>
                </w:p>
              </w:tc>
              <w:tc>
                <w:tcPr>
                  <w:tcW w:w="1747" w:type="dxa"/>
                  <w:vAlign w:val="center"/>
                </w:tcPr>
                <w:p>
                  <w:pPr>
                    <w:pStyle w:val="84"/>
                    <w:rPr>
                      <w:color w:val="auto"/>
                    </w:rPr>
                  </w:pPr>
                  <w:r>
                    <w:rPr>
                      <w:color w:val="auto"/>
                    </w:rPr>
                    <w:t>环保投资（万元）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trPr>
              <w:tc>
                <w:tcPr>
                  <w:tcW w:w="1140" w:type="dxa"/>
                  <w:vMerge w:val="restart"/>
                  <w:vAlign w:val="center"/>
                </w:tcPr>
                <w:p>
                  <w:pPr>
                    <w:pStyle w:val="84"/>
                    <w:rPr>
                      <w:color w:val="auto"/>
                    </w:rPr>
                  </w:pPr>
                  <w:r>
                    <w:rPr>
                      <w:rFonts w:hint="eastAsia"/>
                      <w:color w:val="auto"/>
                    </w:rPr>
                    <w:t>废气</w:t>
                  </w:r>
                </w:p>
              </w:tc>
              <w:tc>
                <w:tcPr>
                  <w:tcW w:w="1454" w:type="dxa"/>
                  <w:vAlign w:val="center"/>
                </w:tcPr>
                <w:p>
                  <w:pPr>
                    <w:pStyle w:val="84"/>
                    <w:rPr>
                      <w:color w:val="auto"/>
                    </w:rPr>
                  </w:pPr>
                  <w:r>
                    <w:rPr>
                      <w:rFonts w:hint="eastAsia"/>
                      <w:color w:val="auto"/>
                    </w:rPr>
                    <w:t>制粒粉尘</w:t>
                  </w:r>
                </w:p>
              </w:tc>
              <w:tc>
                <w:tcPr>
                  <w:tcW w:w="1942" w:type="dxa"/>
                  <w:vAlign w:val="center"/>
                </w:tcPr>
                <w:p>
                  <w:pPr>
                    <w:pStyle w:val="84"/>
                    <w:rPr>
                      <w:color w:val="auto"/>
                    </w:rPr>
                  </w:pPr>
                  <w:r>
                    <w:rPr>
                      <w:rFonts w:hint="eastAsia"/>
                      <w:color w:val="auto"/>
                    </w:rPr>
                    <w:t>集气罩+布袋除尘器+15m排气筒</w:t>
                  </w:r>
                </w:p>
              </w:tc>
              <w:tc>
                <w:tcPr>
                  <w:tcW w:w="1277" w:type="dxa"/>
                  <w:gridSpan w:val="2"/>
                  <w:vAlign w:val="center"/>
                </w:tcPr>
                <w:p>
                  <w:pPr>
                    <w:pStyle w:val="84"/>
                    <w:rPr>
                      <w:color w:val="auto"/>
                    </w:rPr>
                  </w:pPr>
                  <w:r>
                    <w:rPr>
                      <w:rFonts w:hint="eastAsia"/>
                      <w:color w:val="auto"/>
                    </w:rPr>
                    <w:t>1</w:t>
                  </w:r>
                  <w:r>
                    <w:rPr>
                      <w:color w:val="auto"/>
                    </w:rPr>
                    <w:t>套</w:t>
                  </w:r>
                </w:p>
              </w:tc>
              <w:tc>
                <w:tcPr>
                  <w:tcW w:w="1747" w:type="dxa"/>
                  <w:vAlign w:val="center"/>
                </w:tcPr>
                <w:p>
                  <w:pPr>
                    <w:pStyle w:val="84"/>
                    <w:rPr>
                      <w:color w:val="auto"/>
                    </w:rPr>
                  </w:pPr>
                  <w:r>
                    <w:rPr>
                      <w:rFonts w:hint="eastAsia"/>
                      <w:color w:val="auto"/>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trPr>
              <w:tc>
                <w:tcPr>
                  <w:tcW w:w="1140" w:type="dxa"/>
                  <w:vMerge w:val="continue"/>
                  <w:vAlign w:val="center"/>
                </w:tcPr>
                <w:p>
                  <w:pPr>
                    <w:pStyle w:val="84"/>
                    <w:rPr>
                      <w:color w:val="auto"/>
                    </w:rPr>
                  </w:pPr>
                </w:p>
              </w:tc>
              <w:tc>
                <w:tcPr>
                  <w:tcW w:w="1454" w:type="dxa"/>
                  <w:vAlign w:val="center"/>
                </w:tcPr>
                <w:p>
                  <w:pPr>
                    <w:pStyle w:val="84"/>
                    <w:rPr>
                      <w:color w:val="auto"/>
                    </w:rPr>
                  </w:pPr>
                  <w:r>
                    <w:rPr>
                      <w:rFonts w:hint="eastAsia"/>
                      <w:color w:val="auto"/>
                    </w:rPr>
                    <w:t>烘干粉尘及天然气燃烧废气</w:t>
                  </w:r>
                </w:p>
              </w:tc>
              <w:tc>
                <w:tcPr>
                  <w:tcW w:w="1942" w:type="dxa"/>
                  <w:vAlign w:val="center"/>
                </w:tcPr>
                <w:p>
                  <w:pPr>
                    <w:pStyle w:val="84"/>
                    <w:rPr>
                      <w:color w:val="auto"/>
                    </w:rPr>
                  </w:pPr>
                  <w:r>
                    <w:rPr>
                      <w:rFonts w:hint="eastAsia"/>
                      <w:color w:val="auto"/>
                    </w:rPr>
                    <w:t>集气罩+喷淋装置+除雾器+20m排气筒</w:t>
                  </w:r>
                </w:p>
              </w:tc>
              <w:tc>
                <w:tcPr>
                  <w:tcW w:w="1277" w:type="dxa"/>
                  <w:gridSpan w:val="2"/>
                  <w:vAlign w:val="center"/>
                </w:tcPr>
                <w:p>
                  <w:pPr>
                    <w:pStyle w:val="84"/>
                    <w:rPr>
                      <w:color w:val="auto"/>
                    </w:rPr>
                  </w:pPr>
                  <w:r>
                    <w:rPr>
                      <w:rFonts w:hint="eastAsia"/>
                      <w:color w:val="auto"/>
                    </w:rPr>
                    <w:t>1</w:t>
                  </w:r>
                  <w:r>
                    <w:rPr>
                      <w:color w:val="auto"/>
                    </w:rPr>
                    <w:t>套</w:t>
                  </w:r>
                </w:p>
              </w:tc>
              <w:tc>
                <w:tcPr>
                  <w:tcW w:w="1747" w:type="dxa"/>
                  <w:vAlign w:val="center"/>
                </w:tcPr>
                <w:p>
                  <w:pPr>
                    <w:pStyle w:val="84"/>
                    <w:rPr>
                      <w:color w:val="auto"/>
                    </w:rPr>
                  </w:pPr>
                  <w:r>
                    <w:rPr>
                      <w:rFonts w:hint="eastAsia"/>
                      <w:color w:val="auto"/>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trPr>
              <w:tc>
                <w:tcPr>
                  <w:tcW w:w="1140" w:type="dxa"/>
                  <w:vMerge w:val="continue"/>
                  <w:vAlign w:val="center"/>
                </w:tcPr>
                <w:p>
                  <w:pPr>
                    <w:pStyle w:val="84"/>
                    <w:rPr>
                      <w:color w:val="auto"/>
                    </w:rPr>
                  </w:pPr>
                </w:p>
              </w:tc>
              <w:tc>
                <w:tcPr>
                  <w:tcW w:w="1454" w:type="dxa"/>
                  <w:vAlign w:val="center"/>
                </w:tcPr>
                <w:p>
                  <w:pPr>
                    <w:pStyle w:val="84"/>
                    <w:rPr>
                      <w:color w:val="auto"/>
                    </w:rPr>
                  </w:pPr>
                  <w:r>
                    <w:rPr>
                      <w:rFonts w:hint="eastAsia"/>
                      <w:color w:val="auto"/>
                    </w:rPr>
                    <w:t>熔融粉尘</w:t>
                  </w:r>
                </w:p>
              </w:tc>
              <w:tc>
                <w:tcPr>
                  <w:tcW w:w="1942" w:type="dxa"/>
                  <w:vAlign w:val="center"/>
                </w:tcPr>
                <w:p>
                  <w:pPr>
                    <w:pStyle w:val="84"/>
                    <w:rPr>
                      <w:color w:val="auto"/>
                    </w:rPr>
                  </w:pPr>
                  <w:r>
                    <w:rPr>
                      <w:rFonts w:hint="eastAsia"/>
                      <w:color w:val="auto"/>
                    </w:rPr>
                    <w:t>集气罩+防火软帘+布袋除尘器+15m排气筒</w:t>
                  </w:r>
                </w:p>
              </w:tc>
              <w:tc>
                <w:tcPr>
                  <w:tcW w:w="1277" w:type="dxa"/>
                  <w:gridSpan w:val="2"/>
                  <w:vAlign w:val="center"/>
                </w:tcPr>
                <w:p>
                  <w:pPr>
                    <w:pStyle w:val="84"/>
                    <w:rPr>
                      <w:color w:val="auto"/>
                    </w:rPr>
                  </w:pPr>
                  <w:r>
                    <w:rPr>
                      <w:rFonts w:hint="eastAsia"/>
                      <w:color w:val="auto"/>
                    </w:rPr>
                    <w:t>1</w:t>
                  </w:r>
                  <w:r>
                    <w:rPr>
                      <w:color w:val="auto"/>
                    </w:rPr>
                    <w:t>套</w:t>
                  </w:r>
                </w:p>
              </w:tc>
              <w:tc>
                <w:tcPr>
                  <w:tcW w:w="1747" w:type="dxa"/>
                  <w:vAlign w:val="center"/>
                </w:tcPr>
                <w:p>
                  <w:pPr>
                    <w:pStyle w:val="84"/>
                    <w:rPr>
                      <w:color w:val="auto"/>
                    </w:rPr>
                  </w:pPr>
                  <w:r>
                    <w:rPr>
                      <w:rFonts w:hint="eastAsia"/>
                      <w:color w:val="auto"/>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trPr>
              <w:tc>
                <w:tcPr>
                  <w:tcW w:w="1140" w:type="dxa"/>
                  <w:vMerge w:val="continue"/>
                  <w:vAlign w:val="center"/>
                </w:tcPr>
                <w:p>
                  <w:pPr>
                    <w:pStyle w:val="84"/>
                    <w:rPr>
                      <w:color w:val="auto"/>
                    </w:rPr>
                  </w:pPr>
                </w:p>
              </w:tc>
              <w:tc>
                <w:tcPr>
                  <w:tcW w:w="1454" w:type="dxa"/>
                  <w:vAlign w:val="center"/>
                </w:tcPr>
                <w:p>
                  <w:pPr>
                    <w:pStyle w:val="84"/>
                    <w:rPr>
                      <w:color w:val="auto"/>
                    </w:rPr>
                  </w:pPr>
                  <w:r>
                    <w:rPr>
                      <w:rFonts w:hint="eastAsia"/>
                      <w:color w:val="auto"/>
                    </w:rPr>
                    <w:t>烘干异味</w:t>
                  </w:r>
                </w:p>
              </w:tc>
              <w:tc>
                <w:tcPr>
                  <w:tcW w:w="1942" w:type="dxa"/>
                  <w:vAlign w:val="center"/>
                </w:tcPr>
                <w:p>
                  <w:pPr>
                    <w:pStyle w:val="84"/>
                    <w:rPr>
                      <w:color w:val="auto"/>
                    </w:rPr>
                  </w:pPr>
                  <w:r>
                    <w:rPr>
                      <w:rFonts w:hint="eastAsia"/>
                      <w:color w:val="auto"/>
                    </w:rPr>
                    <w:t>活性炭吸附装置</w:t>
                  </w:r>
                </w:p>
              </w:tc>
              <w:tc>
                <w:tcPr>
                  <w:tcW w:w="1277" w:type="dxa"/>
                  <w:gridSpan w:val="2"/>
                  <w:vAlign w:val="center"/>
                </w:tcPr>
                <w:p>
                  <w:pPr>
                    <w:pStyle w:val="84"/>
                    <w:rPr>
                      <w:color w:val="auto"/>
                    </w:rPr>
                  </w:pPr>
                  <w:r>
                    <w:rPr>
                      <w:rFonts w:hint="eastAsia"/>
                      <w:color w:val="auto"/>
                    </w:rPr>
                    <w:t>1</w:t>
                  </w:r>
                  <w:r>
                    <w:rPr>
                      <w:color w:val="auto"/>
                    </w:rPr>
                    <w:t>套</w:t>
                  </w:r>
                </w:p>
              </w:tc>
              <w:tc>
                <w:tcPr>
                  <w:tcW w:w="1747" w:type="dxa"/>
                  <w:vAlign w:val="center"/>
                </w:tcPr>
                <w:p>
                  <w:pPr>
                    <w:pStyle w:val="84"/>
                    <w:rPr>
                      <w:color w:val="auto"/>
                    </w:rPr>
                  </w:pPr>
                  <w:r>
                    <w:rPr>
                      <w:rFonts w:hint="eastAsia"/>
                      <w:color w:val="auto"/>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1140" w:type="dxa"/>
                  <w:vMerge w:val="restart"/>
                  <w:vAlign w:val="center"/>
                </w:tcPr>
                <w:p>
                  <w:pPr>
                    <w:pStyle w:val="84"/>
                    <w:rPr>
                      <w:color w:val="auto"/>
                    </w:rPr>
                  </w:pPr>
                  <w:r>
                    <w:rPr>
                      <w:rFonts w:hint="eastAsia"/>
                      <w:color w:val="auto"/>
                    </w:rPr>
                    <w:t>废水</w:t>
                  </w:r>
                </w:p>
              </w:tc>
              <w:tc>
                <w:tcPr>
                  <w:tcW w:w="1454" w:type="dxa"/>
                  <w:vMerge w:val="restart"/>
                  <w:vAlign w:val="center"/>
                </w:tcPr>
                <w:p>
                  <w:pPr>
                    <w:pStyle w:val="84"/>
                    <w:rPr>
                      <w:color w:val="auto"/>
                    </w:rPr>
                  </w:pPr>
                  <w:r>
                    <w:rPr>
                      <w:rFonts w:hint="eastAsia"/>
                      <w:color w:val="auto"/>
                    </w:rPr>
                    <w:t>SS</w:t>
                  </w:r>
                </w:p>
              </w:tc>
              <w:tc>
                <w:tcPr>
                  <w:tcW w:w="1942" w:type="dxa"/>
                  <w:vAlign w:val="center"/>
                </w:tcPr>
                <w:p>
                  <w:pPr>
                    <w:pStyle w:val="84"/>
                    <w:rPr>
                      <w:color w:val="auto"/>
                    </w:rPr>
                  </w:pPr>
                  <w:r>
                    <w:rPr>
                      <w:rFonts w:hint="eastAsia"/>
                      <w:color w:val="auto"/>
                    </w:rPr>
                    <w:t>沉淀池</w:t>
                  </w:r>
                </w:p>
              </w:tc>
              <w:tc>
                <w:tcPr>
                  <w:tcW w:w="1277" w:type="dxa"/>
                  <w:gridSpan w:val="2"/>
                  <w:vMerge w:val="restart"/>
                  <w:vAlign w:val="center"/>
                </w:tcPr>
                <w:p>
                  <w:pPr>
                    <w:pStyle w:val="84"/>
                    <w:rPr>
                      <w:color w:val="auto"/>
                    </w:rPr>
                  </w:pPr>
                  <w:r>
                    <w:rPr>
                      <w:rFonts w:hint="eastAsia"/>
                      <w:color w:val="auto"/>
                    </w:rPr>
                    <w:t>1座</w:t>
                  </w:r>
                </w:p>
              </w:tc>
              <w:tc>
                <w:tcPr>
                  <w:tcW w:w="1747" w:type="dxa"/>
                  <w:vMerge w:val="restart"/>
                  <w:vAlign w:val="center"/>
                </w:tcPr>
                <w:p>
                  <w:pPr>
                    <w:pStyle w:val="84"/>
                    <w:rPr>
                      <w:color w:val="auto"/>
                    </w:rPr>
                  </w:pPr>
                  <w:r>
                    <w:rPr>
                      <w:rFonts w:hint="eastAsia"/>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1140" w:type="dxa"/>
                  <w:vMerge w:val="continue"/>
                  <w:vAlign w:val="center"/>
                </w:tcPr>
                <w:p>
                  <w:pPr>
                    <w:pStyle w:val="84"/>
                    <w:rPr>
                      <w:color w:val="auto"/>
                    </w:rPr>
                  </w:pPr>
                </w:p>
              </w:tc>
              <w:tc>
                <w:tcPr>
                  <w:tcW w:w="1454" w:type="dxa"/>
                  <w:vMerge w:val="continue"/>
                  <w:vAlign w:val="center"/>
                </w:tcPr>
                <w:p>
                  <w:pPr>
                    <w:pStyle w:val="84"/>
                    <w:rPr>
                      <w:color w:val="auto"/>
                    </w:rPr>
                  </w:pPr>
                </w:p>
              </w:tc>
              <w:tc>
                <w:tcPr>
                  <w:tcW w:w="1942" w:type="dxa"/>
                  <w:vAlign w:val="center"/>
                </w:tcPr>
                <w:p>
                  <w:pPr>
                    <w:pStyle w:val="84"/>
                    <w:rPr>
                      <w:color w:val="auto"/>
                    </w:rPr>
                  </w:pPr>
                  <w:r>
                    <w:rPr>
                      <w:rFonts w:hint="eastAsia"/>
                      <w:color w:val="auto"/>
                    </w:rPr>
                    <w:t>压滤机</w:t>
                  </w:r>
                </w:p>
              </w:tc>
              <w:tc>
                <w:tcPr>
                  <w:tcW w:w="1277" w:type="dxa"/>
                  <w:gridSpan w:val="2"/>
                  <w:vMerge w:val="continue"/>
                  <w:vAlign w:val="center"/>
                </w:tcPr>
                <w:p>
                  <w:pPr>
                    <w:pStyle w:val="84"/>
                    <w:rPr>
                      <w:color w:val="auto"/>
                    </w:rPr>
                  </w:pPr>
                </w:p>
              </w:tc>
              <w:tc>
                <w:tcPr>
                  <w:tcW w:w="1747" w:type="dxa"/>
                  <w:vMerge w:val="continue"/>
                  <w:vAlign w:val="center"/>
                </w:tcPr>
                <w:p>
                  <w:pPr>
                    <w:pStyle w:val="84"/>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0" w:type="dxa"/>
                  <w:vAlign w:val="center"/>
                </w:tcPr>
                <w:p>
                  <w:pPr>
                    <w:pStyle w:val="84"/>
                    <w:rPr>
                      <w:color w:val="auto"/>
                    </w:rPr>
                  </w:pPr>
                  <w:r>
                    <w:rPr>
                      <w:color w:val="auto"/>
                    </w:rPr>
                    <w:t>噪声</w:t>
                  </w:r>
                </w:p>
              </w:tc>
              <w:tc>
                <w:tcPr>
                  <w:tcW w:w="1454" w:type="dxa"/>
                  <w:vAlign w:val="center"/>
                </w:tcPr>
                <w:p>
                  <w:pPr>
                    <w:pStyle w:val="84"/>
                    <w:rPr>
                      <w:color w:val="auto"/>
                    </w:rPr>
                  </w:pPr>
                  <w:r>
                    <w:rPr>
                      <w:color w:val="auto"/>
                    </w:rPr>
                    <w:t>噪声</w:t>
                  </w:r>
                </w:p>
              </w:tc>
              <w:tc>
                <w:tcPr>
                  <w:tcW w:w="1942" w:type="dxa"/>
                  <w:vAlign w:val="center"/>
                </w:tcPr>
                <w:p>
                  <w:pPr>
                    <w:pStyle w:val="84"/>
                    <w:rPr>
                      <w:color w:val="auto"/>
                    </w:rPr>
                  </w:pPr>
                  <w:r>
                    <w:rPr>
                      <w:color w:val="auto"/>
                    </w:rPr>
                    <w:t>基础减振、</w:t>
                  </w:r>
                  <w:r>
                    <w:rPr>
                      <w:rFonts w:hint="eastAsia"/>
                      <w:color w:val="auto"/>
                    </w:rPr>
                    <w:t>隔声等措施</w:t>
                  </w:r>
                </w:p>
              </w:tc>
              <w:tc>
                <w:tcPr>
                  <w:tcW w:w="1269" w:type="dxa"/>
                  <w:vAlign w:val="center"/>
                </w:tcPr>
                <w:p>
                  <w:pPr>
                    <w:pStyle w:val="84"/>
                    <w:rPr>
                      <w:color w:val="auto"/>
                    </w:rPr>
                  </w:pPr>
                  <w:r>
                    <w:rPr>
                      <w:color w:val="auto"/>
                    </w:rPr>
                    <w:t>/</w:t>
                  </w:r>
                </w:p>
              </w:tc>
              <w:tc>
                <w:tcPr>
                  <w:tcW w:w="1755" w:type="dxa"/>
                  <w:gridSpan w:val="2"/>
                  <w:vAlign w:val="center"/>
                </w:tcPr>
                <w:p>
                  <w:pPr>
                    <w:pStyle w:val="84"/>
                    <w:rPr>
                      <w:color w:val="auto"/>
                    </w:rPr>
                  </w:pPr>
                  <w:r>
                    <w:rPr>
                      <w:rFonts w:hint="eastAsia"/>
                      <w:color w:val="auto"/>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0" w:type="dxa"/>
                  <w:vMerge w:val="restart"/>
                  <w:vAlign w:val="center"/>
                </w:tcPr>
                <w:p>
                  <w:pPr>
                    <w:pStyle w:val="84"/>
                    <w:rPr>
                      <w:color w:val="auto"/>
                    </w:rPr>
                  </w:pPr>
                  <w:r>
                    <w:rPr>
                      <w:color w:val="auto"/>
                    </w:rPr>
                    <w:t>固废</w:t>
                  </w:r>
                </w:p>
              </w:tc>
              <w:tc>
                <w:tcPr>
                  <w:tcW w:w="1454" w:type="dxa"/>
                  <w:vAlign w:val="center"/>
                </w:tcPr>
                <w:p>
                  <w:pPr>
                    <w:pStyle w:val="84"/>
                    <w:rPr>
                      <w:color w:val="auto"/>
                    </w:rPr>
                  </w:pPr>
                  <w:r>
                    <w:rPr>
                      <w:rFonts w:hint="eastAsia"/>
                      <w:color w:val="auto"/>
                    </w:rPr>
                    <w:t>一般固废</w:t>
                  </w:r>
                </w:p>
              </w:tc>
              <w:tc>
                <w:tcPr>
                  <w:tcW w:w="1942" w:type="dxa"/>
                  <w:vAlign w:val="center"/>
                </w:tcPr>
                <w:p>
                  <w:pPr>
                    <w:pStyle w:val="84"/>
                    <w:rPr>
                      <w:color w:val="auto"/>
                    </w:rPr>
                  </w:pPr>
                  <w:r>
                    <w:rPr>
                      <w:rFonts w:hint="eastAsia"/>
                      <w:color w:val="auto"/>
                    </w:rPr>
                    <w:t>硅渣暂存区</w:t>
                  </w:r>
                </w:p>
              </w:tc>
              <w:tc>
                <w:tcPr>
                  <w:tcW w:w="1269" w:type="dxa"/>
                  <w:vAlign w:val="center"/>
                </w:tcPr>
                <w:p>
                  <w:pPr>
                    <w:pStyle w:val="84"/>
                    <w:rPr>
                      <w:color w:val="auto"/>
                    </w:rPr>
                  </w:pPr>
                  <w:r>
                    <w:rPr>
                      <w:rFonts w:hint="eastAsia"/>
                      <w:color w:val="auto"/>
                    </w:rPr>
                    <w:t>/</w:t>
                  </w:r>
                </w:p>
              </w:tc>
              <w:tc>
                <w:tcPr>
                  <w:tcW w:w="1755" w:type="dxa"/>
                  <w:gridSpan w:val="2"/>
                  <w:vAlign w:val="center"/>
                </w:tcPr>
                <w:p>
                  <w:pPr>
                    <w:pStyle w:val="84"/>
                    <w:rPr>
                      <w:color w:val="auto"/>
                    </w:rPr>
                  </w:pPr>
                  <w:r>
                    <w:rPr>
                      <w:rFonts w:hint="eastAsia"/>
                      <w:color w:val="auto"/>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0" w:type="dxa"/>
                  <w:vMerge w:val="continue"/>
                  <w:vAlign w:val="center"/>
                </w:tcPr>
                <w:p>
                  <w:pPr>
                    <w:pStyle w:val="84"/>
                    <w:rPr>
                      <w:color w:val="auto"/>
                    </w:rPr>
                  </w:pPr>
                </w:p>
              </w:tc>
              <w:tc>
                <w:tcPr>
                  <w:tcW w:w="1454" w:type="dxa"/>
                  <w:vAlign w:val="center"/>
                </w:tcPr>
                <w:p>
                  <w:pPr>
                    <w:pStyle w:val="84"/>
                    <w:rPr>
                      <w:color w:val="auto"/>
                    </w:rPr>
                  </w:pPr>
                  <w:r>
                    <w:rPr>
                      <w:rFonts w:hint="eastAsia"/>
                      <w:color w:val="auto"/>
                    </w:rPr>
                    <w:t>危险废物</w:t>
                  </w:r>
                </w:p>
              </w:tc>
              <w:tc>
                <w:tcPr>
                  <w:tcW w:w="1942" w:type="dxa"/>
                  <w:vAlign w:val="center"/>
                </w:tcPr>
                <w:p>
                  <w:pPr>
                    <w:pStyle w:val="84"/>
                    <w:rPr>
                      <w:color w:val="auto"/>
                    </w:rPr>
                  </w:pPr>
                  <w:r>
                    <w:rPr>
                      <w:rFonts w:hint="eastAsia"/>
                      <w:color w:val="auto"/>
                    </w:rPr>
                    <w:t>危废暂存间</w:t>
                  </w:r>
                </w:p>
              </w:tc>
              <w:tc>
                <w:tcPr>
                  <w:tcW w:w="1269" w:type="dxa"/>
                  <w:vAlign w:val="center"/>
                </w:tcPr>
                <w:p>
                  <w:pPr>
                    <w:pStyle w:val="84"/>
                    <w:rPr>
                      <w:color w:val="auto"/>
                    </w:rPr>
                  </w:pPr>
                  <w:r>
                    <w:rPr>
                      <w:rFonts w:hint="eastAsia"/>
                      <w:color w:val="auto"/>
                    </w:rPr>
                    <w:t>1处</w:t>
                  </w:r>
                </w:p>
              </w:tc>
              <w:tc>
                <w:tcPr>
                  <w:tcW w:w="1755" w:type="dxa"/>
                  <w:gridSpan w:val="2"/>
                  <w:vAlign w:val="center"/>
                </w:tcPr>
                <w:p>
                  <w:pPr>
                    <w:pStyle w:val="84"/>
                    <w:rPr>
                      <w:color w:val="auto"/>
                    </w:rPr>
                  </w:pPr>
                  <w:r>
                    <w:rPr>
                      <w:rFonts w:hint="eastAsia"/>
                      <w:color w:val="auto"/>
                    </w:rPr>
                    <w:t>（依托原有）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4536" w:type="dxa"/>
                  <w:gridSpan w:val="3"/>
                  <w:vAlign w:val="center"/>
                </w:tcPr>
                <w:p>
                  <w:pPr>
                    <w:pStyle w:val="84"/>
                    <w:rPr>
                      <w:color w:val="auto"/>
                    </w:rPr>
                  </w:pPr>
                  <w:r>
                    <w:rPr>
                      <w:rFonts w:hint="eastAsia"/>
                      <w:color w:val="auto"/>
                    </w:rPr>
                    <w:t>监测费用</w:t>
                  </w:r>
                </w:p>
              </w:tc>
              <w:tc>
                <w:tcPr>
                  <w:tcW w:w="1269" w:type="dxa"/>
                  <w:vAlign w:val="center"/>
                </w:tcPr>
                <w:p>
                  <w:pPr>
                    <w:pStyle w:val="84"/>
                    <w:rPr>
                      <w:color w:val="auto"/>
                    </w:rPr>
                  </w:pPr>
                  <w:r>
                    <w:rPr>
                      <w:rFonts w:hint="eastAsia"/>
                      <w:color w:val="auto"/>
                    </w:rPr>
                    <w:t>/</w:t>
                  </w:r>
                </w:p>
              </w:tc>
              <w:tc>
                <w:tcPr>
                  <w:tcW w:w="1755" w:type="dxa"/>
                  <w:gridSpan w:val="2"/>
                  <w:vAlign w:val="center"/>
                </w:tcPr>
                <w:p>
                  <w:pPr>
                    <w:pStyle w:val="84"/>
                    <w:rPr>
                      <w:color w:val="auto"/>
                    </w:rPr>
                  </w:pPr>
                  <w:r>
                    <w:rPr>
                      <w:rFonts w:hint="eastAsia"/>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36" w:type="dxa"/>
                  <w:gridSpan w:val="3"/>
                  <w:vAlign w:val="center"/>
                </w:tcPr>
                <w:p>
                  <w:pPr>
                    <w:pStyle w:val="84"/>
                    <w:rPr>
                      <w:color w:val="auto"/>
                    </w:rPr>
                  </w:pPr>
                  <w:r>
                    <w:rPr>
                      <w:rFonts w:hint="eastAsia"/>
                      <w:color w:val="auto"/>
                    </w:rPr>
                    <w:t>环境影响评价</w:t>
                  </w:r>
                </w:p>
              </w:tc>
              <w:tc>
                <w:tcPr>
                  <w:tcW w:w="1269" w:type="dxa"/>
                  <w:vAlign w:val="center"/>
                </w:tcPr>
                <w:p>
                  <w:pPr>
                    <w:pStyle w:val="84"/>
                    <w:rPr>
                      <w:color w:val="auto"/>
                    </w:rPr>
                  </w:pPr>
                  <w:r>
                    <w:rPr>
                      <w:rFonts w:hint="eastAsia"/>
                      <w:color w:val="auto"/>
                    </w:rPr>
                    <w:t>/</w:t>
                  </w:r>
                </w:p>
              </w:tc>
              <w:tc>
                <w:tcPr>
                  <w:tcW w:w="1755" w:type="dxa"/>
                  <w:gridSpan w:val="2"/>
                  <w:vAlign w:val="center"/>
                </w:tcPr>
                <w:p>
                  <w:pPr>
                    <w:pStyle w:val="84"/>
                    <w:rPr>
                      <w:color w:val="auto"/>
                    </w:rPr>
                  </w:pPr>
                  <w:r>
                    <w:rPr>
                      <w:rFonts w:hint="eastAsia"/>
                      <w:color w:val="auto"/>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36" w:type="dxa"/>
                  <w:gridSpan w:val="3"/>
                  <w:vAlign w:val="center"/>
                </w:tcPr>
                <w:p>
                  <w:pPr>
                    <w:pStyle w:val="84"/>
                    <w:rPr>
                      <w:color w:val="auto"/>
                    </w:rPr>
                  </w:pPr>
                  <w:r>
                    <w:rPr>
                      <w:rFonts w:hint="eastAsia"/>
                      <w:color w:val="auto"/>
                    </w:rPr>
                    <w:t>突发性环境事件应急预案</w:t>
                  </w:r>
                </w:p>
              </w:tc>
              <w:tc>
                <w:tcPr>
                  <w:tcW w:w="1269" w:type="dxa"/>
                  <w:vAlign w:val="center"/>
                </w:tcPr>
                <w:p>
                  <w:pPr>
                    <w:pStyle w:val="84"/>
                    <w:rPr>
                      <w:color w:val="auto"/>
                    </w:rPr>
                  </w:pPr>
                  <w:r>
                    <w:rPr>
                      <w:rFonts w:hint="eastAsia"/>
                      <w:color w:val="auto"/>
                    </w:rPr>
                    <w:t>/</w:t>
                  </w:r>
                </w:p>
              </w:tc>
              <w:tc>
                <w:tcPr>
                  <w:tcW w:w="1755" w:type="dxa"/>
                  <w:gridSpan w:val="2"/>
                  <w:vAlign w:val="center"/>
                </w:tcPr>
                <w:p>
                  <w:pPr>
                    <w:pStyle w:val="84"/>
                    <w:rPr>
                      <w:color w:val="auto"/>
                    </w:rPr>
                  </w:pPr>
                  <w:r>
                    <w:rPr>
                      <w:rFonts w:hint="eastAsia"/>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36" w:type="dxa"/>
                  <w:gridSpan w:val="3"/>
                  <w:vAlign w:val="center"/>
                </w:tcPr>
                <w:p>
                  <w:pPr>
                    <w:pStyle w:val="84"/>
                    <w:rPr>
                      <w:color w:val="auto"/>
                    </w:rPr>
                  </w:pPr>
                  <w:r>
                    <w:rPr>
                      <w:rFonts w:hint="eastAsia"/>
                      <w:color w:val="auto"/>
                    </w:rPr>
                    <w:t>环境保护竣工验收</w:t>
                  </w:r>
                </w:p>
              </w:tc>
              <w:tc>
                <w:tcPr>
                  <w:tcW w:w="1269" w:type="dxa"/>
                  <w:vAlign w:val="center"/>
                </w:tcPr>
                <w:p>
                  <w:pPr>
                    <w:pStyle w:val="84"/>
                    <w:rPr>
                      <w:color w:val="auto"/>
                    </w:rPr>
                  </w:pPr>
                  <w:r>
                    <w:rPr>
                      <w:rFonts w:hint="eastAsia"/>
                      <w:color w:val="auto"/>
                    </w:rPr>
                    <w:t>/</w:t>
                  </w:r>
                </w:p>
              </w:tc>
              <w:tc>
                <w:tcPr>
                  <w:tcW w:w="1755" w:type="dxa"/>
                  <w:gridSpan w:val="2"/>
                  <w:vAlign w:val="center"/>
                </w:tcPr>
                <w:p>
                  <w:pPr>
                    <w:pStyle w:val="84"/>
                    <w:rPr>
                      <w:color w:val="auto"/>
                    </w:rPr>
                  </w:pPr>
                  <w:r>
                    <w:rPr>
                      <w:rFonts w:hint="eastAsia"/>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4536" w:type="dxa"/>
                  <w:gridSpan w:val="3"/>
                  <w:vAlign w:val="center"/>
                </w:tcPr>
                <w:p>
                  <w:pPr>
                    <w:pStyle w:val="84"/>
                    <w:rPr>
                      <w:color w:val="auto"/>
                    </w:rPr>
                  </w:pPr>
                  <w:r>
                    <w:rPr>
                      <w:color w:val="auto"/>
                    </w:rPr>
                    <w:t>运行</w:t>
                  </w:r>
                  <w:r>
                    <w:rPr>
                      <w:rFonts w:hint="eastAsia"/>
                      <w:color w:val="auto"/>
                    </w:rPr>
                    <w:t>管理</w:t>
                  </w:r>
                  <w:r>
                    <w:rPr>
                      <w:color w:val="auto"/>
                    </w:rPr>
                    <w:t>费用</w:t>
                  </w:r>
                </w:p>
              </w:tc>
              <w:tc>
                <w:tcPr>
                  <w:tcW w:w="1269" w:type="dxa"/>
                  <w:vAlign w:val="center"/>
                </w:tcPr>
                <w:p>
                  <w:pPr>
                    <w:pStyle w:val="84"/>
                    <w:rPr>
                      <w:color w:val="auto"/>
                    </w:rPr>
                  </w:pPr>
                  <w:r>
                    <w:rPr>
                      <w:rFonts w:hint="eastAsia"/>
                      <w:color w:val="auto"/>
                    </w:rPr>
                    <w:t>/</w:t>
                  </w:r>
                </w:p>
              </w:tc>
              <w:tc>
                <w:tcPr>
                  <w:tcW w:w="1755" w:type="dxa"/>
                  <w:gridSpan w:val="2"/>
                  <w:vAlign w:val="center"/>
                </w:tcPr>
                <w:p>
                  <w:pPr>
                    <w:pStyle w:val="84"/>
                    <w:rPr>
                      <w:color w:val="auto"/>
                    </w:rPr>
                  </w:pPr>
                  <w:r>
                    <w:rPr>
                      <w:rFonts w:hint="eastAsia"/>
                      <w:color w:val="auto"/>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05" w:type="dxa"/>
                  <w:gridSpan w:val="4"/>
                  <w:vAlign w:val="center"/>
                </w:tcPr>
                <w:p>
                  <w:pPr>
                    <w:pStyle w:val="84"/>
                    <w:rPr>
                      <w:color w:val="auto"/>
                    </w:rPr>
                  </w:pPr>
                  <w:r>
                    <w:rPr>
                      <w:rFonts w:hint="eastAsia"/>
                      <w:color w:val="auto"/>
                    </w:rPr>
                    <w:t>合计</w:t>
                  </w:r>
                </w:p>
              </w:tc>
              <w:tc>
                <w:tcPr>
                  <w:tcW w:w="1755" w:type="dxa"/>
                  <w:gridSpan w:val="2"/>
                  <w:vAlign w:val="center"/>
                </w:tcPr>
                <w:p>
                  <w:pPr>
                    <w:pStyle w:val="84"/>
                    <w:rPr>
                      <w:color w:val="auto"/>
                    </w:rPr>
                  </w:pPr>
                  <w:r>
                    <w:rPr>
                      <w:rFonts w:hint="eastAsia"/>
                      <w:color w:val="auto"/>
                    </w:rPr>
                    <w:t>76.5</w:t>
                  </w:r>
                </w:p>
              </w:tc>
            </w:tr>
          </w:tbl>
          <w:p>
            <w:pPr>
              <w:pStyle w:val="85"/>
              <w:rPr>
                <w:color w:val="auto"/>
              </w:rPr>
            </w:pPr>
          </w:p>
          <w:p>
            <w:pPr>
              <w:ind w:firstLine="480"/>
            </w:pPr>
            <w:r>
              <w:rPr>
                <w:rFonts w:hint="eastAsia"/>
              </w:rPr>
              <w:t>十、环境保护设施验收清单</w:t>
            </w:r>
          </w:p>
          <w:p>
            <w:pPr>
              <w:ind w:firstLine="480"/>
            </w:pPr>
            <w:r>
              <w:rPr>
                <w:rFonts w:hint="eastAsia"/>
              </w:rPr>
              <w:t>本项目环保设施清单见表4-14。</w:t>
            </w:r>
          </w:p>
          <w:p>
            <w:pPr>
              <w:pStyle w:val="95"/>
              <w:rPr>
                <w:lang w:val="zh-CN"/>
              </w:rPr>
            </w:pPr>
            <w:r>
              <w:rPr>
                <w:rFonts w:hint="eastAsia"/>
                <w:lang w:val="zh-CN"/>
              </w:rPr>
              <w:t>表</w:t>
            </w:r>
            <w:r>
              <w:rPr>
                <w:rFonts w:hint="eastAsia"/>
              </w:rPr>
              <w:t>4-14</w:t>
            </w:r>
            <w:r>
              <w:rPr>
                <w:rFonts w:hint="eastAsia"/>
                <w:lang w:val="zh-CN"/>
              </w:rPr>
              <w:t>环境保护设施</w:t>
            </w:r>
            <w:r>
              <w:rPr>
                <w:rFonts w:hint="eastAsia"/>
              </w:rPr>
              <w:t>验收</w:t>
            </w:r>
            <w:r>
              <w:rPr>
                <w:rFonts w:hint="eastAsia"/>
                <w:lang w:val="zh-CN"/>
              </w:rPr>
              <w:t>清单</w:t>
            </w:r>
          </w:p>
          <w:tbl>
            <w:tblPr>
              <w:tblStyle w:val="36"/>
              <w:tblW w:w="75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06"/>
              <w:gridCol w:w="800"/>
              <w:gridCol w:w="1743"/>
              <w:gridCol w:w="1635"/>
              <w:gridCol w:w="972"/>
              <w:gridCol w:w="1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1" w:hRule="atLeast"/>
                <w:jc w:val="center"/>
              </w:trPr>
              <w:tc>
                <w:tcPr>
                  <w:tcW w:w="506" w:type="dxa"/>
                  <w:vAlign w:val="center"/>
                </w:tcPr>
                <w:p>
                  <w:pPr>
                    <w:pStyle w:val="91"/>
                  </w:pPr>
                  <w:r>
                    <w:t>类别</w:t>
                  </w:r>
                </w:p>
              </w:tc>
              <w:tc>
                <w:tcPr>
                  <w:tcW w:w="800" w:type="dxa"/>
                  <w:vAlign w:val="center"/>
                </w:tcPr>
                <w:p>
                  <w:pPr>
                    <w:pStyle w:val="91"/>
                  </w:pPr>
                  <w:r>
                    <w:t>污染因子</w:t>
                  </w:r>
                </w:p>
              </w:tc>
              <w:tc>
                <w:tcPr>
                  <w:tcW w:w="1743" w:type="dxa"/>
                  <w:vAlign w:val="center"/>
                </w:tcPr>
                <w:p>
                  <w:pPr>
                    <w:pStyle w:val="91"/>
                  </w:pPr>
                  <w:r>
                    <w:rPr>
                      <w:rFonts w:hint="eastAsia"/>
                    </w:rPr>
                    <w:t>排放</w:t>
                  </w:r>
                  <w:r>
                    <w:t>源</w:t>
                  </w:r>
                </w:p>
              </w:tc>
              <w:tc>
                <w:tcPr>
                  <w:tcW w:w="1635" w:type="dxa"/>
                  <w:vAlign w:val="center"/>
                </w:tcPr>
                <w:p>
                  <w:pPr>
                    <w:pStyle w:val="91"/>
                  </w:pPr>
                  <w:r>
                    <w:t>环保设施或措施</w:t>
                  </w:r>
                </w:p>
              </w:tc>
              <w:tc>
                <w:tcPr>
                  <w:tcW w:w="972" w:type="dxa"/>
                  <w:vAlign w:val="center"/>
                </w:tcPr>
                <w:p>
                  <w:pPr>
                    <w:pStyle w:val="91"/>
                  </w:pPr>
                  <w:r>
                    <w:rPr>
                      <w:rFonts w:hint="eastAsia"/>
                    </w:rPr>
                    <w:t>规定</w:t>
                  </w:r>
                  <w:r>
                    <w:t>/规模</w:t>
                  </w:r>
                </w:p>
              </w:tc>
              <w:tc>
                <w:tcPr>
                  <w:tcW w:w="1901" w:type="dxa"/>
                  <w:vAlign w:val="center"/>
                </w:tcPr>
                <w:p>
                  <w:pPr>
                    <w:pStyle w:val="91"/>
                  </w:pPr>
                  <w:r>
                    <w:t>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0" w:hRule="atLeast"/>
                <w:jc w:val="center"/>
              </w:trPr>
              <w:tc>
                <w:tcPr>
                  <w:tcW w:w="506" w:type="dxa"/>
                  <w:vMerge w:val="restart"/>
                  <w:vAlign w:val="center"/>
                </w:tcPr>
                <w:p>
                  <w:pPr>
                    <w:pStyle w:val="91"/>
                  </w:pPr>
                  <w:r>
                    <w:rPr>
                      <w:rFonts w:hint="eastAsia"/>
                    </w:rPr>
                    <w:t>废气</w:t>
                  </w:r>
                </w:p>
              </w:tc>
              <w:tc>
                <w:tcPr>
                  <w:tcW w:w="800" w:type="dxa"/>
                  <w:vMerge w:val="restart"/>
                  <w:vAlign w:val="center"/>
                </w:tcPr>
                <w:p>
                  <w:pPr>
                    <w:pStyle w:val="91"/>
                  </w:pPr>
                  <w:r>
                    <w:rPr>
                      <w:rFonts w:hint="eastAsia"/>
                    </w:rPr>
                    <w:t>颗粒物</w:t>
                  </w:r>
                </w:p>
              </w:tc>
              <w:tc>
                <w:tcPr>
                  <w:tcW w:w="1743" w:type="dxa"/>
                  <w:tcBorders>
                    <w:bottom w:val="single" w:color="000000" w:sz="2" w:space="0"/>
                  </w:tcBorders>
                  <w:vAlign w:val="center"/>
                </w:tcPr>
                <w:p>
                  <w:pPr>
                    <w:pStyle w:val="91"/>
                  </w:pPr>
                  <w:r>
                    <w:rPr>
                      <w:rFonts w:hint="eastAsia"/>
                    </w:rPr>
                    <w:t>制粒工序</w:t>
                  </w:r>
                </w:p>
              </w:tc>
              <w:tc>
                <w:tcPr>
                  <w:tcW w:w="1635" w:type="dxa"/>
                  <w:vAlign w:val="center"/>
                </w:tcPr>
                <w:p>
                  <w:pPr>
                    <w:pStyle w:val="91"/>
                  </w:pPr>
                  <w:r>
                    <w:rPr>
                      <w:rFonts w:hint="eastAsia"/>
                    </w:rPr>
                    <w:t>封闭车间；集气罩+布袋除尘器布袋+15m排气筒</w:t>
                  </w:r>
                </w:p>
              </w:tc>
              <w:tc>
                <w:tcPr>
                  <w:tcW w:w="972" w:type="dxa"/>
                  <w:tcBorders>
                    <w:bottom w:val="single" w:color="000000" w:sz="2" w:space="0"/>
                  </w:tcBorders>
                  <w:vAlign w:val="center"/>
                </w:tcPr>
                <w:p>
                  <w:pPr>
                    <w:pStyle w:val="91"/>
                  </w:pPr>
                  <w:r>
                    <w:rPr>
                      <w:rFonts w:hint="eastAsia"/>
                    </w:rPr>
                    <w:t>1套</w:t>
                  </w:r>
                </w:p>
              </w:tc>
              <w:tc>
                <w:tcPr>
                  <w:tcW w:w="1901" w:type="dxa"/>
                  <w:vMerge w:val="restart"/>
                  <w:vAlign w:val="center"/>
                </w:tcPr>
                <w:p>
                  <w:pPr>
                    <w:pStyle w:val="91"/>
                  </w:pPr>
                  <w:r>
                    <w:t>《大气污染物综合排放标准》(GB16297-1996)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0" w:hRule="atLeast"/>
                <w:jc w:val="center"/>
              </w:trPr>
              <w:tc>
                <w:tcPr>
                  <w:tcW w:w="506" w:type="dxa"/>
                  <w:vMerge w:val="continue"/>
                  <w:vAlign w:val="center"/>
                </w:tcPr>
                <w:p>
                  <w:pPr>
                    <w:pStyle w:val="91"/>
                  </w:pPr>
                </w:p>
              </w:tc>
              <w:tc>
                <w:tcPr>
                  <w:tcW w:w="800" w:type="dxa"/>
                  <w:vMerge w:val="continue"/>
                  <w:vAlign w:val="center"/>
                </w:tcPr>
                <w:p>
                  <w:pPr>
                    <w:pStyle w:val="91"/>
                  </w:pPr>
                </w:p>
              </w:tc>
              <w:tc>
                <w:tcPr>
                  <w:tcW w:w="1743" w:type="dxa"/>
                  <w:tcBorders>
                    <w:bottom w:val="single" w:color="000000" w:sz="2" w:space="0"/>
                  </w:tcBorders>
                  <w:vAlign w:val="center"/>
                </w:tcPr>
                <w:p>
                  <w:pPr>
                    <w:pStyle w:val="91"/>
                  </w:pPr>
                  <w:r>
                    <w:rPr>
                      <w:rFonts w:hint="eastAsia"/>
                    </w:rPr>
                    <w:t>烘干工序</w:t>
                  </w:r>
                </w:p>
              </w:tc>
              <w:tc>
                <w:tcPr>
                  <w:tcW w:w="1635" w:type="dxa"/>
                  <w:vAlign w:val="center"/>
                </w:tcPr>
                <w:p>
                  <w:pPr>
                    <w:pStyle w:val="91"/>
                  </w:pPr>
                  <w:r>
                    <w:rPr>
                      <w:rFonts w:hint="eastAsia"/>
                    </w:rPr>
                    <w:t>封闭车间；集气罩+喷淋装置+除雾器+20m排气筒</w:t>
                  </w:r>
                </w:p>
              </w:tc>
              <w:tc>
                <w:tcPr>
                  <w:tcW w:w="972" w:type="dxa"/>
                  <w:tcBorders>
                    <w:bottom w:val="single" w:color="000000" w:sz="2" w:space="0"/>
                  </w:tcBorders>
                  <w:vAlign w:val="center"/>
                </w:tcPr>
                <w:p>
                  <w:pPr>
                    <w:pStyle w:val="91"/>
                  </w:pPr>
                  <w:r>
                    <w:rPr>
                      <w:rFonts w:hint="eastAsia"/>
                    </w:rPr>
                    <w:t>1套</w:t>
                  </w:r>
                </w:p>
              </w:tc>
              <w:tc>
                <w:tcPr>
                  <w:tcW w:w="1901" w:type="dxa"/>
                  <w:vMerge w:val="continue"/>
                  <w:vAlign w:val="center"/>
                </w:tcPr>
                <w:p>
                  <w:pPr>
                    <w:pStyle w:val="9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0" w:hRule="atLeast"/>
                <w:jc w:val="center"/>
              </w:trPr>
              <w:tc>
                <w:tcPr>
                  <w:tcW w:w="506" w:type="dxa"/>
                  <w:vMerge w:val="continue"/>
                  <w:vAlign w:val="center"/>
                </w:tcPr>
                <w:p>
                  <w:pPr>
                    <w:pStyle w:val="91"/>
                  </w:pPr>
                </w:p>
              </w:tc>
              <w:tc>
                <w:tcPr>
                  <w:tcW w:w="800" w:type="dxa"/>
                  <w:vMerge w:val="continue"/>
                  <w:tcBorders>
                    <w:bottom w:val="single" w:color="000000" w:sz="2" w:space="0"/>
                  </w:tcBorders>
                  <w:vAlign w:val="center"/>
                </w:tcPr>
                <w:p>
                  <w:pPr>
                    <w:pStyle w:val="91"/>
                  </w:pPr>
                </w:p>
              </w:tc>
              <w:tc>
                <w:tcPr>
                  <w:tcW w:w="1743" w:type="dxa"/>
                  <w:tcBorders>
                    <w:bottom w:val="single" w:color="000000" w:sz="2" w:space="0"/>
                  </w:tcBorders>
                  <w:vAlign w:val="center"/>
                </w:tcPr>
                <w:p>
                  <w:pPr>
                    <w:pStyle w:val="91"/>
                  </w:pPr>
                  <w:r>
                    <w:rPr>
                      <w:rFonts w:hint="eastAsia"/>
                    </w:rPr>
                    <w:t>熔融工序</w:t>
                  </w:r>
                </w:p>
              </w:tc>
              <w:tc>
                <w:tcPr>
                  <w:tcW w:w="1635" w:type="dxa"/>
                  <w:vAlign w:val="center"/>
                </w:tcPr>
                <w:p>
                  <w:pPr>
                    <w:pStyle w:val="91"/>
                  </w:pPr>
                  <w:r>
                    <w:rPr>
                      <w:rFonts w:hint="eastAsia"/>
                    </w:rPr>
                    <w:t>封闭车间；集气罩+防火软帘+布袋除尘器+15m排气筒</w:t>
                  </w:r>
                </w:p>
              </w:tc>
              <w:tc>
                <w:tcPr>
                  <w:tcW w:w="972" w:type="dxa"/>
                  <w:tcBorders>
                    <w:bottom w:val="single" w:color="000000" w:sz="2" w:space="0"/>
                  </w:tcBorders>
                  <w:vAlign w:val="center"/>
                </w:tcPr>
                <w:p>
                  <w:pPr>
                    <w:pStyle w:val="91"/>
                  </w:pPr>
                  <w:r>
                    <w:rPr>
                      <w:rFonts w:hint="eastAsia"/>
                    </w:rPr>
                    <w:t>1套</w:t>
                  </w:r>
                </w:p>
              </w:tc>
              <w:tc>
                <w:tcPr>
                  <w:tcW w:w="1901" w:type="dxa"/>
                  <w:tcBorders>
                    <w:bottom w:val="single" w:color="000000" w:sz="2" w:space="0"/>
                  </w:tcBorders>
                  <w:vAlign w:val="center"/>
                </w:tcPr>
                <w:p>
                  <w:pPr>
                    <w:pStyle w:val="91"/>
                  </w:pPr>
                  <w:r>
                    <w:rPr>
                      <w:rFonts w:hint="eastAsia"/>
                    </w:rPr>
                    <w:t>《工业炉窑大气污染物排放标准》（GB9078-1996）二级标准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0" w:hRule="atLeast"/>
                <w:jc w:val="center"/>
              </w:trPr>
              <w:tc>
                <w:tcPr>
                  <w:tcW w:w="506" w:type="dxa"/>
                  <w:vMerge w:val="continue"/>
                  <w:vAlign w:val="center"/>
                </w:tcPr>
                <w:p>
                  <w:pPr>
                    <w:pStyle w:val="91"/>
                  </w:pPr>
                </w:p>
              </w:tc>
              <w:tc>
                <w:tcPr>
                  <w:tcW w:w="800" w:type="dxa"/>
                  <w:tcBorders>
                    <w:top w:val="single" w:color="000000" w:sz="2" w:space="0"/>
                  </w:tcBorders>
                  <w:vAlign w:val="center"/>
                </w:tcPr>
                <w:p>
                  <w:pPr>
                    <w:pStyle w:val="91"/>
                  </w:pPr>
                  <w:r>
                    <w:rPr>
                      <w:rFonts w:hint="eastAsia"/>
                    </w:rPr>
                    <w:t>颗粒物、SO</w:t>
                  </w:r>
                  <w:r>
                    <w:rPr>
                      <w:rFonts w:hint="eastAsia"/>
                      <w:vertAlign w:val="subscript"/>
                    </w:rPr>
                    <w:t>2</w:t>
                  </w:r>
                  <w:r>
                    <w:rPr>
                      <w:rFonts w:hint="eastAsia"/>
                    </w:rPr>
                    <w:t>、NO</w:t>
                  </w:r>
                  <w:r>
                    <w:rPr>
                      <w:rFonts w:hint="eastAsia"/>
                      <w:vertAlign w:val="subscript"/>
                    </w:rPr>
                    <w:t>X</w:t>
                  </w:r>
                </w:p>
              </w:tc>
              <w:tc>
                <w:tcPr>
                  <w:tcW w:w="1743" w:type="dxa"/>
                  <w:vMerge w:val="restart"/>
                  <w:tcBorders>
                    <w:top w:val="single" w:color="000000" w:sz="2" w:space="0"/>
                  </w:tcBorders>
                  <w:vAlign w:val="center"/>
                </w:tcPr>
                <w:p>
                  <w:pPr>
                    <w:pStyle w:val="91"/>
                  </w:pPr>
                  <w:r>
                    <w:rPr>
                      <w:rFonts w:hint="eastAsia"/>
                    </w:rPr>
                    <w:t>烘干工序</w:t>
                  </w:r>
                </w:p>
              </w:tc>
              <w:tc>
                <w:tcPr>
                  <w:tcW w:w="1635" w:type="dxa"/>
                  <w:vAlign w:val="center"/>
                </w:tcPr>
                <w:p>
                  <w:pPr>
                    <w:pStyle w:val="91"/>
                  </w:pPr>
                  <w:r>
                    <w:rPr>
                      <w:rFonts w:hint="eastAsia"/>
                    </w:rPr>
                    <w:t>原料采用天然气</w:t>
                  </w:r>
                </w:p>
              </w:tc>
              <w:tc>
                <w:tcPr>
                  <w:tcW w:w="972" w:type="dxa"/>
                  <w:tcBorders>
                    <w:top w:val="single" w:color="000000" w:sz="2" w:space="0"/>
                  </w:tcBorders>
                  <w:vAlign w:val="center"/>
                </w:tcPr>
                <w:p>
                  <w:pPr>
                    <w:pStyle w:val="91"/>
                  </w:pPr>
                  <w:r>
                    <w:rPr>
                      <w:rFonts w:hint="eastAsia"/>
                    </w:rPr>
                    <w:t>/</w:t>
                  </w:r>
                </w:p>
              </w:tc>
              <w:tc>
                <w:tcPr>
                  <w:tcW w:w="1901" w:type="dxa"/>
                  <w:tcBorders>
                    <w:top w:val="single" w:color="000000" w:sz="2" w:space="0"/>
                  </w:tcBorders>
                  <w:vAlign w:val="center"/>
                </w:tcPr>
                <w:p>
                  <w:pPr>
                    <w:pStyle w:val="91"/>
                  </w:pPr>
                  <w:r>
                    <w:rPr>
                      <w:szCs w:val="28"/>
                    </w:rPr>
                    <w:t>《锅炉大气污染物排放标准》（DB61/1226-2018）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0" w:hRule="atLeast"/>
                <w:jc w:val="center"/>
              </w:trPr>
              <w:tc>
                <w:tcPr>
                  <w:tcW w:w="506" w:type="dxa"/>
                  <w:vMerge w:val="continue"/>
                  <w:tcBorders>
                    <w:bottom w:val="single" w:color="000000" w:sz="2" w:space="0"/>
                  </w:tcBorders>
                  <w:vAlign w:val="center"/>
                </w:tcPr>
                <w:p>
                  <w:pPr>
                    <w:pStyle w:val="91"/>
                  </w:pPr>
                </w:p>
              </w:tc>
              <w:tc>
                <w:tcPr>
                  <w:tcW w:w="800" w:type="dxa"/>
                  <w:tcBorders>
                    <w:top w:val="single" w:color="000000" w:sz="2" w:space="0"/>
                  </w:tcBorders>
                  <w:vAlign w:val="center"/>
                </w:tcPr>
                <w:p>
                  <w:pPr>
                    <w:pStyle w:val="91"/>
                  </w:pPr>
                  <w:r>
                    <w:rPr>
                      <w:rFonts w:hint="eastAsia"/>
                    </w:rPr>
                    <w:t>异味</w:t>
                  </w:r>
                </w:p>
              </w:tc>
              <w:tc>
                <w:tcPr>
                  <w:tcW w:w="1743" w:type="dxa"/>
                  <w:vMerge w:val="continue"/>
                  <w:vAlign w:val="center"/>
                </w:tcPr>
                <w:p>
                  <w:pPr>
                    <w:pStyle w:val="91"/>
                  </w:pPr>
                </w:p>
              </w:tc>
              <w:tc>
                <w:tcPr>
                  <w:tcW w:w="1635" w:type="dxa"/>
                  <w:vAlign w:val="center"/>
                </w:tcPr>
                <w:p>
                  <w:pPr>
                    <w:pStyle w:val="96"/>
                  </w:pPr>
                  <w:r>
                    <w:rPr>
                      <w:rFonts w:hint="eastAsia"/>
                    </w:rPr>
                    <w:t>活性炭吸附装置</w:t>
                  </w:r>
                </w:p>
              </w:tc>
              <w:tc>
                <w:tcPr>
                  <w:tcW w:w="972" w:type="dxa"/>
                  <w:tcBorders>
                    <w:top w:val="single" w:color="000000" w:sz="2" w:space="0"/>
                  </w:tcBorders>
                  <w:vAlign w:val="center"/>
                </w:tcPr>
                <w:p>
                  <w:pPr>
                    <w:pStyle w:val="96"/>
                  </w:pPr>
                  <w:r>
                    <w:rPr>
                      <w:rFonts w:hint="eastAsia"/>
                    </w:rPr>
                    <w:t>/</w:t>
                  </w:r>
                </w:p>
              </w:tc>
              <w:tc>
                <w:tcPr>
                  <w:tcW w:w="1901" w:type="dxa"/>
                  <w:tcBorders>
                    <w:top w:val="single" w:color="000000" w:sz="2" w:space="0"/>
                  </w:tcBorders>
                  <w:vAlign w:val="center"/>
                </w:tcPr>
                <w:p>
                  <w:pPr>
                    <w:pStyle w:val="96"/>
                  </w:pPr>
                  <w:r>
                    <w:rPr>
                      <w:rFonts w:hint="eastAsia"/>
                    </w:rPr>
                    <w:t>《恶臭污染物排放标准》（GB 14554-93）二级标准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2" w:hRule="atLeast"/>
                <w:jc w:val="center"/>
              </w:trPr>
              <w:tc>
                <w:tcPr>
                  <w:tcW w:w="506" w:type="dxa"/>
                  <w:vMerge w:val="restart"/>
                  <w:tcBorders>
                    <w:top w:val="single" w:color="000000" w:sz="2" w:space="0"/>
                  </w:tcBorders>
                  <w:vAlign w:val="center"/>
                </w:tcPr>
                <w:p>
                  <w:pPr>
                    <w:pStyle w:val="91"/>
                  </w:pPr>
                  <w:r>
                    <w:rPr>
                      <w:rFonts w:hint="eastAsia"/>
                    </w:rPr>
                    <w:t>废水</w:t>
                  </w:r>
                </w:p>
              </w:tc>
              <w:tc>
                <w:tcPr>
                  <w:tcW w:w="800" w:type="dxa"/>
                  <w:vAlign w:val="center"/>
                </w:tcPr>
                <w:p>
                  <w:pPr>
                    <w:pStyle w:val="91"/>
                  </w:pPr>
                  <w:r>
                    <w:rPr>
                      <w:rFonts w:hint="eastAsia"/>
                    </w:rPr>
                    <w:t>冷却用水</w:t>
                  </w:r>
                </w:p>
              </w:tc>
              <w:tc>
                <w:tcPr>
                  <w:tcW w:w="1743" w:type="dxa"/>
                  <w:vAlign w:val="center"/>
                </w:tcPr>
                <w:p>
                  <w:pPr>
                    <w:pStyle w:val="91"/>
                  </w:pPr>
                  <w:r>
                    <w:t>SS</w:t>
                  </w:r>
                </w:p>
              </w:tc>
              <w:tc>
                <w:tcPr>
                  <w:tcW w:w="1635" w:type="dxa"/>
                  <w:vAlign w:val="center"/>
                </w:tcPr>
                <w:p>
                  <w:pPr>
                    <w:pStyle w:val="91"/>
                  </w:pPr>
                  <w:r>
                    <w:rPr>
                      <w:rFonts w:hint="eastAsia"/>
                    </w:rPr>
                    <w:t>回用</w:t>
                  </w:r>
                </w:p>
              </w:tc>
              <w:tc>
                <w:tcPr>
                  <w:tcW w:w="972" w:type="dxa"/>
                  <w:vAlign w:val="center"/>
                </w:tcPr>
                <w:p>
                  <w:pPr>
                    <w:pStyle w:val="91"/>
                  </w:pPr>
                  <w:r>
                    <w:rPr>
                      <w:rFonts w:hint="eastAsia"/>
                    </w:rPr>
                    <w:t>1套</w:t>
                  </w:r>
                </w:p>
              </w:tc>
              <w:tc>
                <w:tcPr>
                  <w:tcW w:w="1901" w:type="dxa"/>
                  <w:vAlign w:val="center"/>
                </w:tcPr>
                <w:p>
                  <w:pPr>
                    <w:pStyle w:val="91"/>
                  </w:pPr>
                  <w:r>
                    <w:rPr>
                      <w:rFonts w:hint="eastAsia"/>
                    </w:rPr>
                    <w:t>回用不外排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9" w:hRule="atLeast"/>
                <w:jc w:val="center"/>
              </w:trPr>
              <w:tc>
                <w:tcPr>
                  <w:tcW w:w="506" w:type="dxa"/>
                  <w:vMerge w:val="continue"/>
                  <w:vAlign w:val="center"/>
                </w:tcPr>
                <w:p>
                  <w:pPr>
                    <w:pStyle w:val="91"/>
                  </w:pPr>
                </w:p>
              </w:tc>
              <w:tc>
                <w:tcPr>
                  <w:tcW w:w="800" w:type="dxa"/>
                  <w:vAlign w:val="center"/>
                </w:tcPr>
                <w:p>
                  <w:pPr>
                    <w:pStyle w:val="91"/>
                  </w:pPr>
                  <w:r>
                    <w:rPr>
                      <w:rFonts w:hint="eastAsia"/>
                    </w:rPr>
                    <w:t>喷淋用水</w:t>
                  </w:r>
                </w:p>
              </w:tc>
              <w:tc>
                <w:tcPr>
                  <w:tcW w:w="1743" w:type="dxa"/>
                  <w:vAlign w:val="center"/>
                </w:tcPr>
                <w:p>
                  <w:pPr>
                    <w:pStyle w:val="91"/>
                  </w:pPr>
                  <w:r>
                    <w:t>SS</w:t>
                  </w:r>
                </w:p>
              </w:tc>
              <w:tc>
                <w:tcPr>
                  <w:tcW w:w="1635" w:type="dxa"/>
                  <w:vAlign w:val="center"/>
                </w:tcPr>
                <w:p>
                  <w:pPr>
                    <w:pStyle w:val="91"/>
                  </w:pPr>
                  <w:r>
                    <w:rPr>
                      <w:rFonts w:hint="eastAsia"/>
                    </w:rPr>
                    <w:t>沉淀后回用</w:t>
                  </w:r>
                </w:p>
              </w:tc>
              <w:tc>
                <w:tcPr>
                  <w:tcW w:w="972" w:type="dxa"/>
                  <w:vAlign w:val="center"/>
                </w:tcPr>
                <w:p>
                  <w:pPr>
                    <w:pStyle w:val="91"/>
                  </w:pPr>
                  <w:r>
                    <w:rPr>
                      <w:rFonts w:hint="eastAsia"/>
                    </w:rPr>
                    <w:t>1套</w:t>
                  </w:r>
                </w:p>
              </w:tc>
              <w:tc>
                <w:tcPr>
                  <w:tcW w:w="1901" w:type="dxa"/>
                  <w:vAlign w:val="center"/>
                </w:tcPr>
                <w:p>
                  <w:pPr>
                    <w:pStyle w:val="91"/>
                  </w:pPr>
                  <w:r>
                    <w:rPr>
                      <w:rFonts w:hint="eastAsia"/>
                    </w:rPr>
                    <w:t>回用不外排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2" w:hRule="atLeast"/>
                <w:jc w:val="center"/>
              </w:trPr>
              <w:tc>
                <w:tcPr>
                  <w:tcW w:w="506" w:type="dxa"/>
                  <w:vMerge w:val="continue"/>
                  <w:vAlign w:val="center"/>
                </w:tcPr>
                <w:p>
                  <w:pPr>
                    <w:pStyle w:val="91"/>
                  </w:pPr>
                </w:p>
              </w:tc>
              <w:tc>
                <w:tcPr>
                  <w:tcW w:w="800" w:type="dxa"/>
                  <w:vAlign w:val="center"/>
                </w:tcPr>
                <w:p>
                  <w:pPr>
                    <w:pStyle w:val="91"/>
                  </w:pPr>
                  <w:r>
                    <w:rPr>
                      <w:rFonts w:hint="eastAsia"/>
                    </w:rPr>
                    <w:t>除雾废水</w:t>
                  </w:r>
                </w:p>
              </w:tc>
              <w:tc>
                <w:tcPr>
                  <w:tcW w:w="1743" w:type="dxa"/>
                  <w:vAlign w:val="center"/>
                </w:tcPr>
                <w:p>
                  <w:pPr>
                    <w:pStyle w:val="91"/>
                  </w:pPr>
                  <w:r>
                    <w:rPr>
                      <w:rFonts w:hint="eastAsia"/>
                    </w:rPr>
                    <w:t>COD</w:t>
                  </w:r>
                </w:p>
              </w:tc>
              <w:tc>
                <w:tcPr>
                  <w:tcW w:w="1635" w:type="dxa"/>
                  <w:vAlign w:val="center"/>
                </w:tcPr>
                <w:p>
                  <w:pPr>
                    <w:pStyle w:val="91"/>
                  </w:pPr>
                  <w:r>
                    <w:rPr>
                      <w:rFonts w:hint="eastAsia"/>
                    </w:rPr>
                    <w:t>收集后用于厂区洒水</w:t>
                  </w:r>
                </w:p>
              </w:tc>
              <w:tc>
                <w:tcPr>
                  <w:tcW w:w="972" w:type="dxa"/>
                  <w:vAlign w:val="center"/>
                </w:tcPr>
                <w:p>
                  <w:pPr>
                    <w:pStyle w:val="91"/>
                  </w:pPr>
                  <w:r>
                    <w:rPr>
                      <w:rFonts w:hint="eastAsia"/>
                    </w:rPr>
                    <w:t>/</w:t>
                  </w:r>
                </w:p>
              </w:tc>
              <w:tc>
                <w:tcPr>
                  <w:tcW w:w="1901" w:type="dxa"/>
                  <w:vAlign w:val="center"/>
                </w:tcPr>
                <w:p>
                  <w:pPr>
                    <w:pStyle w:val="91"/>
                  </w:pPr>
                  <w:r>
                    <w:rPr>
                      <w:rFonts w:hint="eastAsia"/>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9" w:hRule="atLeast"/>
                <w:jc w:val="center"/>
              </w:trPr>
              <w:tc>
                <w:tcPr>
                  <w:tcW w:w="506" w:type="dxa"/>
                  <w:vAlign w:val="center"/>
                </w:tcPr>
                <w:p>
                  <w:pPr>
                    <w:pStyle w:val="91"/>
                  </w:pPr>
                  <w:r>
                    <w:t>噪声</w:t>
                  </w:r>
                </w:p>
              </w:tc>
              <w:tc>
                <w:tcPr>
                  <w:tcW w:w="800" w:type="dxa"/>
                  <w:vAlign w:val="center"/>
                </w:tcPr>
                <w:p>
                  <w:pPr>
                    <w:pStyle w:val="91"/>
                  </w:pPr>
                  <w:r>
                    <w:t>噪声</w:t>
                  </w:r>
                </w:p>
              </w:tc>
              <w:tc>
                <w:tcPr>
                  <w:tcW w:w="1743" w:type="dxa"/>
                  <w:vAlign w:val="center"/>
                </w:tcPr>
                <w:p>
                  <w:pPr>
                    <w:pStyle w:val="91"/>
                  </w:pPr>
                  <w:r>
                    <w:t>设备</w:t>
                  </w:r>
                </w:p>
              </w:tc>
              <w:tc>
                <w:tcPr>
                  <w:tcW w:w="1635" w:type="dxa"/>
                  <w:vAlign w:val="center"/>
                </w:tcPr>
                <w:p>
                  <w:pPr>
                    <w:pStyle w:val="91"/>
                  </w:pPr>
                  <w:r>
                    <w:rPr>
                      <w:rFonts w:hint="eastAsia"/>
                    </w:rPr>
                    <w:t>选用低噪声设备，基础减振，隔声等措施</w:t>
                  </w:r>
                </w:p>
              </w:tc>
              <w:tc>
                <w:tcPr>
                  <w:tcW w:w="972" w:type="dxa"/>
                  <w:vAlign w:val="center"/>
                </w:tcPr>
                <w:p>
                  <w:pPr>
                    <w:pStyle w:val="91"/>
                  </w:pPr>
                  <w:r>
                    <w:t>配套</w:t>
                  </w:r>
                </w:p>
              </w:tc>
              <w:tc>
                <w:tcPr>
                  <w:tcW w:w="1901" w:type="dxa"/>
                  <w:vAlign w:val="center"/>
                </w:tcPr>
                <w:p>
                  <w:pPr>
                    <w:pStyle w:val="91"/>
                  </w:pPr>
                  <w:r>
                    <w:t>《工业企业厂界环境噪声排放标准》（GB12348-2008）中</w:t>
                  </w:r>
                  <w:r>
                    <w:rPr>
                      <w:rFonts w:hint="eastAsia"/>
                    </w:rPr>
                    <w:t>3</w:t>
                  </w:r>
                  <w:r>
                    <w:t>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506" w:type="dxa"/>
                  <w:vMerge w:val="restart"/>
                  <w:vAlign w:val="center"/>
                </w:tcPr>
                <w:p>
                  <w:pPr>
                    <w:pStyle w:val="91"/>
                  </w:pPr>
                  <w:r>
                    <w:rPr>
                      <w:rFonts w:hint="eastAsia"/>
                    </w:rPr>
                    <w:t>固废</w:t>
                  </w:r>
                </w:p>
              </w:tc>
              <w:tc>
                <w:tcPr>
                  <w:tcW w:w="800" w:type="dxa"/>
                  <w:vAlign w:val="center"/>
                </w:tcPr>
                <w:p>
                  <w:pPr>
                    <w:pStyle w:val="91"/>
                  </w:pPr>
                  <w:r>
                    <w:rPr>
                      <w:rFonts w:hint="eastAsia"/>
                    </w:rPr>
                    <w:t>地面粉尘、除尘灰</w:t>
                  </w:r>
                </w:p>
              </w:tc>
              <w:tc>
                <w:tcPr>
                  <w:tcW w:w="1743" w:type="dxa"/>
                  <w:vMerge w:val="restart"/>
                  <w:vAlign w:val="center"/>
                </w:tcPr>
                <w:p>
                  <w:pPr>
                    <w:pStyle w:val="91"/>
                  </w:pPr>
                  <w:r>
                    <w:rPr>
                      <w:rFonts w:hint="eastAsia"/>
                    </w:rPr>
                    <w:t>除尘措施</w:t>
                  </w:r>
                </w:p>
              </w:tc>
              <w:tc>
                <w:tcPr>
                  <w:tcW w:w="1635" w:type="dxa"/>
                  <w:vMerge w:val="restart"/>
                  <w:vAlign w:val="center"/>
                </w:tcPr>
                <w:p>
                  <w:pPr>
                    <w:pStyle w:val="91"/>
                  </w:pPr>
                  <w:r>
                    <w:rPr>
                      <w:rFonts w:hint="eastAsia"/>
                    </w:rPr>
                    <w:t>回用于制粒工序</w:t>
                  </w:r>
                </w:p>
              </w:tc>
              <w:tc>
                <w:tcPr>
                  <w:tcW w:w="972" w:type="dxa"/>
                  <w:vMerge w:val="restart"/>
                  <w:vAlign w:val="center"/>
                </w:tcPr>
                <w:p>
                  <w:pPr>
                    <w:pStyle w:val="91"/>
                  </w:pPr>
                  <w:r>
                    <w:rPr>
                      <w:rFonts w:hint="eastAsia"/>
                    </w:rPr>
                    <w:t>/</w:t>
                  </w:r>
                </w:p>
              </w:tc>
              <w:tc>
                <w:tcPr>
                  <w:tcW w:w="1901" w:type="dxa"/>
                  <w:vMerge w:val="restart"/>
                  <w:vAlign w:val="center"/>
                </w:tcPr>
                <w:p>
                  <w:pPr>
                    <w:pStyle w:val="91"/>
                  </w:pPr>
                  <w:r>
                    <w:t>《一般工业固体废物贮存和填埋污染控制标准》(GB18599-2020)中有关规定；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506" w:type="dxa"/>
                  <w:vMerge w:val="continue"/>
                  <w:vAlign w:val="center"/>
                </w:tcPr>
                <w:p>
                  <w:pPr>
                    <w:pStyle w:val="91"/>
                  </w:pPr>
                </w:p>
              </w:tc>
              <w:tc>
                <w:tcPr>
                  <w:tcW w:w="800" w:type="dxa"/>
                  <w:vAlign w:val="center"/>
                </w:tcPr>
                <w:p>
                  <w:pPr>
                    <w:pStyle w:val="91"/>
                  </w:pPr>
                  <w:r>
                    <w:rPr>
                      <w:rFonts w:hint="eastAsia"/>
                    </w:rPr>
                    <w:t>喷淋废渣</w:t>
                  </w:r>
                </w:p>
              </w:tc>
              <w:tc>
                <w:tcPr>
                  <w:tcW w:w="1743" w:type="dxa"/>
                  <w:vMerge w:val="continue"/>
                  <w:vAlign w:val="center"/>
                </w:tcPr>
                <w:p>
                  <w:pPr>
                    <w:pStyle w:val="91"/>
                  </w:pPr>
                </w:p>
              </w:tc>
              <w:tc>
                <w:tcPr>
                  <w:tcW w:w="1635" w:type="dxa"/>
                  <w:vMerge w:val="continue"/>
                  <w:vAlign w:val="center"/>
                </w:tcPr>
                <w:p>
                  <w:pPr>
                    <w:pStyle w:val="91"/>
                  </w:pPr>
                </w:p>
              </w:tc>
              <w:tc>
                <w:tcPr>
                  <w:tcW w:w="972" w:type="dxa"/>
                  <w:vMerge w:val="continue"/>
                  <w:vAlign w:val="center"/>
                </w:tcPr>
                <w:p>
                  <w:pPr>
                    <w:pStyle w:val="91"/>
                  </w:pPr>
                </w:p>
              </w:tc>
              <w:tc>
                <w:tcPr>
                  <w:tcW w:w="1901" w:type="dxa"/>
                  <w:vMerge w:val="continue"/>
                  <w:vAlign w:val="center"/>
                </w:tcPr>
                <w:p>
                  <w:pPr>
                    <w:pStyle w:val="9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9" w:hRule="atLeast"/>
                <w:jc w:val="center"/>
              </w:trPr>
              <w:tc>
                <w:tcPr>
                  <w:tcW w:w="506" w:type="dxa"/>
                  <w:vMerge w:val="continue"/>
                  <w:vAlign w:val="center"/>
                </w:tcPr>
                <w:p>
                  <w:pPr>
                    <w:pStyle w:val="91"/>
                  </w:pPr>
                </w:p>
              </w:tc>
              <w:tc>
                <w:tcPr>
                  <w:tcW w:w="800" w:type="dxa"/>
                  <w:vAlign w:val="center"/>
                </w:tcPr>
                <w:p>
                  <w:pPr>
                    <w:pStyle w:val="91"/>
                  </w:pPr>
                  <w:r>
                    <w:rPr>
                      <w:rFonts w:hint="eastAsia"/>
                    </w:rPr>
                    <w:t>炉渣</w:t>
                  </w:r>
                </w:p>
              </w:tc>
              <w:tc>
                <w:tcPr>
                  <w:tcW w:w="1743" w:type="dxa"/>
                  <w:vAlign w:val="center"/>
                </w:tcPr>
                <w:p>
                  <w:pPr>
                    <w:pStyle w:val="91"/>
                  </w:pPr>
                  <w:r>
                    <w:rPr>
                      <w:rFonts w:hint="eastAsia"/>
                    </w:rPr>
                    <w:t>熔融工序</w:t>
                  </w:r>
                </w:p>
              </w:tc>
              <w:tc>
                <w:tcPr>
                  <w:tcW w:w="1635" w:type="dxa"/>
                  <w:vAlign w:val="center"/>
                </w:tcPr>
                <w:p>
                  <w:pPr>
                    <w:pStyle w:val="91"/>
                  </w:pPr>
                  <w:r>
                    <w:rPr>
                      <w:rFonts w:hint="eastAsia"/>
                    </w:rPr>
                    <w:t>炉渣暂存区暂存</w:t>
                  </w:r>
                </w:p>
              </w:tc>
              <w:tc>
                <w:tcPr>
                  <w:tcW w:w="972" w:type="dxa"/>
                  <w:vAlign w:val="center"/>
                </w:tcPr>
                <w:p>
                  <w:pPr>
                    <w:pStyle w:val="91"/>
                  </w:pPr>
                  <w:r>
                    <w:rPr>
                      <w:rFonts w:hint="eastAsia"/>
                    </w:rPr>
                    <w:t>1处</w:t>
                  </w:r>
                </w:p>
              </w:tc>
              <w:tc>
                <w:tcPr>
                  <w:tcW w:w="1901" w:type="dxa"/>
                  <w:vMerge w:val="continue"/>
                  <w:vAlign w:val="center"/>
                </w:tcPr>
                <w:p>
                  <w:pPr>
                    <w:pStyle w:val="9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9" w:hRule="atLeast"/>
                <w:jc w:val="center"/>
              </w:trPr>
              <w:tc>
                <w:tcPr>
                  <w:tcW w:w="506" w:type="dxa"/>
                  <w:vMerge w:val="continue"/>
                  <w:vAlign w:val="center"/>
                </w:tcPr>
                <w:p>
                  <w:pPr>
                    <w:pStyle w:val="91"/>
                  </w:pPr>
                </w:p>
              </w:tc>
              <w:tc>
                <w:tcPr>
                  <w:tcW w:w="800" w:type="dxa"/>
                  <w:vAlign w:val="center"/>
                </w:tcPr>
                <w:p>
                  <w:pPr>
                    <w:pStyle w:val="91"/>
                  </w:pPr>
                  <w:r>
                    <w:rPr>
                      <w:rFonts w:hint="eastAsia"/>
                    </w:rPr>
                    <w:t>废包装材料</w:t>
                  </w:r>
                </w:p>
              </w:tc>
              <w:tc>
                <w:tcPr>
                  <w:tcW w:w="1743" w:type="dxa"/>
                  <w:vAlign w:val="center"/>
                </w:tcPr>
                <w:p>
                  <w:pPr>
                    <w:pStyle w:val="91"/>
                  </w:pPr>
                  <w:r>
                    <w:rPr>
                      <w:rFonts w:hint="eastAsia"/>
                    </w:rPr>
                    <w:t>去包环节</w:t>
                  </w:r>
                </w:p>
              </w:tc>
              <w:tc>
                <w:tcPr>
                  <w:tcW w:w="1635" w:type="dxa"/>
                  <w:vAlign w:val="center"/>
                </w:tcPr>
                <w:p>
                  <w:pPr>
                    <w:pStyle w:val="91"/>
                  </w:pPr>
                  <w:r>
                    <w:rPr>
                      <w:rFonts w:hint="eastAsia"/>
                    </w:rPr>
                    <w:t>交由厂家回收处理</w:t>
                  </w:r>
                </w:p>
              </w:tc>
              <w:tc>
                <w:tcPr>
                  <w:tcW w:w="972" w:type="dxa"/>
                  <w:vAlign w:val="center"/>
                </w:tcPr>
                <w:p>
                  <w:pPr>
                    <w:pStyle w:val="91"/>
                  </w:pPr>
                  <w:r>
                    <w:rPr>
                      <w:rFonts w:hint="eastAsia"/>
                    </w:rPr>
                    <w:t>/</w:t>
                  </w:r>
                </w:p>
              </w:tc>
              <w:tc>
                <w:tcPr>
                  <w:tcW w:w="1901" w:type="dxa"/>
                  <w:vMerge w:val="continue"/>
                  <w:vAlign w:val="center"/>
                </w:tcPr>
                <w:p>
                  <w:pPr>
                    <w:pStyle w:val="9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9" w:hRule="atLeast"/>
                <w:jc w:val="center"/>
              </w:trPr>
              <w:tc>
                <w:tcPr>
                  <w:tcW w:w="506" w:type="dxa"/>
                  <w:vMerge w:val="continue"/>
                  <w:vAlign w:val="center"/>
                </w:tcPr>
                <w:p>
                  <w:pPr>
                    <w:pStyle w:val="91"/>
                  </w:pPr>
                </w:p>
              </w:tc>
              <w:tc>
                <w:tcPr>
                  <w:tcW w:w="800" w:type="dxa"/>
                  <w:vAlign w:val="center"/>
                </w:tcPr>
                <w:p>
                  <w:pPr>
                    <w:pStyle w:val="91"/>
                  </w:pPr>
                  <w:r>
                    <w:rPr>
                      <w:rFonts w:hint="eastAsia"/>
                    </w:rPr>
                    <w:t>危险废物</w:t>
                  </w:r>
                </w:p>
              </w:tc>
              <w:tc>
                <w:tcPr>
                  <w:tcW w:w="1743" w:type="dxa"/>
                  <w:vAlign w:val="center"/>
                </w:tcPr>
                <w:p>
                  <w:pPr>
                    <w:pStyle w:val="91"/>
                  </w:pPr>
                  <w:r>
                    <w:rPr>
                      <w:rFonts w:hint="eastAsia"/>
                    </w:rPr>
                    <w:t>废机油、废油桶</w:t>
                  </w:r>
                </w:p>
              </w:tc>
              <w:tc>
                <w:tcPr>
                  <w:tcW w:w="1635" w:type="dxa"/>
                  <w:vAlign w:val="center"/>
                </w:tcPr>
                <w:p>
                  <w:pPr>
                    <w:pStyle w:val="91"/>
                  </w:pPr>
                  <w:r>
                    <w:rPr>
                      <w:rFonts w:hint="eastAsia"/>
                    </w:rPr>
                    <w:t>危废暂存柜</w:t>
                  </w:r>
                </w:p>
              </w:tc>
              <w:tc>
                <w:tcPr>
                  <w:tcW w:w="972" w:type="dxa"/>
                  <w:vAlign w:val="center"/>
                </w:tcPr>
                <w:p>
                  <w:pPr>
                    <w:pStyle w:val="91"/>
                  </w:pPr>
                  <w:r>
                    <w:rPr>
                      <w:rFonts w:hint="eastAsia"/>
                    </w:rPr>
                    <w:t>依托使用</w:t>
                  </w:r>
                </w:p>
              </w:tc>
              <w:tc>
                <w:tcPr>
                  <w:tcW w:w="1901" w:type="dxa"/>
                  <w:vAlign w:val="center"/>
                </w:tcPr>
                <w:p>
                  <w:pPr>
                    <w:pStyle w:val="91"/>
                  </w:pPr>
                  <w:r>
                    <w:t>《危险废物贮存污染控制标准》（GB18597-20</w:t>
                  </w:r>
                  <w:r>
                    <w:rPr>
                      <w:rFonts w:hint="eastAsia"/>
                    </w:rPr>
                    <w:t>23</w:t>
                  </w:r>
                  <w:r>
                    <w:t>）</w:t>
                  </w:r>
                </w:p>
              </w:tc>
            </w:tr>
          </w:tbl>
          <w:p>
            <w:pPr>
              <w:ind w:firstLine="480"/>
            </w:pPr>
          </w:p>
          <w:p>
            <w:pPr>
              <w:ind w:firstLine="480"/>
            </w:pPr>
          </w:p>
          <w:p>
            <w:pPr>
              <w:ind w:firstLine="480"/>
            </w:pPr>
          </w:p>
          <w:p>
            <w:pPr>
              <w:ind w:firstLine="480"/>
            </w:pPr>
          </w:p>
          <w:p>
            <w:pPr>
              <w:ind w:firstLine="480"/>
            </w:pPr>
          </w:p>
          <w:p>
            <w:pPr>
              <w:pStyle w:val="18"/>
              <w:ind w:left="0" w:firstLine="0" w:firstLineChars="0"/>
              <w:jc w:val="both"/>
            </w:pPr>
          </w:p>
          <w:p>
            <w:pPr>
              <w:ind w:firstLine="0" w:firstLineChars="0"/>
            </w:pPr>
          </w:p>
        </w:tc>
      </w:tr>
    </w:tbl>
    <w:p>
      <w:pPr>
        <w:adjustRightInd w:val="0"/>
        <w:snapToGrid w:val="0"/>
        <w:ind w:firstLine="562"/>
        <w:rPr>
          <w:rFonts w:ascii="宋体" w:cs="宋体"/>
          <w:b/>
          <w:kern w:val="0"/>
          <w:sz w:val="28"/>
          <w:szCs w:val="28"/>
        </w:rPr>
        <w:sectPr>
          <w:pgSz w:w="11905" w:h="16838"/>
          <w:pgMar w:top="1440" w:right="1800" w:bottom="1440" w:left="1800" w:header="851" w:footer="1020" w:gutter="0"/>
          <w:pgNumType w:fmt="numberInDash"/>
          <w:cols w:space="0" w:num="1"/>
          <w:docGrid w:linePitch="312" w:charSpace="0"/>
        </w:sectPr>
      </w:pPr>
    </w:p>
    <w:p>
      <w:pPr>
        <w:pStyle w:val="28"/>
        <w:ind w:firstLine="0" w:firstLineChars="0"/>
        <w:jc w:val="center"/>
        <w:outlineLvl w:val="0"/>
        <w:rPr>
          <w:rFonts w:ascii="黑体" w:hAnsi="黑体" w:eastAsia="黑体"/>
          <w:snapToGrid w:val="0"/>
          <w:sz w:val="30"/>
          <w:szCs w:val="30"/>
        </w:rPr>
      </w:pPr>
      <w:bookmarkStart w:id="16" w:name="_Toc23236"/>
      <w:r>
        <w:rPr>
          <w:rFonts w:hint="eastAsia" w:ascii="黑体" w:hAnsi="黑体" w:eastAsia="黑体"/>
          <w:snapToGrid w:val="0"/>
          <w:sz w:val="30"/>
          <w:szCs w:val="30"/>
        </w:rPr>
        <w:t>五、</w:t>
      </w:r>
      <w:bookmarkStart w:id="17" w:name="_Hlk54167917"/>
      <w:r>
        <w:rPr>
          <w:rFonts w:hint="eastAsia" w:ascii="黑体" w:hAnsi="黑体" w:eastAsia="黑体"/>
          <w:snapToGrid w:val="0"/>
          <w:sz w:val="30"/>
          <w:szCs w:val="30"/>
        </w:rPr>
        <w:t>环境保护措施监督检查清单</w:t>
      </w:r>
      <w:bookmarkEnd w:id="16"/>
      <w:bookmarkEnd w:id="17"/>
    </w:p>
    <w:tbl>
      <w:tblPr>
        <w:tblStyle w:val="36"/>
        <w:tblW w:w="906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1332"/>
        <w:gridCol w:w="1098"/>
        <w:gridCol w:w="3235"/>
        <w:gridCol w:w="238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13" w:type="dxa"/>
            <w:tcBorders>
              <w:tl2br w:val="single" w:color="auto" w:sz="4" w:space="0"/>
            </w:tcBorders>
          </w:tcPr>
          <w:p>
            <w:pPr>
              <w:spacing w:line="240" w:lineRule="auto"/>
              <w:ind w:firstLine="210" w:firstLineChars="100"/>
              <w:jc w:val="center"/>
              <w:rPr>
                <w:sz w:val="21"/>
                <w:szCs w:val="21"/>
              </w:rPr>
            </w:pPr>
            <w:r>
              <w:rPr>
                <w:rFonts w:hint="eastAsia"/>
                <w:sz w:val="21"/>
                <w:szCs w:val="21"/>
              </w:rPr>
              <w:t>内容</w:t>
            </w:r>
          </w:p>
          <w:p>
            <w:pPr>
              <w:spacing w:line="240" w:lineRule="auto"/>
              <w:ind w:firstLine="0" w:firstLineChars="0"/>
              <w:jc w:val="center"/>
              <w:rPr>
                <w:sz w:val="21"/>
                <w:szCs w:val="21"/>
              </w:rPr>
            </w:pPr>
            <w:r>
              <w:rPr>
                <w:rFonts w:hint="eastAsia"/>
                <w:sz w:val="21"/>
                <w:szCs w:val="21"/>
              </w:rPr>
              <w:t>要素</w:t>
            </w:r>
          </w:p>
        </w:tc>
        <w:tc>
          <w:tcPr>
            <w:tcW w:w="1332" w:type="dxa"/>
            <w:vAlign w:val="center"/>
          </w:tcPr>
          <w:p>
            <w:pPr>
              <w:spacing w:line="240" w:lineRule="auto"/>
              <w:ind w:firstLine="0" w:firstLineChars="0"/>
              <w:jc w:val="center"/>
              <w:rPr>
                <w:sz w:val="21"/>
                <w:szCs w:val="21"/>
              </w:rPr>
            </w:pPr>
            <w:r>
              <w:rPr>
                <w:rFonts w:hint="eastAsia"/>
                <w:sz w:val="21"/>
                <w:szCs w:val="21"/>
              </w:rPr>
              <w:t>污染源</w:t>
            </w:r>
          </w:p>
        </w:tc>
        <w:tc>
          <w:tcPr>
            <w:tcW w:w="1098" w:type="dxa"/>
            <w:vAlign w:val="center"/>
          </w:tcPr>
          <w:p>
            <w:pPr>
              <w:spacing w:line="240" w:lineRule="auto"/>
              <w:ind w:firstLine="0" w:firstLineChars="0"/>
              <w:jc w:val="center"/>
              <w:rPr>
                <w:sz w:val="21"/>
                <w:szCs w:val="21"/>
              </w:rPr>
            </w:pPr>
            <w:r>
              <w:rPr>
                <w:rFonts w:hint="eastAsia"/>
                <w:sz w:val="21"/>
                <w:szCs w:val="21"/>
              </w:rPr>
              <w:t>污染物项目</w:t>
            </w:r>
          </w:p>
        </w:tc>
        <w:tc>
          <w:tcPr>
            <w:tcW w:w="3235" w:type="dxa"/>
            <w:vAlign w:val="center"/>
          </w:tcPr>
          <w:p>
            <w:pPr>
              <w:spacing w:line="240" w:lineRule="auto"/>
              <w:ind w:firstLine="0" w:firstLineChars="0"/>
              <w:jc w:val="center"/>
              <w:rPr>
                <w:sz w:val="21"/>
                <w:szCs w:val="21"/>
              </w:rPr>
            </w:pPr>
            <w:r>
              <w:rPr>
                <w:rFonts w:hint="eastAsia"/>
                <w:sz w:val="21"/>
                <w:szCs w:val="21"/>
              </w:rPr>
              <w:t>环境保护措施</w:t>
            </w:r>
          </w:p>
        </w:tc>
        <w:tc>
          <w:tcPr>
            <w:tcW w:w="2382" w:type="dxa"/>
            <w:vAlign w:val="center"/>
          </w:tcPr>
          <w:p>
            <w:pPr>
              <w:spacing w:line="240" w:lineRule="auto"/>
              <w:ind w:firstLine="0" w:firstLineChars="0"/>
              <w:jc w:val="center"/>
              <w:rPr>
                <w:sz w:val="21"/>
                <w:szCs w:val="21"/>
              </w:rPr>
            </w:pPr>
            <w:r>
              <w:rPr>
                <w:rFonts w:hint="eastAsia"/>
                <w:sz w:val="21"/>
                <w:szCs w:val="21"/>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96" w:hRule="atLeast"/>
          <w:jc w:val="center"/>
        </w:trPr>
        <w:tc>
          <w:tcPr>
            <w:tcW w:w="1013" w:type="dxa"/>
            <w:vMerge w:val="restart"/>
            <w:vAlign w:val="center"/>
          </w:tcPr>
          <w:p>
            <w:pPr>
              <w:spacing w:line="240" w:lineRule="auto"/>
              <w:ind w:firstLine="0" w:firstLineChars="0"/>
              <w:jc w:val="center"/>
              <w:rPr>
                <w:sz w:val="21"/>
                <w:szCs w:val="21"/>
              </w:rPr>
            </w:pPr>
            <w:r>
              <w:rPr>
                <w:rFonts w:hint="eastAsia"/>
                <w:sz w:val="21"/>
                <w:szCs w:val="21"/>
              </w:rPr>
              <w:t>大气环境</w:t>
            </w:r>
          </w:p>
        </w:tc>
        <w:tc>
          <w:tcPr>
            <w:tcW w:w="1332" w:type="dxa"/>
            <w:vAlign w:val="center"/>
          </w:tcPr>
          <w:p>
            <w:pPr>
              <w:spacing w:line="240" w:lineRule="auto"/>
              <w:ind w:firstLine="0" w:firstLineChars="0"/>
              <w:jc w:val="center"/>
              <w:rPr>
                <w:sz w:val="21"/>
                <w:szCs w:val="21"/>
              </w:rPr>
            </w:pPr>
            <w:r>
              <w:rPr>
                <w:rFonts w:hint="eastAsia"/>
                <w:sz w:val="21"/>
                <w:szCs w:val="21"/>
              </w:rPr>
              <w:t>制粒环节</w:t>
            </w:r>
          </w:p>
        </w:tc>
        <w:tc>
          <w:tcPr>
            <w:tcW w:w="1098" w:type="dxa"/>
            <w:vMerge w:val="restart"/>
            <w:vAlign w:val="center"/>
          </w:tcPr>
          <w:p>
            <w:pPr>
              <w:spacing w:line="240" w:lineRule="auto"/>
              <w:ind w:firstLine="0" w:firstLineChars="0"/>
              <w:jc w:val="center"/>
              <w:rPr>
                <w:sz w:val="21"/>
                <w:szCs w:val="21"/>
              </w:rPr>
            </w:pPr>
            <w:r>
              <w:rPr>
                <w:rFonts w:hint="eastAsia"/>
                <w:sz w:val="21"/>
                <w:szCs w:val="21"/>
              </w:rPr>
              <w:t>颗粒物</w:t>
            </w:r>
          </w:p>
        </w:tc>
        <w:tc>
          <w:tcPr>
            <w:tcW w:w="3235" w:type="dxa"/>
            <w:vAlign w:val="center"/>
          </w:tcPr>
          <w:p>
            <w:pPr>
              <w:pStyle w:val="91"/>
            </w:pPr>
            <w:r>
              <w:rPr>
                <w:rFonts w:hint="eastAsia"/>
              </w:rPr>
              <w:t>封闭车间；集气罩+布袋除尘器布袋+15m排气筒</w:t>
            </w:r>
          </w:p>
        </w:tc>
        <w:tc>
          <w:tcPr>
            <w:tcW w:w="2382" w:type="dxa"/>
            <w:vMerge w:val="restart"/>
            <w:vAlign w:val="center"/>
          </w:tcPr>
          <w:p>
            <w:pPr>
              <w:spacing w:line="240" w:lineRule="auto"/>
              <w:ind w:firstLine="0" w:firstLineChars="0"/>
              <w:jc w:val="center"/>
              <w:rPr>
                <w:sz w:val="21"/>
                <w:szCs w:val="21"/>
              </w:rPr>
            </w:pPr>
            <w:r>
              <w:rPr>
                <w:sz w:val="21"/>
                <w:szCs w:val="21"/>
              </w:rPr>
              <w:t>《大气污染物综合排放标准》(GB16297-1996)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13" w:type="dxa"/>
            <w:vMerge w:val="continue"/>
            <w:vAlign w:val="center"/>
          </w:tcPr>
          <w:p>
            <w:pPr>
              <w:spacing w:line="240" w:lineRule="auto"/>
              <w:ind w:firstLine="0" w:firstLineChars="0"/>
              <w:jc w:val="center"/>
              <w:rPr>
                <w:sz w:val="21"/>
                <w:szCs w:val="21"/>
              </w:rPr>
            </w:pPr>
          </w:p>
        </w:tc>
        <w:tc>
          <w:tcPr>
            <w:tcW w:w="1332" w:type="dxa"/>
            <w:vAlign w:val="center"/>
          </w:tcPr>
          <w:p>
            <w:pPr>
              <w:spacing w:line="240" w:lineRule="auto"/>
              <w:ind w:firstLine="0" w:firstLineChars="0"/>
              <w:jc w:val="center"/>
              <w:rPr>
                <w:sz w:val="21"/>
                <w:szCs w:val="21"/>
              </w:rPr>
            </w:pPr>
            <w:r>
              <w:rPr>
                <w:rFonts w:hint="eastAsia"/>
                <w:sz w:val="21"/>
                <w:szCs w:val="21"/>
              </w:rPr>
              <w:t>烘干环节</w:t>
            </w:r>
          </w:p>
        </w:tc>
        <w:tc>
          <w:tcPr>
            <w:tcW w:w="1098" w:type="dxa"/>
            <w:vMerge w:val="continue"/>
            <w:vAlign w:val="center"/>
          </w:tcPr>
          <w:p>
            <w:pPr>
              <w:pStyle w:val="91"/>
            </w:pPr>
          </w:p>
        </w:tc>
        <w:tc>
          <w:tcPr>
            <w:tcW w:w="3235" w:type="dxa"/>
            <w:vAlign w:val="center"/>
          </w:tcPr>
          <w:p>
            <w:pPr>
              <w:pStyle w:val="91"/>
            </w:pPr>
            <w:r>
              <w:rPr>
                <w:rFonts w:hint="eastAsia"/>
              </w:rPr>
              <w:t>封闭车间；集气罩+喷淋装置+除雾器+20m排气筒</w:t>
            </w:r>
          </w:p>
        </w:tc>
        <w:tc>
          <w:tcPr>
            <w:tcW w:w="2382" w:type="dxa"/>
            <w:vMerge w:val="continue"/>
            <w:vAlign w:val="center"/>
          </w:tcPr>
          <w:p>
            <w:pPr>
              <w:spacing w:line="240" w:lineRule="auto"/>
              <w:ind w:firstLine="0" w:firstLineChars="0"/>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13" w:type="dxa"/>
            <w:vMerge w:val="continue"/>
            <w:vAlign w:val="center"/>
          </w:tcPr>
          <w:p>
            <w:pPr>
              <w:spacing w:line="240" w:lineRule="auto"/>
              <w:ind w:firstLine="0" w:firstLineChars="0"/>
              <w:jc w:val="center"/>
              <w:rPr>
                <w:sz w:val="21"/>
                <w:szCs w:val="21"/>
              </w:rPr>
            </w:pPr>
          </w:p>
        </w:tc>
        <w:tc>
          <w:tcPr>
            <w:tcW w:w="1332" w:type="dxa"/>
            <w:vAlign w:val="center"/>
          </w:tcPr>
          <w:p>
            <w:pPr>
              <w:spacing w:line="240" w:lineRule="auto"/>
              <w:ind w:firstLine="0" w:firstLineChars="0"/>
              <w:jc w:val="center"/>
              <w:rPr>
                <w:sz w:val="21"/>
                <w:szCs w:val="21"/>
              </w:rPr>
            </w:pPr>
            <w:r>
              <w:rPr>
                <w:rFonts w:hint="eastAsia"/>
                <w:sz w:val="21"/>
                <w:szCs w:val="21"/>
              </w:rPr>
              <w:t>熔融环节</w:t>
            </w:r>
          </w:p>
        </w:tc>
        <w:tc>
          <w:tcPr>
            <w:tcW w:w="1098" w:type="dxa"/>
            <w:vMerge w:val="continue"/>
            <w:vAlign w:val="center"/>
          </w:tcPr>
          <w:p>
            <w:pPr>
              <w:pStyle w:val="91"/>
            </w:pPr>
          </w:p>
        </w:tc>
        <w:tc>
          <w:tcPr>
            <w:tcW w:w="3235" w:type="dxa"/>
            <w:vAlign w:val="center"/>
          </w:tcPr>
          <w:p>
            <w:pPr>
              <w:pStyle w:val="91"/>
            </w:pPr>
            <w:r>
              <w:rPr>
                <w:rFonts w:hint="eastAsia"/>
              </w:rPr>
              <w:t>封闭车间；集气罩+防火软帘+布袋除尘器+15m排气筒</w:t>
            </w:r>
          </w:p>
        </w:tc>
        <w:tc>
          <w:tcPr>
            <w:tcW w:w="2382" w:type="dxa"/>
            <w:vAlign w:val="center"/>
          </w:tcPr>
          <w:p>
            <w:pPr>
              <w:spacing w:line="240" w:lineRule="auto"/>
              <w:ind w:firstLine="0" w:firstLineChars="0"/>
              <w:jc w:val="center"/>
              <w:rPr>
                <w:sz w:val="21"/>
                <w:szCs w:val="21"/>
              </w:rPr>
            </w:pPr>
            <w:r>
              <w:rPr>
                <w:rFonts w:hint="eastAsia"/>
                <w:sz w:val="21"/>
                <w:szCs w:val="21"/>
              </w:rPr>
              <w:t>《工业炉窑大气污染物排放标准》（GB9078-1996）二级标准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13" w:type="dxa"/>
            <w:vMerge w:val="continue"/>
            <w:vAlign w:val="center"/>
          </w:tcPr>
          <w:p>
            <w:pPr>
              <w:spacing w:line="240" w:lineRule="auto"/>
              <w:ind w:firstLine="0" w:firstLineChars="0"/>
              <w:jc w:val="center"/>
              <w:rPr>
                <w:sz w:val="21"/>
                <w:szCs w:val="21"/>
              </w:rPr>
            </w:pPr>
          </w:p>
        </w:tc>
        <w:tc>
          <w:tcPr>
            <w:tcW w:w="1332" w:type="dxa"/>
            <w:vAlign w:val="center"/>
          </w:tcPr>
          <w:p>
            <w:pPr>
              <w:spacing w:line="240" w:lineRule="auto"/>
              <w:ind w:firstLine="0" w:firstLineChars="0"/>
              <w:jc w:val="center"/>
              <w:rPr>
                <w:sz w:val="21"/>
                <w:szCs w:val="21"/>
              </w:rPr>
            </w:pPr>
            <w:r>
              <w:rPr>
                <w:rFonts w:hint="eastAsia"/>
                <w:sz w:val="21"/>
                <w:szCs w:val="21"/>
              </w:rPr>
              <w:t>天然气燃烧环节</w:t>
            </w:r>
          </w:p>
        </w:tc>
        <w:tc>
          <w:tcPr>
            <w:tcW w:w="1098" w:type="dxa"/>
            <w:vAlign w:val="center"/>
          </w:tcPr>
          <w:p>
            <w:pPr>
              <w:pStyle w:val="91"/>
            </w:pPr>
            <w:r>
              <w:rPr>
                <w:rFonts w:hint="eastAsia"/>
              </w:rPr>
              <w:t>烟尘、SO</w:t>
            </w:r>
            <w:r>
              <w:rPr>
                <w:rFonts w:hint="eastAsia"/>
                <w:vertAlign w:val="subscript"/>
              </w:rPr>
              <w:t>2</w:t>
            </w:r>
            <w:r>
              <w:rPr>
                <w:rFonts w:hint="eastAsia"/>
              </w:rPr>
              <w:t>、NO</w:t>
            </w:r>
            <w:r>
              <w:rPr>
                <w:rFonts w:hint="eastAsia"/>
                <w:vertAlign w:val="subscript"/>
              </w:rPr>
              <w:t>X</w:t>
            </w:r>
          </w:p>
        </w:tc>
        <w:tc>
          <w:tcPr>
            <w:tcW w:w="3235" w:type="dxa"/>
            <w:vAlign w:val="center"/>
          </w:tcPr>
          <w:p>
            <w:pPr>
              <w:pStyle w:val="91"/>
            </w:pPr>
            <w:r>
              <w:rPr>
                <w:rFonts w:hint="eastAsia"/>
              </w:rPr>
              <w:t>/</w:t>
            </w:r>
          </w:p>
        </w:tc>
        <w:tc>
          <w:tcPr>
            <w:tcW w:w="2382" w:type="dxa"/>
            <w:vAlign w:val="center"/>
          </w:tcPr>
          <w:p>
            <w:pPr>
              <w:spacing w:line="240" w:lineRule="auto"/>
              <w:ind w:firstLine="0" w:firstLineChars="0"/>
              <w:jc w:val="center"/>
              <w:rPr>
                <w:sz w:val="21"/>
                <w:szCs w:val="21"/>
              </w:rPr>
            </w:pPr>
            <w:r>
              <w:rPr>
                <w:sz w:val="21"/>
                <w:szCs w:val="21"/>
              </w:rPr>
              <w:t>《锅炉大气污染物排放标准》（DB61/1226-2018）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13" w:type="dxa"/>
            <w:vMerge w:val="continue"/>
            <w:vAlign w:val="center"/>
          </w:tcPr>
          <w:p>
            <w:pPr>
              <w:spacing w:line="240" w:lineRule="auto"/>
              <w:ind w:firstLine="0" w:firstLineChars="0"/>
              <w:jc w:val="center"/>
              <w:rPr>
                <w:sz w:val="21"/>
                <w:szCs w:val="21"/>
              </w:rPr>
            </w:pPr>
          </w:p>
        </w:tc>
        <w:tc>
          <w:tcPr>
            <w:tcW w:w="1332" w:type="dxa"/>
            <w:vAlign w:val="center"/>
          </w:tcPr>
          <w:p>
            <w:pPr>
              <w:spacing w:line="240" w:lineRule="auto"/>
              <w:ind w:firstLine="0" w:firstLineChars="0"/>
              <w:jc w:val="center"/>
              <w:rPr>
                <w:sz w:val="21"/>
                <w:szCs w:val="21"/>
              </w:rPr>
            </w:pPr>
            <w:r>
              <w:rPr>
                <w:rFonts w:hint="eastAsia"/>
                <w:sz w:val="21"/>
                <w:szCs w:val="21"/>
              </w:rPr>
              <w:t>烘干环节</w:t>
            </w:r>
          </w:p>
        </w:tc>
        <w:tc>
          <w:tcPr>
            <w:tcW w:w="1098" w:type="dxa"/>
            <w:vAlign w:val="center"/>
          </w:tcPr>
          <w:p>
            <w:pPr>
              <w:pStyle w:val="91"/>
            </w:pPr>
            <w:r>
              <w:rPr>
                <w:rFonts w:hint="eastAsia"/>
              </w:rPr>
              <w:t>异味</w:t>
            </w:r>
          </w:p>
        </w:tc>
        <w:tc>
          <w:tcPr>
            <w:tcW w:w="3235" w:type="dxa"/>
            <w:vAlign w:val="center"/>
          </w:tcPr>
          <w:p>
            <w:pPr>
              <w:pStyle w:val="91"/>
            </w:pPr>
            <w:r>
              <w:rPr>
                <w:rFonts w:hint="eastAsia"/>
              </w:rPr>
              <w:t>活性炭吸附装置</w:t>
            </w:r>
          </w:p>
        </w:tc>
        <w:tc>
          <w:tcPr>
            <w:tcW w:w="2382" w:type="dxa"/>
            <w:vAlign w:val="center"/>
          </w:tcPr>
          <w:p>
            <w:pPr>
              <w:spacing w:line="240" w:lineRule="auto"/>
              <w:ind w:firstLine="0" w:firstLineChars="0"/>
              <w:jc w:val="center"/>
              <w:rPr>
                <w:sz w:val="21"/>
                <w:szCs w:val="21"/>
              </w:rPr>
            </w:pPr>
            <w:r>
              <w:rPr>
                <w:sz w:val="21"/>
                <w:szCs w:val="21"/>
              </w:rPr>
              <w:t>《恶臭污染物排放标准》（GB 14554-93）二级标准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13" w:type="dxa"/>
            <w:vMerge w:val="restart"/>
            <w:vAlign w:val="center"/>
          </w:tcPr>
          <w:p>
            <w:pPr>
              <w:spacing w:line="240" w:lineRule="auto"/>
              <w:ind w:firstLine="0" w:firstLineChars="0"/>
              <w:jc w:val="center"/>
              <w:rPr>
                <w:sz w:val="21"/>
                <w:szCs w:val="21"/>
              </w:rPr>
            </w:pPr>
            <w:r>
              <w:rPr>
                <w:rFonts w:hint="eastAsia"/>
                <w:sz w:val="21"/>
                <w:szCs w:val="21"/>
              </w:rPr>
              <w:t>地表水环境</w:t>
            </w:r>
          </w:p>
        </w:tc>
        <w:tc>
          <w:tcPr>
            <w:tcW w:w="1332" w:type="dxa"/>
            <w:vAlign w:val="center"/>
          </w:tcPr>
          <w:p>
            <w:pPr>
              <w:spacing w:line="240" w:lineRule="auto"/>
              <w:ind w:firstLine="0" w:firstLineChars="0"/>
              <w:jc w:val="center"/>
              <w:rPr>
                <w:sz w:val="21"/>
                <w:szCs w:val="21"/>
              </w:rPr>
            </w:pPr>
            <w:r>
              <w:rPr>
                <w:rFonts w:hint="eastAsia"/>
                <w:sz w:val="21"/>
                <w:szCs w:val="21"/>
              </w:rPr>
              <w:t>冷却用水</w:t>
            </w:r>
          </w:p>
        </w:tc>
        <w:tc>
          <w:tcPr>
            <w:tcW w:w="1098" w:type="dxa"/>
            <w:vAlign w:val="center"/>
          </w:tcPr>
          <w:p>
            <w:pPr>
              <w:spacing w:line="240" w:lineRule="auto"/>
              <w:ind w:firstLine="0" w:firstLineChars="0"/>
              <w:jc w:val="center"/>
              <w:rPr>
                <w:sz w:val="21"/>
                <w:szCs w:val="21"/>
              </w:rPr>
            </w:pPr>
            <w:r>
              <w:rPr>
                <w:sz w:val="21"/>
                <w:szCs w:val="21"/>
              </w:rPr>
              <w:t>SS</w:t>
            </w:r>
          </w:p>
        </w:tc>
        <w:tc>
          <w:tcPr>
            <w:tcW w:w="3235" w:type="dxa"/>
            <w:vAlign w:val="center"/>
          </w:tcPr>
          <w:p>
            <w:pPr>
              <w:spacing w:line="240" w:lineRule="auto"/>
              <w:ind w:firstLine="0" w:firstLineChars="0"/>
              <w:jc w:val="center"/>
              <w:rPr>
                <w:sz w:val="21"/>
                <w:szCs w:val="21"/>
              </w:rPr>
            </w:pPr>
            <w:r>
              <w:rPr>
                <w:sz w:val="21"/>
                <w:szCs w:val="21"/>
              </w:rPr>
              <w:t>回用</w:t>
            </w:r>
          </w:p>
        </w:tc>
        <w:tc>
          <w:tcPr>
            <w:tcW w:w="2382" w:type="dxa"/>
            <w:vAlign w:val="center"/>
          </w:tcPr>
          <w:p>
            <w:pPr>
              <w:spacing w:line="240" w:lineRule="auto"/>
              <w:ind w:firstLine="0" w:firstLineChars="0"/>
              <w:jc w:val="center"/>
              <w:rPr>
                <w:sz w:val="21"/>
                <w:szCs w:val="21"/>
              </w:rPr>
            </w:pPr>
            <w:r>
              <w:rPr>
                <w:rFonts w:hint="eastAsia"/>
                <w:sz w:val="21"/>
                <w:szCs w:val="21"/>
              </w:rPr>
              <w:t>不外排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13" w:type="dxa"/>
            <w:vMerge w:val="continue"/>
            <w:vAlign w:val="center"/>
          </w:tcPr>
          <w:p>
            <w:pPr>
              <w:spacing w:line="240" w:lineRule="auto"/>
              <w:ind w:firstLine="0" w:firstLineChars="0"/>
              <w:jc w:val="center"/>
              <w:rPr>
                <w:sz w:val="21"/>
                <w:szCs w:val="21"/>
              </w:rPr>
            </w:pPr>
          </w:p>
        </w:tc>
        <w:tc>
          <w:tcPr>
            <w:tcW w:w="1332" w:type="dxa"/>
            <w:vAlign w:val="center"/>
          </w:tcPr>
          <w:p>
            <w:pPr>
              <w:spacing w:line="240" w:lineRule="auto"/>
              <w:ind w:firstLine="0" w:firstLineChars="0"/>
              <w:jc w:val="center"/>
              <w:rPr>
                <w:sz w:val="21"/>
                <w:szCs w:val="21"/>
              </w:rPr>
            </w:pPr>
            <w:r>
              <w:rPr>
                <w:rFonts w:hint="eastAsia"/>
                <w:sz w:val="21"/>
                <w:szCs w:val="21"/>
              </w:rPr>
              <w:t>喷淋用水</w:t>
            </w:r>
          </w:p>
        </w:tc>
        <w:tc>
          <w:tcPr>
            <w:tcW w:w="1098" w:type="dxa"/>
            <w:vAlign w:val="center"/>
          </w:tcPr>
          <w:p>
            <w:pPr>
              <w:spacing w:line="240" w:lineRule="auto"/>
              <w:ind w:firstLine="0" w:firstLineChars="0"/>
              <w:jc w:val="center"/>
              <w:rPr>
                <w:sz w:val="21"/>
                <w:szCs w:val="21"/>
              </w:rPr>
            </w:pPr>
            <w:r>
              <w:rPr>
                <w:sz w:val="21"/>
                <w:szCs w:val="21"/>
              </w:rPr>
              <w:t>SS</w:t>
            </w:r>
          </w:p>
        </w:tc>
        <w:tc>
          <w:tcPr>
            <w:tcW w:w="3235" w:type="dxa"/>
            <w:vAlign w:val="center"/>
          </w:tcPr>
          <w:p>
            <w:pPr>
              <w:spacing w:line="240" w:lineRule="auto"/>
              <w:ind w:firstLine="0" w:firstLineChars="0"/>
              <w:jc w:val="center"/>
              <w:rPr>
                <w:sz w:val="21"/>
                <w:szCs w:val="21"/>
              </w:rPr>
            </w:pPr>
            <w:r>
              <w:rPr>
                <w:rFonts w:hint="eastAsia"/>
                <w:sz w:val="21"/>
                <w:szCs w:val="21"/>
              </w:rPr>
              <w:t>废水经沉淀后</w:t>
            </w:r>
            <w:r>
              <w:rPr>
                <w:sz w:val="21"/>
                <w:szCs w:val="21"/>
              </w:rPr>
              <w:t>回用</w:t>
            </w:r>
          </w:p>
        </w:tc>
        <w:tc>
          <w:tcPr>
            <w:tcW w:w="2382" w:type="dxa"/>
            <w:vAlign w:val="center"/>
          </w:tcPr>
          <w:p>
            <w:pPr>
              <w:spacing w:line="240" w:lineRule="auto"/>
              <w:ind w:firstLine="0" w:firstLineChars="0"/>
              <w:jc w:val="center"/>
              <w:rPr>
                <w:sz w:val="21"/>
                <w:szCs w:val="21"/>
              </w:rPr>
            </w:pPr>
            <w:r>
              <w:rPr>
                <w:rFonts w:hint="eastAsia"/>
                <w:sz w:val="21"/>
                <w:szCs w:val="21"/>
              </w:rPr>
              <w:t>不外排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13" w:type="dxa"/>
            <w:vMerge w:val="continue"/>
            <w:vAlign w:val="center"/>
          </w:tcPr>
          <w:p>
            <w:pPr>
              <w:spacing w:line="240" w:lineRule="auto"/>
              <w:ind w:firstLine="0" w:firstLineChars="0"/>
              <w:jc w:val="center"/>
              <w:rPr>
                <w:sz w:val="21"/>
                <w:szCs w:val="21"/>
              </w:rPr>
            </w:pPr>
          </w:p>
        </w:tc>
        <w:tc>
          <w:tcPr>
            <w:tcW w:w="1332" w:type="dxa"/>
            <w:vAlign w:val="center"/>
          </w:tcPr>
          <w:p>
            <w:pPr>
              <w:pStyle w:val="91"/>
            </w:pPr>
            <w:r>
              <w:rPr>
                <w:rFonts w:hint="eastAsia"/>
              </w:rPr>
              <w:t>除雾废水</w:t>
            </w:r>
          </w:p>
        </w:tc>
        <w:tc>
          <w:tcPr>
            <w:tcW w:w="1098" w:type="dxa"/>
            <w:vAlign w:val="center"/>
          </w:tcPr>
          <w:p>
            <w:pPr>
              <w:pStyle w:val="91"/>
            </w:pPr>
            <w:r>
              <w:rPr>
                <w:rFonts w:hint="eastAsia"/>
              </w:rPr>
              <w:t>COD</w:t>
            </w:r>
          </w:p>
        </w:tc>
        <w:tc>
          <w:tcPr>
            <w:tcW w:w="3235" w:type="dxa"/>
            <w:vAlign w:val="center"/>
          </w:tcPr>
          <w:p>
            <w:pPr>
              <w:pStyle w:val="91"/>
            </w:pPr>
            <w:r>
              <w:rPr>
                <w:rFonts w:hint="eastAsia"/>
              </w:rPr>
              <w:t>收集后用于厂区洒水</w:t>
            </w:r>
          </w:p>
        </w:tc>
        <w:tc>
          <w:tcPr>
            <w:tcW w:w="2382" w:type="dxa"/>
            <w:vAlign w:val="center"/>
          </w:tcPr>
          <w:p>
            <w:pPr>
              <w:pStyle w:val="91"/>
            </w:pPr>
            <w:r>
              <w:rPr>
                <w:rFonts w:hint="eastAsia"/>
              </w:rPr>
              <w:t>不外排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13" w:type="dxa"/>
            <w:vAlign w:val="center"/>
          </w:tcPr>
          <w:p>
            <w:pPr>
              <w:spacing w:line="240" w:lineRule="auto"/>
              <w:ind w:firstLine="0" w:firstLineChars="0"/>
              <w:jc w:val="center"/>
              <w:rPr>
                <w:sz w:val="21"/>
                <w:szCs w:val="21"/>
              </w:rPr>
            </w:pPr>
            <w:r>
              <w:rPr>
                <w:rFonts w:hint="eastAsia"/>
                <w:sz w:val="21"/>
                <w:szCs w:val="21"/>
              </w:rPr>
              <w:t>声环境</w:t>
            </w:r>
          </w:p>
        </w:tc>
        <w:tc>
          <w:tcPr>
            <w:tcW w:w="8047" w:type="dxa"/>
            <w:gridSpan w:val="4"/>
            <w:vAlign w:val="center"/>
          </w:tcPr>
          <w:p>
            <w:pPr>
              <w:spacing w:line="240" w:lineRule="auto"/>
              <w:ind w:firstLine="0" w:firstLineChars="0"/>
              <w:jc w:val="center"/>
              <w:rPr>
                <w:sz w:val="21"/>
                <w:szCs w:val="21"/>
              </w:rPr>
            </w:pPr>
            <w:r>
              <w:rPr>
                <w:rFonts w:ascii="宋体" w:hAnsi="宋体" w:cs="宋体"/>
                <w:kern w:val="28"/>
                <w:sz w:val="21"/>
                <w:szCs w:val="21"/>
              </w:rPr>
              <w:t>采用合理布置设备、低噪声设备、安装减振垫、厂房隔声等措施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13" w:type="dxa"/>
            <w:vAlign w:val="center"/>
          </w:tcPr>
          <w:p>
            <w:pPr>
              <w:spacing w:line="240" w:lineRule="auto"/>
              <w:ind w:firstLine="0" w:firstLineChars="0"/>
              <w:jc w:val="center"/>
              <w:rPr>
                <w:sz w:val="21"/>
                <w:szCs w:val="21"/>
              </w:rPr>
            </w:pPr>
            <w:r>
              <w:rPr>
                <w:rFonts w:hint="eastAsia"/>
                <w:sz w:val="21"/>
                <w:szCs w:val="21"/>
              </w:rPr>
              <w:t>电磁辐射</w:t>
            </w:r>
          </w:p>
        </w:tc>
        <w:tc>
          <w:tcPr>
            <w:tcW w:w="1332" w:type="dxa"/>
            <w:vAlign w:val="center"/>
          </w:tcPr>
          <w:p>
            <w:pPr>
              <w:spacing w:line="240" w:lineRule="auto"/>
              <w:ind w:firstLine="0" w:firstLineChars="0"/>
              <w:jc w:val="center"/>
              <w:rPr>
                <w:sz w:val="21"/>
                <w:szCs w:val="21"/>
              </w:rPr>
            </w:pPr>
            <w:r>
              <w:rPr>
                <w:sz w:val="21"/>
                <w:szCs w:val="21"/>
              </w:rPr>
              <w:t>/</w:t>
            </w:r>
          </w:p>
        </w:tc>
        <w:tc>
          <w:tcPr>
            <w:tcW w:w="1098" w:type="dxa"/>
            <w:vAlign w:val="center"/>
          </w:tcPr>
          <w:p>
            <w:pPr>
              <w:spacing w:line="240" w:lineRule="auto"/>
              <w:ind w:firstLine="0" w:firstLineChars="0"/>
              <w:jc w:val="center"/>
              <w:rPr>
                <w:sz w:val="21"/>
                <w:szCs w:val="21"/>
              </w:rPr>
            </w:pPr>
            <w:r>
              <w:rPr>
                <w:sz w:val="21"/>
                <w:szCs w:val="21"/>
              </w:rPr>
              <w:t>/</w:t>
            </w:r>
          </w:p>
        </w:tc>
        <w:tc>
          <w:tcPr>
            <w:tcW w:w="3235" w:type="dxa"/>
            <w:vAlign w:val="center"/>
          </w:tcPr>
          <w:p>
            <w:pPr>
              <w:spacing w:line="240" w:lineRule="auto"/>
              <w:ind w:firstLine="0" w:firstLineChars="0"/>
              <w:jc w:val="center"/>
              <w:rPr>
                <w:sz w:val="21"/>
                <w:szCs w:val="21"/>
              </w:rPr>
            </w:pPr>
            <w:r>
              <w:rPr>
                <w:sz w:val="21"/>
                <w:szCs w:val="21"/>
              </w:rPr>
              <w:t>/</w:t>
            </w:r>
          </w:p>
        </w:tc>
        <w:tc>
          <w:tcPr>
            <w:tcW w:w="2382" w:type="dxa"/>
            <w:vAlign w:val="center"/>
          </w:tcPr>
          <w:p>
            <w:pPr>
              <w:spacing w:line="240" w:lineRule="auto"/>
              <w:ind w:firstLine="0" w:firstLineChars="0"/>
              <w:jc w:val="center"/>
              <w:rPr>
                <w:sz w:val="21"/>
                <w:szCs w:val="21"/>
              </w:rPr>
            </w:pPr>
            <w:r>
              <w:rPr>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13" w:type="dxa"/>
            <w:vAlign w:val="center"/>
          </w:tcPr>
          <w:p>
            <w:pPr>
              <w:spacing w:line="240" w:lineRule="auto"/>
              <w:ind w:firstLine="0" w:firstLineChars="0"/>
              <w:rPr>
                <w:sz w:val="21"/>
                <w:szCs w:val="21"/>
              </w:rPr>
            </w:pPr>
            <w:r>
              <w:rPr>
                <w:rFonts w:hint="eastAsia"/>
                <w:sz w:val="21"/>
                <w:szCs w:val="21"/>
              </w:rPr>
              <w:t>固体废物</w:t>
            </w:r>
          </w:p>
        </w:tc>
        <w:tc>
          <w:tcPr>
            <w:tcW w:w="8047" w:type="dxa"/>
            <w:gridSpan w:val="4"/>
            <w:vAlign w:val="center"/>
          </w:tcPr>
          <w:p>
            <w:pPr>
              <w:spacing w:line="240" w:lineRule="auto"/>
              <w:ind w:firstLine="0" w:firstLineChars="0"/>
              <w:rPr>
                <w:sz w:val="21"/>
                <w:szCs w:val="21"/>
              </w:rPr>
            </w:pPr>
            <w:r>
              <w:rPr>
                <w:rFonts w:hint="eastAsia"/>
                <w:sz w:val="21"/>
                <w:szCs w:val="21"/>
              </w:rPr>
              <w:t>除尘灰和地面粉尘：收集后回用于制粒工序；</w:t>
            </w:r>
          </w:p>
          <w:p>
            <w:pPr>
              <w:spacing w:line="240" w:lineRule="auto"/>
              <w:ind w:firstLine="0" w:firstLineChars="0"/>
              <w:rPr>
                <w:sz w:val="21"/>
                <w:szCs w:val="21"/>
              </w:rPr>
            </w:pPr>
            <w:r>
              <w:rPr>
                <w:rFonts w:hint="eastAsia"/>
                <w:sz w:val="21"/>
                <w:szCs w:val="21"/>
              </w:rPr>
              <w:t>喷淋废渣：经压滤机脱水后回用于制粒工序；</w:t>
            </w:r>
          </w:p>
          <w:p>
            <w:pPr>
              <w:spacing w:line="240" w:lineRule="auto"/>
              <w:ind w:firstLine="0" w:firstLineChars="0"/>
              <w:rPr>
                <w:sz w:val="21"/>
                <w:szCs w:val="21"/>
              </w:rPr>
            </w:pPr>
            <w:r>
              <w:rPr>
                <w:rFonts w:hint="eastAsia"/>
                <w:sz w:val="21"/>
                <w:szCs w:val="21"/>
              </w:rPr>
              <w:t>炉渣：收集后作为硅合金原材料；</w:t>
            </w:r>
          </w:p>
          <w:p>
            <w:pPr>
              <w:spacing w:line="240" w:lineRule="auto"/>
              <w:ind w:firstLine="0" w:firstLineChars="0"/>
              <w:rPr>
                <w:sz w:val="21"/>
                <w:szCs w:val="21"/>
              </w:rPr>
            </w:pPr>
            <w:r>
              <w:rPr>
                <w:rFonts w:hint="eastAsia"/>
                <w:sz w:val="21"/>
                <w:szCs w:val="21"/>
              </w:rPr>
              <w:t>废原料包装材料：收集后交由厂家回收处理；</w:t>
            </w:r>
          </w:p>
          <w:p>
            <w:pPr>
              <w:spacing w:line="240" w:lineRule="auto"/>
              <w:ind w:firstLine="0" w:firstLineChars="0"/>
              <w:rPr>
                <w:sz w:val="21"/>
                <w:szCs w:val="21"/>
              </w:rPr>
            </w:pPr>
            <w:r>
              <w:rPr>
                <w:rFonts w:hint="eastAsia"/>
                <w:sz w:val="21"/>
                <w:szCs w:val="21"/>
              </w:rPr>
              <w:t>危险废物：废机油、废油桶经收集后暂存厂区已设的危废暂存间内，交由资质单位处理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13" w:type="dxa"/>
            <w:vAlign w:val="center"/>
          </w:tcPr>
          <w:p>
            <w:pPr>
              <w:spacing w:line="240" w:lineRule="auto"/>
              <w:ind w:firstLine="0" w:firstLineChars="0"/>
              <w:rPr>
                <w:sz w:val="21"/>
                <w:szCs w:val="21"/>
              </w:rPr>
            </w:pPr>
            <w:r>
              <w:rPr>
                <w:rFonts w:hint="eastAsia"/>
                <w:sz w:val="21"/>
                <w:szCs w:val="21"/>
              </w:rPr>
              <w:t>土壤及地下水污染防治措施</w:t>
            </w:r>
          </w:p>
        </w:tc>
        <w:tc>
          <w:tcPr>
            <w:tcW w:w="8047" w:type="dxa"/>
            <w:gridSpan w:val="4"/>
            <w:vAlign w:val="center"/>
          </w:tcPr>
          <w:p>
            <w:pPr>
              <w:spacing w:line="240" w:lineRule="auto"/>
              <w:ind w:firstLine="0" w:firstLineChars="0"/>
              <w:rPr>
                <w:sz w:val="21"/>
                <w:szCs w:val="21"/>
              </w:rPr>
            </w:pPr>
            <w:r>
              <w:rPr>
                <w:sz w:val="21"/>
                <w:szCs w:val="21"/>
              </w:rPr>
              <w:t>危废暂存间所在区域进行重点防渗；厂区进行防渗处理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13" w:type="dxa"/>
            <w:vAlign w:val="center"/>
          </w:tcPr>
          <w:p>
            <w:pPr>
              <w:spacing w:line="240" w:lineRule="auto"/>
              <w:ind w:firstLine="0" w:firstLineChars="0"/>
              <w:rPr>
                <w:sz w:val="21"/>
                <w:szCs w:val="21"/>
              </w:rPr>
            </w:pPr>
            <w:r>
              <w:rPr>
                <w:rFonts w:hint="eastAsia"/>
                <w:sz w:val="21"/>
                <w:szCs w:val="21"/>
              </w:rPr>
              <w:t>生态保护措施</w:t>
            </w:r>
          </w:p>
        </w:tc>
        <w:tc>
          <w:tcPr>
            <w:tcW w:w="8047" w:type="dxa"/>
            <w:gridSpan w:val="4"/>
            <w:vAlign w:val="center"/>
          </w:tcPr>
          <w:p>
            <w:pPr>
              <w:spacing w:line="240" w:lineRule="auto"/>
              <w:ind w:firstLine="0" w:firstLineChars="0"/>
              <w:rPr>
                <w:sz w:val="21"/>
                <w:szCs w:val="21"/>
              </w:rPr>
            </w:pPr>
            <w:r>
              <w:rPr>
                <w:rFonts w:hint="eastAsia"/>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13" w:type="dxa"/>
            <w:vAlign w:val="center"/>
          </w:tcPr>
          <w:p>
            <w:pPr>
              <w:spacing w:line="240" w:lineRule="auto"/>
              <w:ind w:firstLine="0" w:firstLineChars="0"/>
              <w:rPr>
                <w:sz w:val="21"/>
                <w:szCs w:val="21"/>
              </w:rPr>
            </w:pPr>
            <w:r>
              <w:rPr>
                <w:rFonts w:hint="eastAsia"/>
                <w:sz w:val="21"/>
                <w:szCs w:val="21"/>
              </w:rPr>
              <w:t>环境风险防范措施</w:t>
            </w:r>
          </w:p>
        </w:tc>
        <w:tc>
          <w:tcPr>
            <w:tcW w:w="8047" w:type="dxa"/>
            <w:gridSpan w:val="4"/>
            <w:vAlign w:val="center"/>
          </w:tcPr>
          <w:p>
            <w:pPr>
              <w:spacing w:line="240" w:lineRule="auto"/>
              <w:ind w:firstLine="0" w:firstLineChars="0"/>
              <w:rPr>
                <w:sz w:val="21"/>
                <w:szCs w:val="21"/>
              </w:rPr>
            </w:pPr>
            <w:r>
              <w:rPr>
                <w:rFonts w:hint="eastAsia"/>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13" w:type="dxa"/>
            <w:vAlign w:val="center"/>
          </w:tcPr>
          <w:p>
            <w:pPr>
              <w:spacing w:line="240" w:lineRule="auto"/>
              <w:ind w:firstLine="0" w:firstLineChars="0"/>
              <w:rPr>
                <w:sz w:val="21"/>
                <w:szCs w:val="21"/>
              </w:rPr>
            </w:pPr>
            <w:r>
              <w:rPr>
                <w:rFonts w:hint="eastAsia"/>
                <w:sz w:val="21"/>
                <w:szCs w:val="21"/>
              </w:rPr>
              <w:t>其他环境管理要求</w:t>
            </w:r>
          </w:p>
        </w:tc>
        <w:tc>
          <w:tcPr>
            <w:tcW w:w="8047" w:type="dxa"/>
            <w:gridSpan w:val="4"/>
            <w:vAlign w:val="center"/>
          </w:tcPr>
          <w:p>
            <w:pPr>
              <w:ind w:firstLine="420"/>
              <w:rPr>
                <w:sz w:val="21"/>
                <w:szCs w:val="21"/>
              </w:rPr>
            </w:pPr>
            <w:r>
              <w:rPr>
                <w:rFonts w:hint="eastAsia"/>
                <w:sz w:val="21"/>
                <w:szCs w:val="21"/>
              </w:rPr>
              <w:t>1、由专人负责运营期的环境管理工作，与当地生态环境主管部门及其授权监测部门直接监管污染物的排放情况，对超标排放及污染事故、纠纷进行处理。</w:t>
            </w:r>
          </w:p>
          <w:p>
            <w:pPr>
              <w:ind w:firstLine="420"/>
              <w:rPr>
                <w:sz w:val="21"/>
                <w:szCs w:val="21"/>
              </w:rPr>
            </w:pPr>
            <w:r>
              <w:rPr>
                <w:rFonts w:hint="eastAsia"/>
                <w:sz w:val="21"/>
                <w:szCs w:val="21"/>
              </w:rPr>
              <w:t>2、由分管环境的主要领导负责环保指标的落实，将环保指标逐级分解到个人，确保环保设施正常运转和污染物达标排放；企业定期采取自行监测，做好环保设施运行台账、环境监测台账。</w:t>
            </w:r>
          </w:p>
          <w:p>
            <w:pPr>
              <w:ind w:firstLine="420"/>
              <w:rPr>
                <w:sz w:val="21"/>
                <w:szCs w:val="21"/>
              </w:rPr>
            </w:pPr>
            <w:r>
              <w:rPr>
                <w:rFonts w:hint="eastAsia"/>
                <w:sz w:val="21"/>
                <w:szCs w:val="21"/>
              </w:rPr>
              <w:t>3、企业应按照相关要求修订企业突发性环境事件应急预案及办理排污许可。</w:t>
            </w:r>
          </w:p>
          <w:p>
            <w:pPr>
              <w:ind w:firstLine="420"/>
              <w:rPr>
                <w:sz w:val="21"/>
                <w:szCs w:val="21"/>
              </w:rPr>
            </w:pPr>
            <w:r>
              <w:rPr>
                <w:rFonts w:hint="eastAsia"/>
                <w:sz w:val="21"/>
                <w:szCs w:val="21"/>
              </w:rPr>
              <w:t>4、该项目运营后，环保管理人员应对各项环保设施的运行情况进行管理检查，具体环境管理内容应包括：</w:t>
            </w:r>
          </w:p>
          <w:p>
            <w:pPr>
              <w:ind w:firstLine="420"/>
              <w:rPr>
                <w:sz w:val="21"/>
                <w:szCs w:val="21"/>
              </w:rPr>
            </w:pPr>
            <w:r>
              <w:rPr>
                <w:rFonts w:hint="eastAsia"/>
                <w:sz w:val="21"/>
                <w:szCs w:val="21"/>
              </w:rPr>
              <w:t>①根据国家和地方相关环保政策和法规，制定企业的环保方针目标；</w:t>
            </w:r>
          </w:p>
          <w:p>
            <w:pPr>
              <w:ind w:firstLine="420"/>
              <w:rPr>
                <w:sz w:val="21"/>
                <w:szCs w:val="21"/>
              </w:rPr>
            </w:pPr>
            <w:r>
              <w:rPr>
                <w:rFonts w:hint="eastAsia"/>
                <w:sz w:val="21"/>
                <w:szCs w:val="21"/>
              </w:rPr>
              <w:t>②编制企业环境保护计划，并建立相应的管理监督制度；</w:t>
            </w:r>
          </w:p>
          <w:p>
            <w:pPr>
              <w:ind w:firstLine="420"/>
              <w:rPr>
                <w:sz w:val="21"/>
                <w:szCs w:val="21"/>
              </w:rPr>
            </w:pPr>
            <w:r>
              <w:rPr>
                <w:rFonts w:hint="eastAsia"/>
                <w:sz w:val="21"/>
                <w:szCs w:val="21"/>
              </w:rPr>
              <w:t>③进行环保教育宣传，并制定紧急情况应急措施，预防或减少可能的环境影响；</w:t>
            </w:r>
          </w:p>
          <w:p>
            <w:pPr>
              <w:ind w:firstLine="420"/>
              <w:rPr>
                <w:sz w:val="21"/>
                <w:szCs w:val="21"/>
              </w:rPr>
            </w:pPr>
            <w:r>
              <w:rPr>
                <w:rFonts w:hint="eastAsia"/>
                <w:sz w:val="21"/>
                <w:szCs w:val="21"/>
              </w:rPr>
              <w:t>④维护环保措施的正常运行和安全生产，对各种环保设施进行定期检查和维护，确保污染物达标排放，同时要推广和应用先进的环保技术和经验，最大限度降低污染物的排放量。</w:t>
            </w:r>
          </w:p>
          <w:p>
            <w:pPr>
              <w:ind w:firstLine="420"/>
              <w:rPr>
                <w:sz w:val="21"/>
                <w:szCs w:val="21"/>
              </w:rPr>
            </w:pPr>
            <w:r>
              <w:rPr>
                <w:rFonts w:hint="eastAsia"/>
                <w:sz w:val="21"/>
                <w:szCs w:val="21"/>
              </w:rPr>
              <w:t>⑤组织和协调环境监测工作，根据类似项目情况制定本项目相应的监测计划。</w:t>
            </w:r>
          </w:p>
          <w:p>
            <w:pPr>
              <w:ind w:firstLine="420"/>
              <w:rPr>
                <w:sz w:val="21"/>
                <w:szCs w:val="21"/>
              </w:rPr>
            </w:pPr>
            <w:r>
              <w:rPr>
                <w:rFonts w:hint="eastAsia"/>
                <w:sz w:val="21"/>
                <w:szCs w:val="21"/>
              </w:rPr>
              <w:t>5、排污口规范化管理要求</w:t>
            </w:r>
          </w:p>
          <w:p>
            <w:pPr>
              <w:ind w:firstLine="420"/>
              <w:rPr>
                <w:sz w:val="21"/>
                <w:szCs w:val="21"/>
              </w:rPr>
            </w:pPr>
            <w:r>
              <w:rPr>
                <w:rFonts w:hint="eastAsia"/>
                <w:sz w:val="21"/>
                <w:szCs w:val="21"/>
              </w:rPr>
              <w:t>①排污口立标管理</w:t>
            </w:r>
          </w:p>
          <w:p>
            <w:pPr>
              <w:ind w:firstLine="420"/>
              <w:rPr>
                <w:sz w:val="21"/>
                <w:szCs w:val="21"/>
              </w:rPr>
            </w:pPr>
            <w:r>
              <w:rPr>
                <w:rFonts w:hint="eastAsia"/>
                <w:sz w:val="21"/>
                <w:szCs w:val="21"/>
              </w:rPr>
              <w:t>根据国家《环境保护图形标志》(GB15562.1~2-95)的规定，本工程针对废气排放口和噪声排放源分别设置环境保护图形标志牌。建议全部标志牌采用原国家环保局统一监制的三角形边框的警告标志牌。标志牌设在各排污口的醒目处，设置高度为上边缘距地面约2m。</w:t>
            </w:r>
          </w:p>
          <w:p>
            <w:pPr>
              <w:ind w:firstLine="420"/>
              <w:rPr>
                <w:sz w:val="21"/>
                <w:szCs w:val="21"/>
              </w:rPr>
            </w:pPr>
            <w:r>
              <w:rPr>
                <w:rFonts w:hint="eastAsia"/>
                <w:sz w:val="21"/>
                <w:szCs w:val="21"/>
              </w:rPr>
              <w:t>②排污口建档管理</w:t>
            </w:r>
          </w:p>
          <w:p>
            <w:pPr>
              <w:ind w:firstLine="420"/>
              <w:rPr>
                <w:sz w:val="21"/>
                <w:szCs w:val="21"/>
              </w:rPr>
            </w:pPr>
            <w:r>
              <w:rPr>
                <w:rFonts w:hint="eastAsia"/>
                <w:sz w:val="21"/>
                <w:szCs w:val="21"/>
              </w:rPr>
              <w:t>按根据环保局统一印制的《中华人民共和国规范化排污口标志登记证》的要求填写项目有关内容；项目投产运行后，应建立各主要污染物种类、数量、浓度、排放方式、排放去向达标等情况的台账，并按生态环境主管部门要求及时上报。</w:t>
            </w:r>
          </w:p>
          <w:p>
            <w:pPr>
              <w:pStyle w:val="3"/>
              <w:ind w:firstLine="422"/>
              <w:rPr>
                <w:rFonts w:hint="default"/>
                <w:sz w:val="21"/>
                <w:szCs w:val="21"/>
              </w:rPr>
            </w:pPr>
          </w:p>
          <w:p>
            <w:pPr>
              <w:ind w:firstLine="420"/>
              <w:rPr>
                <w:sz w:val="21"/>
                <w:szCs w:val="21"/>
              </w:rPr>
            </w:pPr>
          </w:p>
          <w:p>
            <w:pPr>
              <w:pStyle w:val="3"/>
              <w:ind w:firstLine="422"/>
              <w:rPr>
                <w:rFonts w:hint="default"/>
                <w:sz w:val="21"/>
                <w:szCs w:val="21"/>
              </w:rPr>
            </w:pPr>
          </w:p>
          <w:p>
            <w:pPr>
              <w:ind w:firstLine="420"/>
              <w:rPr>
                <w:sz w:val="21"/>
                <w:szCs w:val="21"/>
              </w:rPr>
            </w:pPr>
          </w:p>
          <w:p>
            <w:pPr>
              <w:pStyle w:val="3"/>
              <w:ind w:firstLine="422"/>
              <w:rPr>
                <w:rFonts w:hint="default"/>
                <w:sz w:val="21"/>
                <w:szCs w:val="21"/>
              </w:rPr>
            </w:pPr>
          </w:p>
          <w:p>
            <w:pPr>
              <w:pStyle w:val="3"/>
              <w:ind w:firstLine="0" w:firstLineChars="0"/>
              <w:rPr>
                <w:rFonts w:hint="default"/>
                <w:sz w:val="21"/>
                <w:szCs w:val="21"/>
              </w:rPr>
            </w:pPr>
          </w:p>
          <w:p>
            <w:pPr>
              <w:pStyle w:val="3"/>
              <w:ind w:firstLine="0" w:firstLineChars="0"/>
              <w:rPr>
                <w:rFonts w:hint="default"/>
                <w:sz w:val="21"/>
                <w:szCs w:val="21"/>
              </w:rPr>
            </w:pPr>
          </w:p>
          <w:p>
            <w:pPr>
              <w:spacing w:line="240" w:lineRule="auto"/>
              <w:ind w:firstLine="0" w:firstLineChars="0"/>
              <w:rPr>
                <w:sz w:val="21"/>
                <w:szCs w:val="21"/>
              </w:rPr>
            </w:pPr>
          </w:p>
        </w:tc>
      </w:tr>
    </w:tbl>
    <w:p>
      <w:pPr>
        <w:pStyle w:val="28"/>
        <w:ind w:firstLine="480"/>
        <w:jc w:val="center"/>
        <w:outlineLvl w:val="0"/>
        <w:rPr>
          <w:rFonts w:ascii="黑体" w:hAnsi="黑体" w:eastAsia="黑体"/>
          <w:snapToGrid w:val="0"/>
          <w:sz w:val="30"/>
          <w:szCs w:val="30"/>
        </w:rPr>
      </w:pPr>
      <w:r>
        <w:rPr>
          <w:snapToGrid w:val="0"/>
        </w:rPr>
        <w:br w:type="page"/>
      </w:r>
      <w:bookmarkStart w:id="18" w:name="_Toc11839"/>
      <w:r>
        <w:rPr>
          <w:rFonts w:hint="eastAsia" w:ascii="黑体" w:hAnsi="黑体" w:eastAsia="黑体"/>
          <w:snapToGrid w:val="0"/>
          <w:sz w:val="30"/>
          <w:szCs w:val="30"/>
        </w:rPr>
        <w:t>六、结论</w:t>
      </w:r>
      <w:bookmarkEnd w:id="18"/>
    </w:p>
    <w:tbl>
      <w:tblPr>
        <w:tblStyle w:val="36"/>
        <w:tblW w:w="8865"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711" w:hRule="atLeast"/>
          <w:jc w:val="center"/>
        </w:trPr>
        <w:tc>
          <w:tcPr>
            <w:tcW w:w="8865" w:type="dxa"/>
          </w:tcPr>
          <w:p>
            <w:pPr>
              <w:adjustRightInd w:val="0"/>
              <w:snapToGrid w:val="0"/>
              <w:spacing w:beforeLines="100"/>
              <w:ind w:firstLine="480"/>
              <w:rPr>
                <w:rFonts w:ascii="宋体" w:cs="宋体"/>
              </w:rPr>
            </w:pPr>
            <w:r>
              <w:rPr>
                <w:rFonts w:hint="eastAsia" w:ascii="宋体" w:cs="宋体"/>
              </w:rPr>
              <w:t>本项目符合国家产业政策，在采取环评报告提出的各项环保措施后各项污染物达标排放，项目运营过程中对周边环境的不利影响可得到有效控制达到相应标准，从环保角度分析，项目建设可行。</w:t>
            </w:r>
          </w:p>
        </w:tc>
      </w:tr>
    </w:tbl>
    <w:p>
      <w:pPr>
        <w:ind w:firstLine="480"/>
        <w:rPr>
          <w:rFonts w:ascii="宋体"/>
        </w:rPr>
        <w:sectPr>
          <w:pgSz w:w="11905" w:h="16838"/>
          <w:pgMar w:top="1440" w:right="1531" w:bottom="1440" w:left="1531" w:header="851" w:footer="1020" w:gutter="0"/>
          <w:pgNumType w:fmt="numberInDash"/>
          <w:cols w:space="0" w:num="1"/>
          <w:docGrid w:linePitch="312" w:charSpace="0"/>
        </w:sectPr>
      </w:pPr>
    </w:p>
    <w:p>
      <w:pPr>
        <w:pStyle w:val="28"/>
        <w:adjustRightInd w:val="0"/>
        <w:snapToGrid w:val="0"/>
        <w:spacing w:before="0" w:beforeAutospacing="0" w:after="0" w:afterAutospacing="0"/>
        <w:ind w:firstLine="640"/>
        <w:outlineLvl w:val="0"/>
        <w:rPr>
          <w:rFonts w:ascii="黑体" w:hAnsi="黑体" w:eastAsia="黑体"/>
          <w:snapToGrid w:val="0"/>
          <w:sz w:val="32"/>
          <w:szCs w:val="32"/>
        </w:rPr>
      </w:pPr>
      <w:bookmarkStart w:id="19" w:name="_Toc3435"/>
      <w:r>
        <w:rPr>
          <w:rFonts w:hint="eastAsia" w:ascii="黑体" w:hAnsi="黑体" w:eastAsia="黑体"/>
          <w:snapToGrid w:val="0"/>
          <w:sz w:val="32"/>
          <w:szCs w:val="32"/>
        </w:rPr>
        <w:t>附表</w:t>
      </w:r>
      <w:bookmarkEnd w:id="19"/>
    </w:p>
    <w:p>
      <w:pPr>
        <w:pStyle w:val="28"/>
        <w:adjustRightInd w:val="0"/>
        <w:snapToGrid w:val="0"/>
        <w:spacing w:before="0" w:beforeAutospacing="0" w:after="0" w:afterAutospacing="0"/>
        <w:ind w:firstLine="760"/>
        <w:jc w:val="center"/>
        <w:outlineLvl w:val="0"/>
        <w:rPr>
          <w:rFonts w:ascii="方正小标宋_GBK" w:hAnsi="黑体" w:eastAsia="方正小标宋_GBK"/>
          <w:snapToGrid w:val="0"/>
          <w:sz w:val="38"/>
          <w:szCs w:val="38"/>
        </w:rPr>
      </w:pPr>
      <w:bookmarkStart w:id="20" w:name="_Toc31299"/>
      <w:r>
        <w:rPr>
          <w:rFonts w:hint="eastAsia" w:ascii="方正小标宋_GBK" w:hAnsi="黑体" w:eastAsia="方正小标宋_GBK"/>
          <w:snapToGrid w:val="0"/>
          <w:sz w:val="38"/>
          <w:szCs w:val="38"/>
        </w:rPr>
        <w:t>建设项目污染物排放量汇总表</w:t>
      </w:r>
      <w:bookmarkEnd w:id="20"/>
    </w:p>
    <w:tbl>
      <w:tblPr>
        <w:tblStyle w:val="36"/>
        <w:tblW w:w="1348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37"/>
        <w:gridCol w:w="1861"/>
        <w:gridCol w:w="1541"/>
        <w:gridCol w:w="1401"/>
        <w:gridCol w:w="1575"/>
        <w:gridCol w:w="1500"/>
        <w:gridCol w:w="1425"/>
        <w:gridCol w:w="1680"/>
        <w:gridCol w:w="146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tcBorders>
              <w:tl2br w:val="single" w:color="auto" w:sz="4" w:space="0"/>
            </w:tcBorders>
            <w:tcMar>
              <w:left w:w="28" w:type="dxa"/>
              <w:right w:w="28" w:type="dxa"/>
            </w:tcMar>
            <w:vAlign w:val="center"/>
          </w:tcPr>
          <w:p>
            <w:pPr>
              <w:spacing w:line="240" w:lineRule="auto"/>
              <w:ind w:firstLine="0" w:firstLineChars="0"/>
              <w:jc w:val="center"/>
              <w:rPr>
                <w:sz w:val="21"/>
                <w:szCs w:val="21"/>
              </w:rPr>
            </w:pPr>
            <w:r>
              <w:rPr>
                <w:sz w:val="21"/>
                <w:szCs w:val="21"/>
              </w:rPr>
              <w:t>项目</w:t>
            </w:r>
          </w:p>
          <w:p>
            <w:pPr>
              <w:spacing w:line="240" w:lineRule="auto"/>
              <w:ind w:firstLine="0" w:firstLineChars="0"/>
              <w:jc w:val="center"/>
              <w:rPr>
                <w:sz w:val="21"/>
                <w:szCs w:val="21"/>
              </w:rPr>
            </w:pPr>
            <w:r>
              <w:rPr>
                <w:sz w:val="21"/>
                <w:szCs w:val="21"/>
              </w:rPr>
              <w:t>分类</w:t>
            </w:r>
          </w:p>
        </w:tc>
        <w:tc>
          <w:tcPr>
            <w:tcW w:w="1861" w:type="dxa"/>
            <w:tcMar>
              <w:left w:w="28" w:type="dxa"/>
              <w:right w:w="28" w:type="dxa"/>
            </w:tcMar>
            <w:vAlign w:val="center"/>
          </w:tcPr>
          <w:p>
            <w:pPr>
              <w:spacing w:line="240" w:lineRule="auto"/>
              <w:ind w:firstLine="0" w:firstLineChars="0"/>
              <w:jc w:val="center"/>
              <w:rPr>
                <w:sz w:val="21"/>
                <w:szCs w:val="21"/>
              </w:rPr>
            </w:pPr>
            <w:r>
              <w:rPr>
                <w:sz w:val="21"/>
                <w:szCs w:val="21"/>
              </w:rPr>
              <w:t>污染物名称</w:t>
            </w:r>
          </w:p>
        </w:tc>
        <w:tc>
          <w:tcPr>
            <w:tcW w:w="1541" w:type="dxa"/>
            <w:tcMar>
              <w:left w:w="28" w:type="dxa"/>
              <w:right w:w="28" w:type="dxa"/>
            </w:tcMar>
            <w:vAlign w:val="center"/>
          </w:tcPr>
          <w:p>
            <w:pPr>
              <w:spacing w:line="240" w:lineRule="auto"/>
              <w:ind w:firstLine="0" w:firstLineChars="0"/>
              <w:jc w:val="center"/>
              <w:rPr>
                <w:sz w:val="21"/>
                <w:szCs w:val="21"/>
              </w:rPr>
            </w:pPr>
            <w:r>
              <w:rPr>
                <w:sz w:val="21"/>
                <w:szCs w:val="21"/>
              </w:rPr>
              <w:t>现有工程排放量（固体废物产生量）</w:t>
            </w:r>
            <w:r>
              <w:rPr>
                <w:sz w:val="21"/>
                <w:szCs w:val="21"/>
              </w:rPr>
              <w:fldChar w:fldCharType="begin"/>
            </w:r>
            <w:r>
              <w:rPr>
                <w:sz w:val="21"/>
                <w:szCs w:val="21"/>
              </w:rPr>
              <w:instrText xml:space="preserve"> = 1 \* GB3 \* MERGEFORMAT </w:instrText>
            </w:r>
            <w:r>
              <w:rPr>
                <w:sz w:val="21"/>
                <w:szCs w:val="21"/>
              </w:rPr>
              <w:fldChar w:fldCharType="separate"/>
            </w:r>
            <w:r>
              <w:rPr>
                <w:sz w:val="21"/>
                <w:szCs w:val="21"/>
              </w:rPr>
              <w:t>①</w:t>
            </w:r>
            <w:r>
              <w:rPr>
                <w:sz w:val="21"/>
                <w:szCs w:val="21"/>
              </w:rPr>
              <w:fldChar w:fldCharType="end"/>
            </w:r>
          </w:p>
        </w:tc>
        <w:tc>
          <w:tcPr>
            <w:tcW w:w="1401" w:type="dxa"/>
            <w:tcMar>
              <w:left w:w="28" w:type="dxa"/>
              <w:right w:w="28" w:type="dxa"/>
            </w:tcMar>
            <w:vAlign w:val="center"/>
          </w:tcPr>
          <w:p>
            <w:pPr>
              <w:spacing w:line="240" w:lineRule="auto"/>
              <w:ind w:firstLine="0" w:firstLineChars="0"/>
              <w:jc w:val="center"/>
              <w:rPr>
                <w:sz w:val="21"/>
                <w:szCs w:val="21"/>
              </w:rPr>
            </w:pPr>
            <w:r>
              <w:rPr>
                <w:sz w:val="21"/>
                <w:szCs w:val="21"/>
              </w:rPr>
              <w:t>现有工程许可排放量</w:t>
            </w:r>
          </w:p>
          <w:p>
            <w:pPr>
              <w:spacing w:line="240" w:lineRule="auto"/>
              <w:ind w:firstLine="0" w:firstLineChars="0"/>
              <w:jc w:val="center"/>
              <w:rPr>
                <w:sz w:val="21"/>
                <w:szCs w:val="21"/>
              </w:rPr>
            </w:pPr>
            <w:r>
              <w:rPr>
                <w:sz w:val="21"/>
                <w:szCs w:val="21"/>
              </w:rPr>
              <w:fldChar w:fldCharType="begin"/>
            </w:r>
            <w:r>
              <w:rPr>
                <w:sz w:val="21"/>
                <w:szCs w:val="21"/>
              </w:rPr>
              <w:instrText xml:space="preserve"> = 2 \* GB3 \* MERGEFORMAT </w:instrText>
            </w:r>
            <w:r>
              <w:rPr>
                <w:sz w:val="21"/>
                <w:szCs w:val="21"/>
              </w:rPr>
              <w:fldChar w:fldCharType="separate"/>
            </w:r>
            <w:r>
              <w:rPr>
                <w:sz w:val="21"/>
                <w:szCs w:val="21"/>
              </w:rPr>
              <w:t>②</w:t>
            </w:r>
            <w:r>
              <w:rPr>
                <w:sz w:val="21"/>
                <w:szCs w:val="21"/>
              </w:rPr>
              <w:fldChar w:fldCharType="end"/>
            </w:r>
          </w:p>
        </w:tc>
        <w:tc>
          <w:tcPr>
            <w:tcW w:w="1575" w:type="dxa"/>
            <w:tcMar>
              <w:left w:w="28" w:type="dxa"/>
              <w:right w:w="28" w:type="dxa"/>
            </w:tcMar>
            <w:vAlign w:val="center"/>
          </w:tcPr>
          <w:p>
            <w:pPr>
              <w:spacing w:line="240" w:lineRule="auto"/>
              <w:ind w:firstLine="0" w:firstLineChars="0"/>
              <w:jc w:val="center"/>
              <w:rPr>
                <w:sz w:val="21"/>
                <w:szCs w:val="21"/>
              </w:rPr>
            </w:pPr>
            <w:r>
              <w:rPr>
                <w:sz w:val="21"/>
                <w:szCs w:val="21"/>
              </w:rPr>
              <w:t>在建工程排放量（固体废物产生量）</w:t>
            </w:r>
            <w:r>
              <w:rPr>
                <w:sz w:val="21"/>
                <w:szCs w:val="21"/>
              </w:rPr>
              <w:fldChar w:fldCharType="begin"/>
            </w:r>
            <w:r>
              <w:rPr>
                <w:sz w:val="21"/>
                <w:szCs w:val="21"/>
              </w:rPr>
              <w:instrText xml:space="preserve"> = 3 \* GB3 \* MERGEFORMAT </w:instrText>
            </w:r>
            <w:r>
              <w:rPr>
                <w:sz w:val="21"/>
                <w:szCs w:val="21"/>
              </w:rPr>
              <w:fldChar w:fldCharType="separate"/>
            </w:r>
            <w:r>
              <w:rPr>
                <w:sz w:val="21"/>
                <w:szCs w:val="21"/>
              </w:rPr>
              <w:t>③</w:t>
            </w:r>
            <w:r>
              <w:rPr>
                <w:sz w:val="21"/>
                <w:szCs w:val="21"/>
              </w:rPr>
              <w:fldChar w:fldCharType="end"/>
            </w:r>
          </w:p>
        </w:tc>
        <w:tc>
          <w:tcPr>
            <w:tcW w:w="1500" w:type="dxa"/>
            <w:tcMar>
              <w:left w:w="28" w:type="dxa"/>
              <w:right w:w="28" w:type="dxa"/>
            </w:tcMar>
            <w:vAlign w:val="center"/>
          </w:tcPr>
          <w:p>
            <w:pPr>
              <w:spacing w:line="240" w:lineRule="auto"/>
              <w:ind w:firstLine="0" w:firstLineChars="0"/>
              <w:jc w:val="center"/>
              <w:rPr>
                <w:sz w:val="21"/>
                <w:szCs w:val="21"/>
              </w:rPr>
            </w:pPr>
            <w:r>
              <w:rPr>
                <w:sz w:val="21"/>
                <w:szCs w:val="21"/>
              </w:rPr>
              <w:t>本项目排放量（固体废物产生量）</w:t>
            </w:r>
            <w:r>
              <w:rPr>
                <w:sz w:val="21"/>
                <w:szCs w:val="21"/>
              </w:rPr>
              <w:fldChar w:fldCharType="begin"/>
            </w:r>
            <w:r>
              <w:rPr>
                <w:sz w:val="21"/>
                <w:szCs w:val="21"/>
              </w:rPr>
              <w:instrText xml:space="preserve"> = 4 \* GB3 \* MERGEFORMAT </w:instrText>
            </w:r>
            <w:r>
              <w:rPr>
                <w:sz w:val="21"/>
                <w:szCs w:val="21"/>
              </w:rPr>
              <w:fldChar w:fldCharType="separate"/>
            </w:r>
            <w:r>
              <w:rPr>
                <w:sz w:val="21"/>
                <w:szCs w:val="21"/>
              </w:rPr>
              <w:t>④</w:t>
            </w:r>
            <w:r>
              <w:rPr>
                <w:sz w:val="21"/>
                <w:szCs w:val="21"/>
              </w:rPr>
              <w:fldChar w:fldCharType="end"/>
            </w:r>
          </w:p>
        </w:tc>
        <w:tc>
          <w:tcPr>
            <w:tcW w:w="1425" w:type="dxa"/>
            <w:tcMar>
              <w:left w:w="28" w:type="dxa"/>
              <w:right w:w="28" w:type="dxa"/>
            </w:tcMar>
            <w:vAlign w:val="center"/>
          </w:tcPr>
          <w:p>
            <w:pPr>
              <w:spacing w:line="240" w:lineRule="auto"/>
              <w:ind w:firstLine="0" w:firstLineChars="0"/>
              <w:jc w:val="center"/>
              <w:rPr>
                <w:sz w:val="21"/>
                <w:szCs w:val="21"/>
              </w:rPr>
            </w:pPr>
            <w:r>
              <w:rPr>
                <w:sz w:val="21"/>
                <w:szCs w:val="21"/>
              </w:rPr>
              <w:t>以新带老削减量（新建项目不填）</w:t>
            </w:r>
            <w:r>
              <w:rPr>
                <w:sz w:val="21"/>
                <w:szCs w:val="21"/>
              </w:rPr>
              <w:fldChar w:fldCharType="begin"/>
            </w:r>
            <w:r>
              <w:rPr>
                <w:sz w:val="21"/>
                <w:szCs w:val="21"/>
              </w:rPr>
              <w:instrText xml:space="preserve"> = 5 \* GB3 \* MERGEFORMAT </w:instrText>
            </w:r>
            <w:r>
              <w:rPr>
                <w:sz w:val="21"/>
                <w:szCs w:val="21"/>
              </w:rPr>
              <w:fldChar w:fldCharType="separate"/>
            </w:r>
            <w:r>
              <w:rPr>
                <w:sz w:val="21"/>
                <w:szCs w:val="21"/>
              </w:rPr>
              <w:t>⑤</w:t>
            </w:r>
            <w:r>
              <w:rPr>
                <w:sz w:val="21"/>
                <w:szCs w:val="21"/>
              </w:rPr>
              <w:fldChar w:fldCharType="end"/>
            </w:r>
          </w:p>
        </w:tc>
        <w:tc>
          <w:tcPr>
            <w:tcW w:w="1680" w:type="dxa"/>
            <w:tcMar>
              <w:left w:w="28" w:type="dxa"/>
              <w:right w:w="28" w:type="dxa"/>
            </w:tcMar>
            <w:vAlign w:val="center"/>
          </w:tcPr>
          <w:p>
            <w:pPr>
              <w:spacing w:line="240" w:lineRule="auto"/>
              <w:ind w:firstLine="0" w:firstLineChars="0"/>
              <w:jc w:val="center"/>
              <w:rPr>
                <w:sz w:val="21"/>
                <w:szCs w:val="21"/>
              </w:rPr>
            </w:pPr>
            <w:r>
              <w:rPr>
                <w:sz w:val="21"/>
                <w:szCs w:val="21"/>
              </w:rPr>
              <w:t>本项目建成后全厂排放量（固体废物产生量）</w:t>
            </w:r>
            <w:r>
              <w:rPr>
                <w:sz w:val="21"/>
                <w:szCs w:val="21"/>
              </w:rPr>
              <w:fldChar w:fldCharType="begin"/>
            </w:r>
            <w:r>
              <w:rPr>
                <w:sz w:val="21"/>
                <w:szCs w:val="21"/>
              </w:rPr>
              <w:instrText xml:space="preserve"> = 6 \* GB3 \* MERGEFORMAT </w:instrText>
            </w:r>
            <w:r>
              <w:rPr>
                <w:sz w:val="21"/>
                <w:szCs w:val="21"/>
              </w:rPr>
              <w:fldChar w:fldCharType="separate"/>
            </w:r>
            <w:r>
              <w:rPr>
                <w:sz w:val="21"/>
                <w:szCs w:val="21"/>
              </w:rPr>
              <w:t>⑥</w:t>
            </w:r>
            <w:r>
              <w:rPr>
                <w:sz w:val="21"/>
                <w:szCs w:val="21"/>
              </w:rPr>
              <w:fldChar w:fldCharType="end"/>
            </w:r>
          </w:p>
        </w:tc>
        <w:tc>
          <w:tcPr>
            <w:tcW w:w="1464" w:type="dxa"/>
            <w:tcMar>
              <w:left w:w="28" w:type="dxa"/>
              <w:right w:w="28" w:type="dxa"/>
            </w:tcMar>
            <w:vAlign w:val="center"/>
          </w:tcPr>
          <w:p>
            <w:pPr>
              <w:spacing w:line="240" w:lineRule="auto"/>
              <w:ind w:firstLine="0" w:firstLineChars="0"/>
              <w:jc w:val="center"/>
              <w:rPr>
                <w:sz w:val="21"/>
                <w:szCs w:val="21"/>
              </w:rPr>
            </w:pPr>
            <w:r>
              <w:rPr>
                <w:sz w:val="21"/>
                <w:szCs w:val="21"/>
              </w:rPr>
              <w:t>变化量</w:t>
            </w:r>
          </w:p>
          <w:p>
            <w:pPr>
              <w:spacing w:line="240" w:lineRule="auto"/>
              <w:ind w:firstLine="0" w:firstLineChars="0"/>
              <w:jc w:val="center"/>
              <w:rPr>
                <w:sz w:val="21"/>
                <w:szCs w:val="21"/>
              </w:rPr>
            </w:pPr>
            <w:r>
              <w:rPr>
                <w:sz w:val="21"/>
                <w:szCs w:val="21"/>
              </w:rPr>
              <w:fldChar w:fldCharType="begin"/>
            </w:r>
            <w:r>
              <w:rPr>
                <w:sz w:val="21"/>
                <w:szCs w:val="21"/>
              </w:rPr>
              <w:instrText xml:space="preserve"> = 7 \* GB3 \* MERGEFORMAT </w:instrText>
            </w:r>
            <w:r>
              <w:rPr>
                <w:sz w:val="21"/>
                <w:szCs w:val="21"/>
              </w:rPr>
              <w:fldChar w:fldCharType="separate"/>
            </w:r>
            <w:r>
              <w:rPr>
                <w:sz w:val="21"/>
                <w:szCs w:val="21"/>
              </w:rPr>
              <w:t>⑦</w:t>
            </w:r>
            <w:r>
              <w:rPr>
                <w:sz w:val="21"/>
                <w:szCs w:val="21"/>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vAlign w:val="center"/>
          </w:tcPr>
          <w:p>
            <w:pPr>
              <w:spacing w:line="240" w:lineRule="auto"/>
              <w:ind w:firstLine="0" w:firstLineChars="0"/>
              <w:jc w:val="center"/>
              <w:rPr>
                <w:sz w:val="21"/>
                <w:szCs w:val="21"/>
              </w:rPr>
            </w:pPr>
            <w:r>
              <w:rPr>
                <w:sz w:val="21"/>
                <w:szCs w:val="21"/>
              </w:rPr>
              <w:t>废气</w:t>
            </w:r>
          </w:p>
        </w:tc>
        <w:tc>
          <w:tcPr>
            <w:tcW w:w="1861" w:type="dxa"/>
            <w:vAlign w:val="center"/>
          </w:tcPr>
          <w:p>
            <w:pPr>
              <w:spacing w:line="240" w:lineRule="auto"/>
              <w:ind w:firstLine="0" w:firstLineChars="0"/>
              <w:jc w:val="center"/>
              <w:rPr>
                <w:sz w:val="21"/>
                <w:szCs w:val="21"/>
              </w:rPr>
            </w:pPr>
            <w:r>
              <w:rPr>
                <w:sz w:val="21"/>
                <w:szCs w:val="21"/>
              </w:rPr>
              <w:t>颗粒物</w:t>
            </w:r>
          </w:p>
        </w:tc>
        <w:tc>
          <w:tcPr>
            <w:tcW w:w="1541" w:type="dxa"/>
            <w:vAlign w:val="center"/>
          </w:tcPr>
          <w:p>
            <w:pPr>
              <w:spacing w:line="240" w:lineRule="auto"/>
              <w:ind w:firstLine="0" w:firstLineChars="0"/>
              <w:jc w:val="center"/>
              <w:rPr>
                <w:sz w:val="21"/>
                <w:szCs w:val="21"/>
              </w:rPr>
            </w:pPr>
            <w:r>
              <w:rPr>
                <w:rFonts w:hint="eastAsia"/>
                <w:sz w:val="21"/>
                <w:szCs w:val="21"/>
              </w:rPr>
              <w:t>9.2</w:t>
            </w:r>
          </w:p>
        </w:tc>
        <w:tc>
          <w:tcPr>
            <w:tcW w:w="1401" w:type="dxa"/>
            <w:vAlign w:val="center"/>
          </w:tcPr>
          <w:p>
            <w:pPr>
              <w:spacing w:line="240" w:lineRule="auto"/>
              <w:ind w:firstLine="0" w:firstLineChars="0"/>
              <w:jc w:val="center"/>
              <w:rPr>
                <w:sz w:val="21"/>
                <w:szCs w:val="21"/>
              </w:rPr>
            </w:pPr>
            <w:r>
              <w:rPr>
                <w:sz w:val="21"/>
                <w:szCs w:val="21"/>
              </w:rPr>
              <w:t>0</w:t>
            </w:r>
          </w:p>
        </w:tc>
        <w:tc>
          <w:tcPr>
            <w:tcW w:w="1575" w:type="dxa"/>
            <w:vAlign w:val="center"/>
          </w:tcPr>
          <w:p>
            <w:pPr>
              <w:spacing w:line="240" w:lineRule="auto"/>
              <w:ind w:firstLine="0" w:firstLineChars="0"/>
              <w:jc w:val="center"/>
              <w:rPr>
                <w:sz w:val="21"/>
                <w:szCs w:val="21"/>
              </w:rPr>
            </w:pPr>
            <w:r>
              <w:rPr>
                <w:sz w:val="21"/>
                <w:szCs w:val="21"/>
              </w:rPr>
              <w:t>0</w:t>
            </w:r>
          </w:p>
        </w:tc>
        <w:tc>
          <w:tcPr>
            <w:tcW w:w="1500" w:type="dxa"/>
            <w:vAlign w:val="center"/>
          </w:tcPr>
          <w:p>
            <w:pPr>
              <w:pStyle w:val="84"/>
              <w:rPr>
                <w:color w:val="auto"/>
              </w:rPr>
            </w:pPr>
            <w:r>
              <w:rPr>
                <w:rFonts w:hint="eastAsia"/>
                <w:color w:val="auto"/>
              </w:rPr>
              <w:t>4.01</w:t>
            </w:r>
          </w:p>
        </w:tc>
        <w:tc>
          <w:tcPr>
            <w:tcW w:w="1425" w:type="dxa"/>
            <w:vAlign w:val="center"/>
          </w:tcPr>
          <w:p>
            <w:pPr>
              <w:spacing w:line="240" w:lineRule="auto"/>
              <w:ind w:firstLine="0" w:firstLineChars="0"/>
              <w:jc w:val="center"/>
              <w:rPr>
                <w:sz w:val="21"/>
                <w:szCs w:val="21"/>
              </w:rPr>
            </w:pPr>
            <w:r>
              <w:rPr>
                <w:sz w:val="21"/>
                <w:szCs w:val="21"/>
              </w:rPr>
              <w:t>0</w:t>
            </w:r>
          </w:p>
        </w:tc>
        <w:tc>
          <w:tcPr>
            <w:tcW w:w="1680" w:type="dxa"/>
            <w:vAlign w:val="center"/>
          </w:tcPr>
          <w:p>
            <w:pPr>
              <w:pStyle w:val="84"/>
              <w:rPr>
                <w:color w:val="auto"/>
              </w:rPr>
            </w:pPr>
            <w:r>
              <w:rPr>
                <w:rFonts w:hint="eastAsia"/>
                <w:color w:val="auto"/>
              </w:rPr>
              <w:t>13.21</w:t>
            </w:r>
          </w:p>
        </w:tc>
        <w:tc>
          <w:tcPr>
            <w:tcW w:w="1464" w:type="dxa"/>
            <w:vAlign w:val="center"/>
          </w:tcPr>
          <w:p>
            <w:pPr>
              <w:pStyle w:val="84"/>
              <w:rPr>
                <w:color w:val="auto"/>
              </w:rPr>
            </w:pPr>
            <w:r>
              <w:rPr>
                <w:rFonts w:hint="eastAsia"/>
                <w:color w:val="auto"/>
              </w:rPr>
              <w:t>+4.01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6" w:hRule="atLeast"/>
          <w:jc w:val="center"/>
        </w:trPr>
        <w:tc>
          <w:tcPr>
            <w:tcW w:w="1037" w:type="dxa"/>
            <w:vMerge w:val="restart"/>
            <w:vAlign w:val="center"/>
          </w:tcPr>
          <w:p>
            <w:pPr>
              <w:spacing w:line="240" w:lineRule="auto"/>
              <w:ind w:firstLine="0" w:firstLineChars="0"/>
              <w:jc w:val="center"/>
              <w:rPr>
                <w:sz w:val="21"/>
                <w:szCs w:val="21"/>
              </w:rPr>
            </w:pPr>
            <w:r>
              <w:rPr>
                <w:rFonts w:hint="eastAsia"/>
                <w:sz w:val="21"/>
                <w:szCs w:val="21"/>
              </w:rPr>
              <w:t>废水</w:t>
            </w:r>
          </w:p>
        </w:tc>
        <w:tc>
          <w:tcPr>
            <w:tcW w:w="1861" w:type="dxa"/>
            <w:vAlign w:val="center"/>
          </w:tcPr>
          <w:p>
            <w:pPr>
              <w:spacing w:line="240" w:lineRule="auto"/>
              <w:ind w:firstLine="0" w:firstLineChars="0"/>
              <w:jc w:val="center"/>
              <w:rPr>
                <w:sz w:val="21"/>
                <w:szCs w:val="21"/>
              </w:rPr>
            </w:pPr>
            <w:r>
              <w:rPr>
                <w:rFonts w:hint="eastAsia"/>
                <w:sz w:val="21"/>
                <w:szCs w:val="21"/>
              </w:rPr>
              <w:t>COD</w:t>
            </w:r>
          </w:p>
        </w:tc>
        <w:tc>
          <w:tcPr>
            <w:tcW w:w="1541" w:type="dxa"/>
            <w:vAlign w:val="center"/>
          </w:tcPr>
          <w:p>
            <w:pPr>
              <w:spacing w:line="240" w:lineRule="auto"/>
              <w:ind w:firstLine="0" w:firstLineChars="0"/>
              <w:jc w:val="center"/>
              <w:rPr>
                <w:sz w:val="21"/>
                <w:szCs w:val="21"/>
              </w:rPr>
            </w:pPr>
            <w:r>
              <w:rPr>
                <w:sz w:val="21"/>
                <w:szCs w:val="21"/>
              </w:rPr>
              <w:t>0</w:t>
            </w:r>
          </w:p>
        </w:tc>
        <w:tc>
          <w:tcPr>
            <w:tcW w:w="1401" w:type="dxa"/>
            <w:vAlign w:val="center"/>
          </w:tcPr>
          <w:p>
            <w:pPr>
              <w:spacing w:line="240" w:lineRule="auto"/>
              <w:ind w:firstLine="0" w:firstLineChars="0"/>
              <w:jc w:val="center"/>
              <w:rPr>
                <w:sz w:val="21"/>
                <w:szCs w:val="21"/>
              </w:rPr>
            </w:pPr>
            <w:r>
              <w:rPr>
                <w:sz w:val="21"/>
                <w:szCs w:val="21"/>
              </w:rPr>
              <w:t>0</w:t>
            </w:r>
          </w:p>
        </w:tc>
        <w:tc>
          <w:tcPr>
            <w:tcW w:w="1575" w:type="dxa"/>
            <w:vAlign w:val="center"/>
          </w:tcPr>
          <w:p>
            <w:pPr>
              <w:spacing w:line="240" w:lineRule="auto"/>
              <w:ind w:firstLine="0" w:firstLineChars="0"/>
              <w:jc w:val="center"/>
              <w:rPr>
                <w:sz w:val="21"/>
                <w:szCs w:val="21"/>
              </w:rPr>
            </w:pPr>
            <w:r>
              <w:rPr>
                <w:sz w:val="21"/>
                <w:szCs w:val="21"/>
              </w:rPr>
              <w:t>0</w:t>
            </w:r>
          </w:p>
        </w:tc>
        <w:tc>
          <w:tcPr>
            <w:tcW w:w="1500" w:type="dxa"/>
            <w:vAlign w:val="center"/>
          </w:tcPr>
          <w:p>
            <w:pPr>
              <w:pStyle w:val="84"/>
              <w:rPr>
                <w:color w:val="auto"/>
              </w:rPr>
            </w:pPr>
            <w:r>
              <w:rPr>
                <w:rFonts w:hint="eastAsia"/>
                <w:color w:val="auto"/>
              </w:rPr>
              <w:t>0</w:t>
            </w:r>
          </w:p>
        </w:tc>
        <w:tc>
          <w:tcPr>
            <w:tcW w:w="1425" w:type="dxa"/>
            <w:vAlign w:val="center"/>
          </w:tcPr>
          <w:p>
            <w:pPr>
              <w:spacing w:line="240" w:lineRule="auto"/>
              <w:ind w:firstLine="0" w:firstLineChars="0"/>
              <w:jc w:val="center"/>
              <w:rPr>
                <w:sz w:val="21"/>
                <w:szCs w:val="21"/>
              </w:rPr>
            </w:pPr>
            <w:r>
              <w:rPr>
                <w:sz w:val="21"/>
                <w:szCs w:val="21"/>
              </w:rPr>
              <w:t>0</w:t>
            </w:r>
          </w:p>
        </w:tc>
        <w:tc>
          <w:tcPr>
            <w:tcW w:w="1680" w:type="dxa"/>
            <w:vAlign w:val="center"/>
          </w:tcPr>
          <w:p>
            <w:pPr>
              <w:pStyle w:val="84"/>
              <w:rPr>
                <w:color w:val="auto"/>
              </w:rPr>
            </w:pPr>
            <w:r>
              <w:rPr>
                <w:rFonts w:hint="eastAsia"/>
                <w:color w:val="auto"/>
              </w:rPr>
              <w:t>0</w:t>
            </w:r>
          </w:p>
        </w:tc>
        <w:tc>
          <w:tcPr>
            <w:tcW w:w="1464" w:type="dxa"/>
            <w:vAlign w:val="center"/>
          </w:tcPr>
          <w:p>
            <w:pPr>
              <w:pStyle w:val="84"/>
              <w:rPr>
                <w:color w:val="auto"/>
              </w:rPr>
            </w:pPr>
            <w:r>
              <w:rPr>
                <w:rFonts w:hint="eastAsia"/>
                <w:color w:val="auto"/>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vMerge w:val="continue"/>
            <w:vAlign w:val="center"/>
          </w:tcPr>
          <w:p>
            <w:pPr>
              <w:spacing w:line="240" w:lineRule="auto"/>
              <w:ind w:firstLine="0" w:firstLineChars="0"/>
              <w:jc w:val="center"/>
              <w:rPr>
                <w:sz w:val="21"/>
                <w:szCs w:val="21"/>
              </w:rPr>
            </w:pPr>
          </w:p>
        </w:tc>
        <w:tc>
          <w:tcPr>
            <w:tcW w:w="1861" w:type="dxa"/>
            <w:vAlign w:val="center"/>
          </w:tcPr>
          <w:p>
            <w:pPr>
              <w:spacing w:line="240" w:lineRule="auto"/>
              <w:ind w:firstLine="0" w:firstLineChars="0"/>
              <w:jc w:val="center"/>
              <w:rPr>
                <w:sz w:val="21"/>
                <w:szCs w:val="21"/>
              </w:rPr>
            </w:pPr>
            <w:r>
              <w:rPr>
                <w:rFonts w:hint="eastAsia"/>
                <w:sz w:val="21"/>
                <w:szCs w:val="21"/>
              </w:rPr>
              <w:t>BOD</w:t>
            </w:r>
            <w:r>
              <w:rPr>
                <w:rFonts w:hint="eastAsia"/>
                <w:sz w:val="21"/>
                <w:szCs w:val="21"/>
                <w:vertAlign w:val="subscript"/>
              </w:rPr>
              <w:t>5</w:t>
            </w:r>
          </w:p>
        </w:tc>
        <w:tc>
          <w:tcPr>
            <w:tcW w:w="1541" w:type="dxa"/>
            <w:vAlign w:val="center"/>
          </w:tcPr>
          <w:p>
            <w:pPr>
              <w:spacing w:line="240" w:lineRule="auto"/>
              <w:ind w:firstLine="0" w:firstLineChars="0"/>
              <w:jc w:val="center"/>
              <w:rPr>
                <w:sz w:val="21"/>
                <w:szCs w:val="21"/>
              </w:rPr>
            </w:pPr>
            <w:r>
              <w:rPr>
                <w:sz w:val="21"/>
                <w:szCs w:val="21"/>
              </w:rPr>
              <w:t>0</w:t>
            </w:r>
          </w:p>
        </w:tc>
        <w:tc>
          <w:tcPr>
            <w:tcW w:w="1401" w:type="dxa"/>
            <w:vAlign w:val="center"/>
          </w:tcPr>
          <w:p>
            <w:pPr>
              <w:spacing w:line="240" w:lineRule="auto"/>
              <w:ind w:firstLine="0" w:firstLineChars="0"/>
              <w:jc w:val="center"/>
              <w:rPr>
                <w:sz w:val="21"/>
                <w:szCs w:val="21"/>
              </w:rPr>
            </w:pPr>
            <w:r>
              <w:rPr>
                <w:sz w:val="21"/>
                <w:szCs w:val="21"/>
              </w:rPr>
              <w:t>0</w:t>
            </w:r>
          </w:p>
        </w:tc>
        <w:tc>
          <w:tcPr>
            <w:tcW w:w="1575" w:type="dxa"/>
            <w:vAlign w:val="center"/>
          </w:tcPr>
          <w:p>
            <w:pPr>
              <w:spacing w:line="240" w:lineRule="auto"/>
              <w:ind w:firstLine="0" w:firstLineChars="0"/>
              <w:jc w:val="center"/>
              <w:rPr>
                <w:sz w:val="21"/>
                <w:szCs w:val="21"/>
              </w:rPr>
            </w:pPr>
            <w:r>
              <w:rPr>
                <w:sz w:val="21"/>
                <w:szCs w:val="21"/>
              </w:rPr>
              <w:t>0</w:t>
            </w:r>
          </w:p>
        </w:tc>
        <w:tc>
          <w:tcPr>
            <w:tcW w:w="1500" w:type="dxa"/>
            <w:vAlign w:val="center"/>
          </w:tcPr>
          <w:p>
            <w:pPr>
              <w:spacing w:line="240" w:lineRule="auto"/>
              <w:ind w:firstLine="0" w:firstLineChars="0"/>
              <w:jc w:val="center"/>
              <w:rPr>
                <w:sz w:val="21"/>
                <w:szCs w:val="21"/>
              </w:rPr>
            </w:pPr>
            <w:r>
              <w:rPr>
                <w:sz w:val="21"/>
                <w:szCs w:val="21"/>
              </w:rPr>
              <w:t>0</w:t>
            </w:r>
          </w:p>
        </w:tc>
        <w:tc>
          <w:tcPr>
            <w:tcW w:w="1425" w:type="dxa"/>
            <w:vAlign w:val="center"/>
          </w:tcPr>
          <w:p>
            <w:pPr>
              <w:spacing w:line="240" w:lineRule="auto"/>
              <w:ind w:firstLine="0" w:firstLineChars="0"/>
              <w:jc w:val="center"/>
              <w:rPr>
                <w:sz w:val="21"/>
                <w:szCs w:val="21"/>
              </w:rPr>
            </w:pPr>
            <w:r>
              <w:rPr>
                <w:sz w:val="21"/>
                <w:szCs w:val="21"/>
              </w:rPr>
              <w:t>0</w:t>
            </w:r>
          </w:p>
        </w:tc>
        <w:tc>
          <w:tcPr>
            <w:tcW w:w="1680" w:type="dxa"/>
            <w:vAlign w:val="center"/>
          </w:tcPr>
          <w:p>
            <w:pPr>
              <w:spacing w:line="240" w:lineRule="auto"/>
              <w:ind w:firstLine="0" w:firstLineChars="0"/>
              <w:jc w:val="center"/>
              <w:rPr>
                <w:sz w:val="21"/>
                <w:szCs w:val="21"/>
              </w:rPr>
            </w:pPr>
            <w:r>
              <w:rPr>
                <w:sz w:val="21"/>
                <w:szCs w:val="21"/>
              </w:rPr>
              <w:t>0</w:t>
            </w:r>
          </w:p>
        </w:tc>
        <w:tc>
          <w:tcPr>
            <w:tcW w:w="1464" w:type="dxa"/>
            <w:vAlign w:val="center"/>
          </w:tcPr>
          <w:p>
            <w:pPr>
              <w:pStyle w:val="84"/>
              <w:rPr>
                <w:color w:val="auto"/>
              </w:rPr>
            </w:pPr>
            <w:r>
              <w:rPr>
                <w:rFonts w:hint="eastAsia"/>
                <w:color w:val="auto"/>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vMerge w:val="continue"/>
            <w:vAlign w:val="center"/>
          </w:tcPr>
          <w:p>
            <w:pPr>
              <w:spacing w:line="240" w:lineRule="auto"/>
              <w:ind w:firstLine="0" w:firstLineChars="0"/>
              <w:jc w:val="center"/>
              <w:rPr>
                <w:sz w:val="21"/>
                <w:szCs w:val="21"/>
              </w:rPr>
            </w:pPr>
          </w:p>
        </w:tc>
        <w:tc>
          <w:tcPr>
            <w:tcW w:w="1861" w:type="dxa"/>
            <w:vAlign w:val="center"/>
          </w:tcPr>
          <w:p>
            <w:pPr>
              <w:spacing w:line="240" w:lineRule="auto"/>
              <w:ind w:firstLine="0" w:firstLineChars="0"/>
              <w:jc w:val="center"/>
              <w:rPr>
                <w:sz w:val="21"/>
                <w:szCs w:val="21"/>
              </w:rPr>
            </w:pPr>
            <w:r>
              <w:rPr>
                <w:rFonts w:hint="eastAsia"/>
                <w:sz w:val="21"/>
                <w:szCs w:val="21"/>
              </w:rPr>
              <w:t>SS</w:t>
            </w:r>
          </w:p>
        </w:tc>
        <w:tc>
          <w:tcPr>
            <w:tcW w:w="1541" w:type="dxa"/>
            <w:vAlign w:val="center"/>
          </w:tcPr>
          <w:p>
            <w:pPr>
              <w:spacing w:line="240" w:lineRule="auto"/>
              <w:ind w:firstLine="0" w:firstLineChars="0"/>
              <w:jc w:val="center"/>
              <w:rPr>
                <w:sz w:val="21"/>
                <w:szCs w:val="21"/>
              </w:rPr>
            </w:pPr>
            <w:r>
              <w:rPr>
                <w:sz w:val="21"/>
                <w:szCs w:val="21"/>
              </w:rPr>
              <w:t>0</w:t>
            </w:r>
          </w:p>
        </w:tc>
        <w:tc>
          <w:tcPr>
            <w:tcW w:w="1401" w:type="dxa"/>
            <w:vAlign w:val="center"/>
          </w:tcPr>
          <w:p>
            <w:pPr>
              <w:spacing w:line="240" w:lineRule="auto"/>
              <w:ind w:firstLine="0" w:firstLineChars="0"/>
              <w:jc w:val="center"/>
              <w:rPr>
                <w:sz w:val="21"/>
                <w:szCs w:val="21"/>
              </w:rPr>
            </w:pPr>
            <w:r>
              <w:rPr>
                <w:sz w:val="21"/>
                <w:szCs w:val="21"/>
              </w:rPr>
              <w:t>0</w:t>
            </w:r>
          </w:p>
        </w:tc>
        <w:tc>
          <w:tcPr>
            <w:tcW w:w="1575" w:type="dxa"/>
            <w:vAlign w:val="center"/>
          </w:tcPr>
          <w:p>
            <w:pPr>
              <w:spacing w:line="240" w:lineRule="auto"/>
              <w:ind w:firstLine="0" w:firstLineChars="0"/>
              <w:jc w:val="center"/>
              <w:rPr>
                <w:sz w:val="21"/>
                <w:szCs w:val="21"/>
              </w:rPr>
            </w:pPr>
            <w:r>
              <w:rPr>
                <w:sz w:val="21"/>
                <w:szCs w:val="21"/>
              </w:rPr>
              <w:t>0</w:t>
            </w:r>
          </w:p>
        </w:tc>
        <w:tc>
          <w:tcPr>
            <w:tcW w:w="1500" w:type="dxa"/>
            <w:vAlign w:val="center"/>
          </w:tcPr>
          <w:p>
            <w:pPr>
              <w:spacing w:line="240" w:lineRule="auto"/>
              <w:ind w:firstLine="0" w:firstLineChars="0"/>
              <w:jc w:val="center"/>
              <w:rPr>
                <w:sz w:val="21"/>
                <w:szCs w:val="21"/>
              </w:rPr>
            </w:pPr>
            <w:r>
              <w:rPr>
                <w:sz w:val="21"/>
                <w:szCs w:val="21"/>
              </w:rPr>
              <w:t>0</w:t>
            </w:r>
          </w:p>
        </w:tc>
        <w:tc>
          <w:tcPr>
            <w:tcW w:w="1425" w:type="dxa"/>
            <w:vAlign w:val="center"/>
          </w:tcPr>
          <w:p>
            <w:pPr>
              <w:spacing w:line="240" w:lineRule="auto"/>
              <w:ind w:firstLine="0" w:firstLineChars="0"/>
              <w:jc w:val="center"/>
              <w:rPr>
                <w:sz w:val="21"/>
                <w:szCs w:val="21"/>
              </w:rPr>
            </w:pPr>
            <w:r>
              <w:rPr>
                <w:sz w:val="21"/>
                <w:szCs w:val="21"/>
              </w:rPr>
              <w:t>0</w:t>
            </w:r>
          </w:p>
        </w:tc>
        <w:tc>
          <w:tcPr>
            <w:tcW w:w="1680" w:type="dxa"/>
            <w:vAlign w:val="center"/>
          </w:tcPr>
          <w:p>
            <w:pPr>
              <w:spacing w:line="240" w:lineRule="auto"/>
              <w:ind w:firstLine="0" w:firstLineChars="0"/>
              <w:jc w:val="center"/>
              <w:rPr>
                <w:sz w:val="21"/>
                <w:szCs w:val="21"/>
              </w:rPr>
            </w:pPr>
            <w:r>
              <w:rPr>
                <w:sz w:val="21"/>
                <w:szCs w:val="21"/>
              </w:rPr>
              <w:t>0</w:t>
            </w:r>
          </w:p>
        </w:tc>
        <w:tc>
          <w:tcPr>
            <w:tcW w:w="1464" w:type="dxa"/>
            <w:vAlign w:val="center"/>
          </w:tcPr>
          <w:p>
            <w:pPr>
              <w:pStyle w:val="84"/>
              <w:rPr>
                <w:color w:val="auto"/>
              </w:rPr>
            </w:pPr>
            <w:r>
              <w:rPr>
                <w:rFonts w:hint="eastAsia"/>
                <w:color w:val="auto"/>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vMerge w:val="continue"/>
            <w:tcBorders>
              <w:bottom w:val="single" w:color="000000" w:sz="2" w:space="0"/>
            </w:tcBorders>
            <w:vAlign w:val="center"/>
          </w:tcPr>
          <w:p>
            <w:pPr>
              <w:spacing w:line="240" w:lineRule="auto"/>
              <w:ind w:firstLine="0" w:firstLineChars="0"/>
              <w:jc w:val="center"/>
              <w:rPr>
                <w:sz w:val="21"/>
                <w:szCs w:val="21"/>
              </w:rPr>
            </w:pPr>
          </w:p>
        </w:tc>
        <w:tc>
          <w:tcPr>
            <w:tcW w:w="1861" w:type="dxa"/>
            <w:tcBorders>
              <w:bottom w:val="single" w:color="000000" w:sz="2" w:space="0"/>
            </w:tcBorders>
            <w:vAlign w:val="center"/>
          </w:tcPr>
          <w:p>
            <w:pPr>
              <w:spacing w:line="240" w:lineRule="auto"/>
              <w:ind w:firstLine="0" w:firstLineChars="0"/>
              <w:jc w:val="center"/>
              <w:rPr>
                <w:sz w:val="21"/>
                <w:szCs w:val="21"/>
              </w:rPr>
            </w:pPr>
            <w:r>
              <w:rPr>
                <w:rFonts w:hint="eastAsia"/>
                <w:sz w:val="21"/>
                <w:szCs w:val="21"/>
              </w:rPr>
              <w:t>NH</w:t>
            </w:r>
            <w:r>
              <w:rPr>
                <w:rFonts w:hint="eastAsia"/>
                <w:sz w:val="21"/>
                <w:szCs w:val="21"/>
                <w:vertAlign w:val="subscript"/>
              </w:rPr>
              <w:t>3</w:t>
            </w:r>
            <w:r>
              <w:rPr>
                <w:rFonts w:hint="eastAsia"/>
                <w:sz w:val="21"/>
                <w:szCs w:val="21"/>
              </w:rPr>
              <w:t>-N</w:t>
            </w:r>
          </w:p>
        </w:tc>
        <w:tc>
          <w:tcPr>
            <w:tcW w:w="1541" w:type="dxa"/>
            <w:vAlign w:val="center"/>
          </w:tcPr>
          <w:p>
            <w:pPr>
              <w:spacing w:line="240" w:lineRule="auto"/>
              <w:ind w:firstLine="0" w:firstLineChars="0"/>
              <w:jc w:val="center"/>
              <w:rPr>
                <w:sz w:val="21"/>
                <w:szCs w:val="21"/>
              </w:rPr>
            </w:pPr>
            <w:r>
              <w:rPr>
                <w:sz w:val="21"/>
                <w:szCs w:val="21"/>
              </w:rPr>
              <w:t>0</w:t>
            </w:r>
          </w:p>
        </w:tc>
        <w:tc>
          <w:tcPr>
            <w:tcW w:w="1401" w:type="dxa"/>
            <w:vAlign w:val="center"/>
          </w:tcPr>
          <w:p>
            <w:pPr>
              <w:spacing w:line="240" w:lineRule="auto"/>
              <w:ind w:firstLine="0" w:firstLineChars="0"/>
              <w:jc w:val="center"/>
              <w:rPr>
                <w:sz w:val="21"/>
                <w:szCs w:val="21"/>
              </w:rPr>
            </w:pPr>
            <w:r>
              <w:rPr>
                <w:sz w:val="21"/>
                <w:szCs w:val="21"/>
              </w:rPr>
              <w:t>0</w:t>
            </w:r>
          </w:p>
        </w:tc>
        <w:tc>
          <w:tcPr>
            <w:tcW w:w="1575" w:type="dxa"/>
            <w:vAlign w:val="center"/>
          </w:tcPr>
          <w:p>
            <w:pPr>
              <w:spacing w:line="240" w:lineRule="auto"/>
              <w:ind w:firstLine="0" w:firstLineChars="0"/>
              <w:jc w:val="center"/>
              <w:rPr>
                <w:sz w:val="21"/>
                <w:szCs w:val="21"/>
              </w:rPr>
            </w:pPr>
            <w:r>
              <w:rPr>
                <w:sz w:val="21"/>
                <w:szCs w:val="21"/>
              </w:rPr>
              <w:t>0</w:t>
            </w:r>
          </w:p>
        </w:tc>
        <w:tc>
          <w:tcPr>
            <w:tcW w:w="1500" w:type="dxa"/>
            <w:vAlign w:val="center"/>
          </w:tcPr>
          <w:p>
            <w:pPr>
              <w:spacing w:line="240" w:lineRule="auto"/>
              <w:ind w:firstLine="0" w:firstLineChars="0"/>
              <w:jc w:val="center"/>
              <w:rPr>
                <w:sz w:val="21"/>
                <w:szCs w:val="21"/>
              </w:rPr>
            </w:pPr>
            <w:r>
              <w:rPr>
                <w:sz w:val="21"/>
                <w:szCs w:val="21"/>
              </w:rPr>
              <w:t>0</w:t>
            </w:r>
          </w:p>
        </w:tc>
        <w:tc>
          <w:tcPr>
            <w:tcW w:w="1425" w:type="dxa"/>
            <w:vAlign w:val="center"/>
          </w:tcPr>
          <w:p>
            <w:pPr>
              <w:spacing w:line="240" w:lineRule="auto"/>
              <w:ind w:firstLine="0" w:firstLineChars="0"/>
              <w:jc w:val="center"/>
              <w:rPr>
                <w:sz w:val="21"/>
                <w:szCs w:val="21"/>
              </w:rPr>
            </w:pPr>
            <w:r>
              <w:rPr>
                <w:sz w:val="21"/>
                <w:szCs w:val="21"/>
              </w:rPr>
              <w:t>0</w:t>
            </w:r>
          </w:p>
        </w:tc>
        <w:tc>
          <w:tcPr>
            <w:tcW w:w="1680" w:type="dxa"/>
            <w:vAlign w:val="center"/>
          </w:tcPr>
          <w:p>
            <w:pPr>
              <w:spacing w:line="240" w:lineRule="auto"/>
              <w:ind w:firstLine="0" w:firstLineChars="0"/>
              <w:jc w:val="center"/>
              <w:rPr>
                <w:sz w:val="21"/>
                <w:szCs w:val="21"/>
              </w:rPr>
            </w:pPr>
            <w:r>
              <w:rPr>
                <w:sz w:val="21"/>
                <w:szCs w:val="21"/>
              </w:rPr>
              <w:t>0</w:t>
            </w:r>
          </w:p>
        </w:tc>
        <w:tc>
          <w:tcPr>
            <w:tcW w:w="1464" w:type="dxa"/>
            <w:vAlign w:val="center"/>
          </w:tcPr>
          <w:p>
            <w:pPr>
              <w:pStyle w:val="84"/>
              <w:rPr>
                <w:color w:val="auto"/>
              </w:rPr>
            </w:pPr>
            <w:r>
              <w:rPr>
                <w:rFonts w:hint="eastAsia"/>
                <w:color w:val="auto"/>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1037" w:type="dxa"/>
            <w:vMerge w:val="restart"/>
            <w:tcBorders>
              <w:top w:val="single" w:color="000000" w:sz="2" w:space="0"/>
            </w:tcBorders>
            <w:vAlign w:val="center"/>
          </w:tcPr>
          <w:p>
            <w:pPr>
              <w:spacing w:line="240" w:lineRule="auto"/>
              <w:ind w:firstLine="0" w:firstLineChars="0"/>
              <w:jc w:val="center"/>
              <w:rPr>
                <w:sz w:val="21"/>
                <w:szCs w:val="21"/>
              </w:rPr>
            </w:pPr>
            <w:r>
              <w:rPr>
                <w:rFonts w:hint="eastAsia"/>
                <w:sz w:val="21"/>
                <w:szCs w:val="21"/>
              </w:rPr>
              <w:t>一般固体废物</w:t>
            </w:r>
          </w:p>
        </w:tc>
        <w:tc>
          <w:tcPr>
            <w:tcW w:w="1861" w:type="dxa"/>
            <w:tcBorders>
              <w:top w:val="single" w:color="000000" w:sz="2" w:space="0"/>
            </w:tcBorders>
            <w:vAlign w:val="center"/>
          </w:tcPr>
          <w:p>
            <w:pPr>
              <w:spacing w:line="240" w:lineRule="auto"/>
              <w:ind w:firstLine="0" w:firstLineChars="0"/>
              <w:jc w:val="center"/>
              <w:rPr>
                <w:sz w:val="21"/>
                <w:szCs w:val="21"/>
              </w:rPr>
            </w:pPr>
            <w:r>
              <w:rPr>
                <w:rFonts w:hint="eastAsia"/>
                <w:sz w:val="21"/>
                <w:szCs w:val="21"/>
              </w:rPr>
              <w:t>除尘灰、地面粉尘</w:t>
            </w:r>
          </w:p>
        </w:tc>
        <w:tc>
          <w:tcPr>
            <w:tcW w:w="1541" w:type="dxa"/>
            <w:vAlign w:val="center"/>
          </w:tcPr>
          <w:p>
            <w:pPr>
              <w:spacing w:line="240" w:lineRule="auto"/>
              <w:ind w:firstLine="0" w:firstLineChars="0"/>
              <w:jc w:val="center"/>
              <w:rPr>
                <w:sz w:val="21"/>
                <w:szCs w:val="21"/>
              </w:rPr>
            </w:pPr>
            <w:r>
              <w:rPr>
                <w:sz w:val="21"/>
                <w:szCs w:val="21"/>
              </w:rPr>
              <w:t>1405.911</w:t>
            </w:r>
          </w:p>
        </w:tc>
        <w:tc>
          <w:tcPr>
            <w:tcW w:w="1401" w:type="dxa"/>
            <w:vAlign w:val="center"/>
          </w:tcPr>
          <w:p>
            <w:pPr>
              <w:spacing w:line="240" w:lineRule="auto"/>
              <w:ind w:firstLine="0" w:firstLineChars="0"/>
              <w:jc w:val="center"/>
              <w:rPr>
                <w:sz w:val="21"/>
                <w:szCs w:val="21"/>
              </w:rPr>
            </w:pPr>
            <w:r>
              <w:rPr>
                <w:sz w:val="21"/>
                <w:szCs w:val="21"/>
              </w:rPr>
              <w:t>0</w:t>
            </w:r>
          </w:p>
        </w:tc>
        <w:tc>
          <w:tcPr>
            <w:tcW w:w="1575" w:type="dxa"/>
            <w:vAlign w:val="center"/>
          </w:tcPr>
          <w:p>
            <w:pPr>
              <w:spacing w:line="240" w:lineRule="auto"/>
              <w:ind w:firstLine="0" w:firstLineChars="0"/>
              <w:jc w:val="center"/>
              <w:rPr>
                <w:sz w:val="21"/>
                <w:szCs w:val="21"/>
              </w:rPr>
            </w:pPr>
            <w:r>
              <w:rPr>
                <w:sz w:val="21"/>
                <w:szCs w:val="21"/>
              </w:rPr>
              <w:t>0</w:t>
            </w:r>
          </w:p>
        </w:tc>
        <w:tc>
          <w:tcPr>
            <w:tcW w:w="1500" w:type="dxa"/>
            <w:vAlign w:val="center"/>
          </w:tcPr>
          <w:p>
            <w:pPr>
              <w:spacing w:line="240" w:lineRule="auto"/>
              <w:ind w:firstLine="0" w:firstLineChars="0"/>
              <w:jc w:val="center"/>
              <w:rPr>
                <w:sz w:val="21"/>
                <w:szCs w:val="21"/>
              </w:rPr>
            </w:pPr>
            <w:r>
              <w:rPr>
                <w:rFonts w:hint="eastAsia"/>
                <w:sz w:val="21"/>
                <w:szCs w:val="21"/>
              </w:rPr>
              <w:t>161.49</w:t>
            </w:r>
          </w:p>
        </w:tc>
        <w:tc>
          <w:tcPr>
            <w:tcW w:w="1425" w:type="dxa"/>
            <w:vAlign w:val="center"/>
          </w:tcPr>
          <w:p>
            <w:pPr>
              <w:spacing w:line="240" w:lineRule="auto"/>
              <w:ind w:firstLine="0" w:firstLineChars="0"/>
              <w:jc w:val="center"/>
              <w:rPr>
                <w:sz w:val="21"/>
                <w:szCs w:val="21"/>
              </w:rPr>
            </w:pPr>
            <w:r>
              <w:rPr>
                <w:sz w:val="21"/>
                <w:szCs w:val="21"/>
              </w:rPr>
              <w:t>0</w:t>
            </w:r>
          </w:p>
        </w:tc>
        <w:tc>
          <w:tcPr>
            <w:tcW w:w="1680" w:type="dxa"/>
            <w:vAlign w:val="center"/>
          </w:tcPr>
          <w:p>
            <w:pPr>
              <w:spacing w:line="240" w:lineRule="auto"/>
              <w:ind w:firstLine="0" w:firstLineChars="0"/>
              <w:jc w:val="center"/>
              <w:rPr>
                <w:sz w:val="21"/>
                <w:szCs w:val="21"/>
              </w:rPr>
            </w:pPr>
            <w:r>
              <w:rPr>
                <w:rFonts w:hint="eastAsia"/>
                <w:sz w:val="21"/>
                <w:szCs w:val="21"/>
              </w:rPr>
              <w:t>1567.401</w:t>
            </w:r>
          </w:p>
        </w:tc>
        <w:tc>
          <w:tcPr>
            <w:tcW w:w="1464" w:type="dxa"/>
            <w:vAlign w:val="center"/>
          </w:tcPr>
          <w:p>
            <w:pPr>
              <w:spacing w:line="240" w:lineRule="auto"/>
              <w:ind w:firstLine="0" w:firstLineChars="0"/>
              <w:jc w:val="center"/>
              <w:rPr>
                <w:sz w:val="21"/>
                <w:szCs w:val="21"/>
              </w:rPr>
            </w:pPr>
            <w:r>
              <w:rPr>
                <w:rFonts w:hint="eastAsia"/>
                <w:sz w:val="21"/>
                <w:szCs w:val="21"/>
              </w:rPr>
              <w:t>+161.49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1037" w:type="dxa"/>
            <w:vMerge w:val="continue"/>
            <w:vAlign w:val="center"/>
          </w:tcPr>
          <w:p>
            <w:pPr>
              <w:spacing w:line="240" w:lineRule="auto"/>
              <w:ind w:firstLine="0" w:firstLineChars="0"/>
              <w:jc w:val="center"/>
              <w:rPr>
                <w:sz w:val="21"/>
                <w:szCs w:val="21"/>
              </w:rPr>
            </w:pPr>
          </w:p>
        </w:tc>
        <w:tc>
          <w:tcPr>
            <w:tcW w:w="1861" w:type="dxa"/>
            <w:tcBorders>
              <w:top w:val="single" w:color="000000" w:sz="2" w:space="0"/>
            </w:tcBorders>
            <w:vAlign w:val="center"/>
          </w:tcPr>
          <w:p>
            <w:pPr>
              <w:spacing w:line="240" w:lineRule="auto"/>
              <w:ind w:firstLine="0" w:firstLineChars="0"/>
              <w:jc w:val="center"/>
              <w:rPr>
                <w:sz w:val="21"/>
                <w:szCs w:val="21"/>
              </w:rPr>
            </w:pPr>
            <w:r>
              <w:rPr>
                <w:rFonts w:hint="eastAsia"/>
                <w:sz w:val="21"/>
                <w:szCs w:val="21"/>
              </w:rPr>
              <w:t>喷淋废渣</w:t>
            </w:r>
          </w:p>
        </w:tc>
        <w:tc>
          <w:tcPr>
            <w:tcW w:w="1541" w:type="dxa"/>
            <w:vAlign w:val="center"/>
          </w:tcPr>
          <w:p>
            <w:pPr>
              <w:spacing w:line="240" w:lineRule="auto"/>
              <w:ind w:firstLine="0" w:firstLineChars="0"/>
              <w:jc w:val="center"/>
              <w:rPr>
                <w:sz w:val="21"/>
                <w:szCs w:val="21"/>
              </w:rPr>
            </w:pPr>
            <w:r>
              <w:rPr>
                <w:rFonts w:hint="eastAsia"/>
                <w:sz w:val="21"/>
                <w:szCs w:val="21"/>
              </w:rPr>
              <w:t>0</w:t>
            </w:r>
          </w:p>
        </w:tc>
        <w:tc>
          <w:tcPr>
            <w:tcW w:w="1401" w:type="dxa"/>
            <w:vAlign w:val="center"/>
          </w:tcPr>
          <w:p>
            <w:pPr>
              <w:spacing w:line="240" w:lineRule="auto"/>
              <w:ind w:firstLine="0" w:firstLineChars="0"/>
              <w:jc w:val="center"/>
              <w:rPr>
                <w:sz w:val="21"/>
                <w:szCs w:val="21"/>
              </w:rPr>
            </w:pPr>
            <w:r>
              <w:rPr>
                <w:rFonts w:hint="eastAsia"/>
                <w:sz w:val="21"/>
                <w:szCs w:val="21"/>
              </w:rPr>
              <w:t>0</w:t>
            </w:r>
          </w:p>
        </w:tc>
        <w:tc>
          <w:tcPr>
            <w:tcW w:w="1575" w:type="dxa"/>
            <w:vAlign w:val="center"/>
          </w:tcPr>
          <w:p>
            <w:pPr>
              <w:spacing w:line="240" w:lineRule="auto"/>
              <w:ind w:firstLine="0" w:firstLineChars="0"/>
              <w:jc w:val="center"/>
              <w:rPr>
                <w:sz w:val="21"/>
                <w:szCs w:val="21"/>
              </w:rPr>
            </w:pPr>
            <w:r>
              <w:rPr>
                <w:rFonts w:hint="eastAsia"/>
                <w:sz w:val="21"/>
                <w:szCs w:val="21"/>
              </w:rPr>
              <w:t>0</w:t>
            </w:r>
          </w:p>
        </w:tc>
        <w:tc>
          <w:tcPr>
            <w:tcW w:w="1500" w:type="dxa"/>
            <w:vAlign w:val="center"/>
          </w:tcPr>
          <w:p>
            <w:pPr>
              <w:spacing w:line="240" w:lineRule="auto"/>
              <w:ind w:firstLine="0" w:firstLineChars="0"/>
              <w:jc w:val="center"/>
              <w:rPr>
                <w:sz w:val="21"/>
                <w:szCs w:val="21"/>
              </w:rPr>
            </w:pPr>
            <w:r>
              <w:rPr>
                <w:rFonts w:hint="eastAsia"/>
                <w:sz w:val="21"/>
                <w:szCs w:val="21"/>
              </w:rPr>
              <w:t>67.88</w:t>
            </w:r>
          </w:p>
        </w:tc>
        <w:tc>
          <w:tcPr>
            <w:tcW w:w="1425" w:type="dxa"/>
            <w:vAlign w:val="center"/>
          </w:tcPr>
          <w:p>
            <w:pPr>
              <w:spacing w:line="240" w:lineRule="auto"/>
              <w:ind w:firstLine="0" w:firstLineChars="0"/>
              <w:jc w:val="center"/>
              <w:rPr>
                <w:sz w:val="21"/>
                <w:szCs w:val="21"/>
              </w:rPr>
            </w:pPr>
            <w:r>
              <w:rPr>
                <w:sz w:val="21"/>
                <w:szCs w:val="21"/>
              </w:rPr>
              <w:t>0</w:t>
            </w:r>
          </w:p>
        </w:tc>
        <w:tc>
          <w:tcPr>
            <w:tcW w:w="1680" w:type="dxa"/>
            <w:vAlign w:val="center"/>
          </w:tcPr>
          <w:p>
            <w:pPr>
              <w:spacing w:line="240" w:lineRule="auto"/>
              <w:ind w:firstLine="0" w:firstLineChars="0"/>
              <w:jc w:val="center"/>
              <w:rPr>
                <w:sz w:val="21"/>
                <w:szCs w:val="21"/>
              </w:rPr>
            </w:pPr>
            <w:r>
              <w:rPr>
                <w:rFonts w:hint="eastAsia"/>
                <w:sz w:val="21"/>
                <w:szCs w:val="21"/>
              </w:rPr>
              <w:t>67.88</w:t>
            </w:r>
          </w:p>
        </w:tc>
        <w:tc>
          <w:tcPr>
            <w:tcW w:w="1464" w:type="dxa"/>
            <w:vAlign w:val="center"/>
          </w:tcPr>
          <w:p>
            <w:pPr>
              <w:spacing w:line="240" w:lineRule="auto"/>
              <w:ind w:firstLine="0" w:firstLineChars="0"/>
              <w:jc w:val="center"/>
              <w:rPr>
                <w:sz w:val="21"/>
                <w:szCs w:val="21"/>
              </w:rPr>
            </w:pPr>
            <w:r>
              <w:rPr>
                <w:rFonts w:hint="eastAsia"/>
                <w:sz w:val="21"/>
                <w:szCs w:val="21"/>
              </w:rPr>
              <w:t>+67.88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1037" w:type="dxa"/>
            <w:vMerge w:val="continue"/>
            <w:vAlign w:val="center"/>
          </w:tcPr>
          <w:p>
            <w:pPr>
              <w:spacing w:line="240" w:lineRule="auto"/>
              <w:ind w:firstLine="0" w:firstLineChars="0"/>
              <w:jc w:val="center"/>
              <w:rPr>
                <w:sz w:val="21"/>
                <w:szCs w:val="21"/>
              </w:rPr>
            </w:pPr>
          </w:p>
        </w:tc>
        <w:tc>
          <w:tcPr>
            <w:tcW w:w="1861" w:type="dxa"/>
            <w:vAlign w:val="center"/>
          </w:tcPr>
          <w:p>
            <w:pPr>
              <w:spacing w:line="240" w:lineRule="auto"/>
              <w:ind w:firstLine="0" w:firstLineChars="0"/>
              <w:jc w:val="center"/>
              <w:rPr>
                <w:sz w:val="21"/>
                <w:szCs w:val="21"/>
              </w:rPr>
            </w:pPr>
            <w:r>
              <w:rPr>
                <w:rFonts w:hint="eastAsia"/>
                <w:sz w:val="21"/>
                <w:szCs w:val="21"/>
              </w:rPr>
              <w:t>炉渣</w:t>
            </w:r>
          </w:p>
        </w:tc>
        <w:tc>
          <w:tcPr>
            <w:tcW w:w="1541" w:type="dxa"/>
            <w:vAlign w:val="center"/>
          </w:tcPr>
          <w:p>
            <w:pPr>
              <w:spacing w:line="240" w:lineRule="auto"/>
              <w:ind w:firstLine="0" w:firstLineChars="0"/>
              <w:jc w:val="center"/>
              <w:rPr>
                <w:sz w:val="21"/>
                <w:szCs w:val="21"/>
              </w:rPr>
            </w:pPr>
            <w:r>
              <w:rPr>
                <w:rFonts w:hint="eastAsia"/>
                <w:sz w:val="21"/>
                <w:szCs w:val="21"/>
              </w:rPr>
              <w:t>0</w:t>
            </w:r>
          </w:p>
        </w:tc>
        <w:tc>
          <w:tcPr>
            <w:tcW w:w="1401" w:type="dxa"/>
            <w:vAlign w:val="center"/>
          </w:tcPr>
          <w:p>
            <w:pPr>
              <w:spacing w:line="240" w:lineRule="auto"/>
              <w:ind w:firstLine="0" w:firstLineChars="0"/>
              <w:jc w:val="center"/>
              <w:rPr>
                <w:sz w:val="21"/>
                <w:szCs w:val="21"/>
              </w:rPr>
            </w:pPr>
            <w:r>
              <w:rPr>
                <w:sz w:val="21"/>
                <w:szCs w:val="21"/>
              </w:rPr>
              <w:t>0</w:t>
            </w:r>
          </w:p>
        </w:tc>
        <w:tc>
          <w:tcPr>
            <w:tcW w:w="1575" w:type="dxa"/>
            <w:vAlign w:val="center"/>
          </w:tcPr>
          <w:p>
            <w:pPr>
              <w:spacing w:line="240" w:lineRule="auto"/>
              <w:ind w:firstLine="0" w:firstLineChars="0"/>
              <w:jc w:val="center"/>
              <w:rPr>
                <w:sz w:val="21"/>
                <w:szCs w:val="21"/>
              </w:rPr>
            </w:pPr>
            <w:r>
              <w:rPr>
                <w:sz w:val="21"/>
                <w:szCs w:val="21"/>
              </w:rPr>
              <w:t>0</w:t>
            </w:r>
          </w:p>
        </w:tc>
        <w:tc>
          <w:tcPr>
            <w:tcW w:w="1500" w:type="dxa"/>
            <w:vAlign w:val="center"/>
          </w:tcPr>
          <w:p>
            <w:pPr>
              <w:spacing w:line="240" w:lineRule="auto"/>
              <w:ind w:firstLine="0" w:firstLineChars="0"/>
              <w:jc w:val="center"/>
              <w:rPr>
                <w:sz w:val="21"/>
                <w:szCs w:val="21"/>
              </w:rPr>
            </w:pPr>
            <w:r>
              <w:rPr>
                <w:rFonts w:hint="eastAsia"/>
                <w:sz w:val="21"/>
                <w:szCs w:val="21"/>
              </w:rPr>
              <w:t>507</w:t>
            </w:r>
          </w:p>
        </w:tc>
        <w:tc>
          <w:tcPr>
            <w:tcW w:w="1425" w:type="dxa"/>
            <w:vAlign w:val="center"/>
          </w:tcPr>
          <w:p>
            <w:pPr>
              <w:spacing w:line="240" w:lineRule="auto"/>
              <w:ind w:firstLine="0" w:firstLineChars="0"/>
              <w:jc w:val="center"/>
              <w:rPr>
                <w:sz w:val="21"/>
                <w:szCs w:val="21"/>
              </w:rPr>
            </w:pPr>
            <w:r>
              <w:rPr>
                <w:sz w:val="21"/>
                <w:szCs w:val="21"/>
              </w:rPr>
              <w:t>0</w:t>
            </w:r>
          </w:p>
        </w:tc>
        <w:tc>
          <w:tcPr>
            <w:tcW w:w="1680" w:type="dxa"/>
            <w:vAlign w:val="center"/>
          </w:tcPr>
          <w:p>
            <w:pPr>
              <w:spacing w:line="240" w:lineRule="auto"/>
              <w:ind w:firstLine="0" w:firstLineChars="0"/>
              <w:jc w:val="center"/>
              <w:rPr>
                <w:sz w:val="21"/>
                <w:szCs w:val="21"/>
              </w:rPr>
            </w:pPr>
            <w:r>
              <w:rPr>
                <w:rFonts w:hint="eastAsia"/>
                <w:sz w:val="21"/>
                <w:szCs w:val="21"/>
              </w:rPr>
              <w:t>507</w:t>
            </w:r>
          </w:p>
        </w:tc>
        <w:tc>
          <w:tcPr>
            <w:tcW w:w="1464" w:type="dxa"/>
            <w:vAlign w:val="center"/>
          </w:tcPr>
          <w:p>
            <w:pPr>
              <w:spacing w:line="240" w:lineRule="auto"/>
              <w:ind w:firstLine="0" w:firstLineChars="0"/>
              <w:jc w:val="center"/>
              <w:rPr>
                <w:sz w:val="21"/>
                <w:szCs w:val="21"/>
              </w:rPr>
            </w:pPr>
            <w:r>
              <w:rPr>
                <w:rFonts w:hint="eastAsia"/>
                <w:sz w:val="21"/>
                <w:szCs w:val="21"/>
              </w:rPr>
              <w:t>+507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1037" w:type="dxa"/>
            <w:vMerge w:val="continue"/>
            <w:vAlign w:val="center"/>
          </w:tcPr>
          <w:p>
            <w:pPr>
              <w:spacing w:line="240" w:lineRule="auto"/>
              <w:ind w:firstLine="0" w:firstLineChars="0"/>
              <w:jc w:val="center"/>
              <w:rPr>
                <w:sz w:val="21"/>
                <w:szCs w:val="21"/>
              </w:rPr>
            </w:pPr>
          </w:p>
        </w:tc>
        <w:tc>
          <w:tcPr>
            <w:tcW w:w="1861" w:type="dxa"/>
            <w:vAlign w:val="center"/>
          </w:tcPr>
          <w:p>
            <w:pPr>
              <w:spacing w:line="240" w:lineRule="auto"/>
              <w:ind w:firstLine="0" w:firstLineChars="0"/>
              <w:jc w:val="center"/>
              <w:rPr>
                <w:sz w:val="21"/>
                <w:szCs w:val="21"/>
              </w:rPr>
            </w:pPr>
            <w:r>
              <w:rPr>
                <w:rFonts w:hint="eastAsia"/>
                <w:sz w:val="21"/>
                <w:szCs w:val="21"/>
              </w:rPr>
              <w:t>废包装材料</w:t>
            </w:r>
          </w:p>
        </w:tc>
        <w:tc>
          <w:tcPr>
            <w:tcW w:w="1541" w:type="dxa"/>
            <w:vAlign w:val="center"/>
          </w:tcPr>
          <w:p>
            <w:pPr>
              <w:spacing w:line="240" w:lineRule="auto"/>
              <w:ind w:firstLine="0" w:firstLineChars="0"/>
              <w:jc w:val="center"/>
              <w:rPr>
                <w:sz w:val="21"/>
                <w:szCs w:val="21"/>
              </w:rPr>
            </w:pPr>
            <w:r>
              <w:rPr>
                <w:rFonts w:hint="eastAsia"/>
                <w:sz w:val="21"/>
                <w:szCs w:val="21"/>
              </w:rPr>
              <w:t>1.5</w:t>
            </w:r>
          </w:p>
        </w:tc>
        <w:tc>
          <w:tcPr>
            <w:tcW w:w="1401" w:type="dxa"/>
            <w:vAlign w:val="center"/>
          </w:tcPr>
          <w:p>
            <w:pPr>
              <w:spacing w:line="240" w:lineRule="auto"/>
              <w:ind w:firstLine="0" w:firstLineChars="0"/>
              <w:jc w:val="center"/>
              <w:rPr>
                <w:sz w:val="21"/>
                <w:szCs w:val="21"/>
              </w:rPr>
            </w:pPr>
            <w:r>
              <w:rPr>
                <w:sz w:val="21"/>
                <w:szCs w:val="21"/>
              </w:rPr>
              <w:t>0</w:t>
            </w:r>
          </w:p>
        </w:tc>
        <w:tc>
          <w:tcPr>
            <w:tcW w:w="1575" w:type="dxa"/>
            <w:vAlign w:val="center"/>
          </w:tcPr>
          <w:p>
            <w:pPr>
              <w:spacing w:line="240" w:lineRule="auto"/>
              <w:ind w:firstLine="0" w:firstLineChars="0"/>
              <w:jc w:val="center"/>
              <w:rPr>
                <w:sz w:val="21"/>
                <w:szCs w:val="21"/>
              </w:rPr>
            </w:pPr>
            <w:r>
              <w:rPr>
                <w:sz w:val="21"/>
                <w:szCs w:val="21"/>
              </w:rPr>
              <w:t>0</w:t>
            </w:r>
          </w:p>
        </w:tc>
        <w:tc>
          <w:tcPr>
            <w:tcW w:w="1500" w:type="dxa"/>
            <w:vAlign w:val="center"/>
          </w:tcPr>
          <w:p>
            <w:pPr>
              <w:spacing w:line="240" w:lineRule="auto"/>
              <w:ind w:firstLine="0" w:firstLineChars="0"/>
              <w:jc w:val="center"/>
              <w:rPr>
                <w:sz w:val="21"/>
                <w:szCs w:val="21"/>
              </w:rPr>
            </w:pPr>
            <w:r>
              <w:rPr>
                <w:rFonts w:hint="eastAsia"/>
                <w:sz w:val="21"/>
                <w:szCs w:val="21"/>
              </w:rPr>
              <w:t>2.6</w:t>
            </w:r>
          </w:p>
        </w:tc>
        <w:tc>
          <w:tcPr>
            <w:tcW w:w="1425" w:type="dxa"/>
            <w:vAlign w:val="center"/>
          </w:tcPr>
          <w:p>
            <w:pPr>
              <w:spacing w:line="240" w:lineRule="auto"/>
              <w:ind w:firstLine="0" w:firstLineChars="0"/>
              <w:jc w:val="center"/>
              <w:rPr>
                <w:sz w:val="21"/>
                <w:szCs w:val="21"/>
              </w:rPr>
            </w:pPr>
            <w:r>
              <w:rPr>
                <w:sz w:val="21"/>
                <w:szCs w:val="21"/>
              </w:rPr>
              <w:t>0</w:t>
            </w:r>
          </w:p>
        </w:tc>
        <w:tc>
          <w:tcPr>
            <w:tcW w:w="1680" w:type="dxa"/>
            <w:vAlign w:val="center"/>
          </w:tcPr>
          <w:p>
            <w:pPr>
              <w:spacing w:line="240" w:lineRule="auto"/>
              <w:ind w:firstLine="0" w:firstLineChars="0"/>
              <w:jc w:val="center"/>
              <w:rPr>
                <w:sz w:val="21"/>
                <w:szCs w:val="21"/>
              </w:rPr>
            </w:pPr>
            <w:r>
              <w:rPr>
                <w:rFonts w:hint="eastAsia"/>
                <w:sz w:val="21"/>
                <w:szCs w:val="21"/>
              </w:rPr>
              <w:t>4.1</w:t>
            </w:r>
          </w:p>
        </w:tc>
        <w:tc>
          <w:tcPr>
            <w:tcW w:w="1464" w:type="dxa"/>
            <w:vAlign w:val="center"/>
          </w:tcPr>
          <w:p>
            <w:pPr>
              <w:spacing w:line="240" w:lineRule="auto"/>
              <w:ind w:firstLine="0" w:firstLineChars="0"/>
              <w:jc w:val="center"/>
              <w:rPr>
                <w:sz w:val="21"/>
                <w:szCs w:val="21"/>
              </w:rPr>
            </w:pPr>
            <w:r>
              <w:rPr>
                <w:rFonts w:hint="eastAsia"/>
                <w:sz w:val="21"/>
                <w:szCs w:val="21"/>
              </w:rPr>
              <w:t>+2.6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vAlign w:val="center"/>
          </w:tcPr>
          <w:p>
            <w:pPr>
              <w:spacing w:line="240" w:lineRule="auto"/>
              <w:ind w:firstLine="0" w:firstLineChars="0"/>
              <w:jc w:val="center"/>
              <w:rPr>
                <w:sz w:val="21"/>
                <w:szCs w:val="21"/>
              </w:rPr>
            </w:pPr>
            <w:r>
              <w:rPr>
                <w:sz w:val="21"/>
                <w:szCs w:val="21"/>
              </w:rPr>
              <w:t>危险废物</w:t>
            </w:r>
          </w:p>
        </w:tc>
        <w:tc>
          <w:tcPr>
            <w:tcW w:w="1861" w:type="dxa"/>
            <w:vAlign w:val="center"/>
          </w:tcPr>
          <w:p>
            <w:pPr>
              <w:spacing w:line="240" w:lineRule="auto"/>
              <w:ind w:firstLine="0" w:firstLineChars="0"/>
              <w:jc w:val="center"/>
              <w:rPr>
                <w:sz w:val="21"/>
                <w:szCs w:val="21"/>
              </w:rPr>
            </w:pPr>
            <w:r>
              <w:rPr>
                <w:rFonts w:hint="eastAsia"/>
                <w:sz w:val="21"/>
                <w:szCs w:val="21"/>
              </w:rPr>
              <w:t>废机油和废油桶</w:t>
            </w:r>
          </w:p>
        </w:tc>
        <w:tc>
          <w:tcPr>
            <w:tcW w:w="1541" w:type="dxa"/>
            <w:vAlign w:val="center"/>
          </w:tcPr>
          <w:p>
            <w:pPr>
              <w:spacing w:line="240" w:lineRule="auto"/>
              <w:ind w:firstLine="0" w:firstLineChars="0"/>
              <w:jc w:val="center"/>
              <w:rPr>
                <w:sz w:val="21"/>
                <w:szCs w:val="21"/>
              </w:rPr>
            </w:pPr>
            <w:r>
              <w:rPr>
                <w:sz w:val="21"/>
                <w:szCs w:val="21"/>
              </w:rPr>
              <w:t>0</w:t>
            </w:r>
          </w:p>
        </w:tc>
        <w:tc>
          <w:tcPr>
            <w:tcW w:w="1401" w:type="dxa"/>
            <w:vAlign w:val="center"/>
          </w:tcPr>
          <w:p>
            <w:pPr>
              <w:spacing w:line="240" w:lineRule="auto"/>
              <w:ind w:firstLine="0" w:firstLineChars="0"/>
              <w:jc w:val="center"/>
              <w:rPr>
                <w:sz w:val="21"/>
                <w:szCs w:val="21"/>
              </w:rPr>
            </w:pPr>
            <w:r>
              <w:rPr>
                <w:sz w:val="21"/>
                <w:szCs w:val="21"/>
              </w:rPr>
              <w:t>0</w:t>
            </w:r>
          </w:p>
        </w:tc>
        <w:tc>
          <w:tcPr>
            <w:tcW w:w="1575" w:type="dxa"/>
            <w:vAlign w:val="center"/>
          </w:tcPr>
          <w:p>
            <w:pPr>
              <w:spacing w:line="240" w:lineRule="auto"/>
              <w:ind w:firstLine="0" w:firstLineChars="0"/>
              <w:jc w:val="center"/>
              <w:rPr>
                <w:sz w:val="21"/>
                <w:szCs w:val="21"/>
              </w:rPr>
            </w:pPr>
            <w:r>
              <w:rPr>
                <w:sz w:val="21"/>
                <w:szCs w:val="21"/>
              </w:rPr>
              <w:t>0</w:t>
            </w:r>
          </w:p>
        </w:tc>
        <w:tc>
          <w:tcPr>
            <w:tcW w:w="1500" w:type="dxa"/>
            <w:vAlign w:val="center"/>
          </w:tcPr>
          <w:p>
            <w:pPr>
              <w:spacing w:line="240" w:lineRule="auto"/>
              <w:ind w:firstLine="0" w:firstLineChars="0"/>
              <w:jc w:val="center"/>
              <w:rPr>
                <w:sz w:val="21"/>
                <w:szCs w:val="21"/>
              </w:rPr>
            </w:pPr>
            <w:r>
              <w:rPr>
                <w:rFonts w:hint="eastAsia"/>
                <w:sz w:val="21"/>
                <w:szCs w:val="21"/>
              </w:rPr>
              <w:t>0.15</w:t>
            </w:r>
          </w:p>
        </w:tc>
        <w:tc>
          <w:tcPr>
            <w:tcW w:w="1425" w:type="dxa"/>
            <w:vAlign w:val="center"/>
          </w:tcPr>
          <w:p>
            <w:pPr>
              <w:spacing w:line="240" w:lineRule="auto"/>
              <w:ind w:firstLine="0" w:firstLineChars="0"/>
              <w:jc w:val="center"/>
              <w:rPr>
                <w:sz w:val="21"/>
                <w:szCs w:val="21"/>
              </w:rPr>
            </w:pPr>
            <w:r>
              <w:rPr>
                <w:sz w:val="21"/>
                <w:szCs w:val="21"/>
              </w:rPr>
              <w:t>0</w:t>
            </w:r>
          </w:p>
        </w:tc>
        <w:tc>
          <w:tcPr>
            <w:tcW w:w="1680" w:type="dxa"/>
            <w:vAlign w:val="center"/>
          </w:tcPr>
          <w:p>
            <w:pPr>
              <w:spacing w:line="240" w:lineRule="auto"/>
              <w:ind w:firstLine="0" w:firstLineChars="0"/>
              <w:jc w:val="center"/>
              <w:rPr>
                <w:sz w:val="21"/>
                <w:szCs w:val="21"/>
              </w:rPr>
            </w:pPr>
            <w:r>
              <w:rPr>
                <w:rFonts w:hint="eastAsia"/>
                <w:sz w:val="21"/>
                <w:szCs w:val="21"/>
              </w:rPr>
              <w:t>0.15</w:t>
            </w:r>
          </w:p>
        </w:tc>
        <w:tc>
          <w:tcPr>
            <w:tcW w:w="1464" w:type="dxa"/>
            <w:vAlign w:val="center"/>
          </w:tcPr>
          <w:p>
            <w:pPr>
              <w:spacing w:line="240" w:lineRule="auto"/>
              <w:ind w:firstLine="0" w:firstLineChars="0"/>
              <w:jc w:val="center"/>
              <w:rPr>
                <w:sz w:val="21"/>
                <w:szCs w:val="21"/>
              </w:rPr>
            </w:pPr>
            <w:r>
              <w:rPr>
                <w:rFonts w:hint="eastAsia"/>
                <w:sz w:val="21"/>
                <w:szCs w:val="21"/>
              </w:rPr>
              <w:t>+0.15</w:t>
            </w:r>
          </w:p>
        </w:tc>
      </w:tr>
    </w:tbl>
    <w:p>
      <w:pPr>
        <w:pStyle w:val="43"/>
        <w:spacing w:beforeLines="80" w:after="24"/>
        <w:ind w:firstLine="360"/>
        <w:jc w:val="left"/>
        <w:outlineLvl w:val="0"/>
        <w:rPr>
          <w:rFonts w:hAnsi="宋体"/>
          <w:snapToGrid w:val="0"/>
          <w:spacing w:val="-6"/>
          <w:kern w:val="21"/>
          <w:szCs w:val="21"/>
        </w:rPr>
      </w:pPr>
      <w:bookmarkStart w:id="21" w:name="_Toc3862"/>
      <w:r>
        <w:rPr>
          <w:rFonts w:hAnsi="宋体"/>
          <w:snapToGrid w:val="0"/>
          <w:kern w:val="21"/>
          <w:szCs w:val="21"/>
        </w:rPr>
        <w:t>注：</w:t>
      </w:r>
      <w:r>
        <w:rPr>
          <w:rFonts w:hAnsi="宋体"/>
          <w:snapToGrid w:val="0"/>
          <w:spacing w:val="-16"/>
          <w:kern w:val="21"/>
          <w:szCs w:val="21"/>
        </w:rPr>
        <w:fldChar w:fldCharType="begin"/>
      </w:r>
      <w:r>
        <w:rPr>
          <w:rFonts w:hAnsi="宋体"/>
          <w:snapToGrid w:val="0"/>
          <w:spacing w:val="-16"/>
          <w:kern w:val="21"/>
          <w:szCs w:val="21"/>
        </w:rPr>
        <w:instrText xml:space="preserve"> = 6 \* GB3 \* MERGEFORMAT </w:instrText>
      </w:r>
      <w:r>
        <w:rPr>
          <w:rFonts w:hAnsi="宋体"/>
          <w:snapToGrid w:val="0"/>
          <w:spacing w:val="-16"/>
          <w:kern w:val="21"/>
          <w:szCs w:val="21"/>
        </w:rPr>
        <w:fldChar w:fldCharType="separate"/>
      </w:r>
      <w:r>
        <w:rPr>
          <w:rFonts w:hint="eastAsia" w:hAnsi="宋体"/>
          <w:szCs w:val="21"/>
        </w:rPr>
        <w:t>⑥</w:t>
      </w:r>
      <w:r>
        <w:rPr>
          <w:rFonts w:hAnsi="宋体"/>
          <w:snapToGrid w:val="0"/>
          <w:spacing w:val="-16"/>
          <w:kern w:val="21"/>
          <w:szCs w:val="21"/>
        </w:rPr>
        <w:fldChar w:fldCharType="end"/>
      </w:r>
      <w:r>
        <w:rPr>
          <w:rFonts w:hAnsi="宋体"/>
          <w:snapToGrid w:val="0"/>
          <w:spacing w:val="-16"/>
          <w:kern w:val="21"/>
          <w:szCs w:val="21"/>
        </w:rPr>
        <w:t>=</w:t>
      </w:r>
      <w:r>
        <w:rPr>
          <w:rFonts w:hAnsi="宋体"/>
          <w:snapToGrid w:val="0"/>
          <w:spacing w:val="-6"/>
          <w:kern w:val="21"/>
          <w:szCs w:val="21"/>
        </w:rPr>
        <w:fldChar w:fldCharType="begin"/>
      </w:r>
      <w:r>
        <w:rPr>
          <w:rFonts w:hAnsi="宋体"/>
          <w:snapToGrid w:val="0"/>
          <w:spacing w:val="-6"/>
          <w:kern w:val="21"/>
          <w:szCs w:val="21"/>
        </w:rPr>
        <w:instrText xml:space="preserve"> = 1 \* GB3 \* MERGEFORMAT </w:instrText>
      </w:r>
      <w:r>
        <w:rPr>
          <w:rFonts w:hAnsi="宋体"/>
          <w:snapToGrid w:val="0"/>
          <w:spacing w:val="-6"/>
          <w:kern w:val="21"/>
          <w:szCs w:val="21"/>
        </w:rPr>
        <w:fldChar w:fldCharType="separate"/>
      </w:r>
      <w:r>
        <w:rPr>
          <w:rFonts w:hint="eastAsia" w:hAnsi="宋体"/>
          <w:szCs w:val="21"/>
        </w:rPr>
        <w:t>①</w:t>
      </w:r>
      <w:r>
        <w:rPr>
          <w:rFonts w:hAnsi="宋体"/>
          <w:snapToGrid w:val="0"/>
          <w:spacing w:val="-6"/>
          <w:kern w:val="21"/>
          <w:szCs w:val="21"/>
        </w:rPr>
        <w:fldChar w:fldCharType="end"/>
      </w:r>
      <w:r>
        <w:rPr>
          <w:rFonts w:hAnsi="宋体"/>
          <w:snapToGrid w:val="0"/>
          <w:spacing w:val="-6"/>
          <w:kern w:val="21"/>
          <w:szCs w:val="21"/>
        </w:rPr>
        <w:t>+</w:t>
      </w:r>
      <w:r>
        <w:rPr>
          <w:rFonts w:hAnsi="宋体"/>
          <w:snapToGrid w:val="0"/>
          <w:spacing w:val="-6"/>
          <w:kern w:val="21"/>
          <w:szCs w:val="21"/>
        </w:rPr>
        <w:fldChar w:fldCharType="begin"/>
      </w:r>
      <w:r>
        <w:rPr>
          <w:rFonts w:hAnsi="宋体"/>
          <w:snapToGrid w:val="0"/>
          <w:spacing w:val="-6"/>
          <w:kern w:val="21"/>
          <w:szCs w:val="21"/>
        </w:rPr>
        <w:instrText xml:space="preserve"> = 3 \* GB3 \* MERGEFORMAT </w:instrText>
      </w:r>
      <w:r>
        <w:rPr>
          <w:rFonts w:hAnsi="宋体"/>
          <w:snapToGrid w:val="0"/>
          <w:spacing w:val="-6"/>
          <w:kern w:val="21"/>
          <w:szCs w:val="21"/>
        </w:rPr>
        <w:fldChar w:fldCharType="separate"/>
      </w:r>
      <w:r>
        <w:rPr>
          <w:rFonts w:hint="eastAsia" w:hAnsi="宋体"/>
          <w:szCs w:val="21"/>
        </w:rPr>
        <w:t>③</w:t>
      </w:r>
      <w:r>
        <w:rPr>
          <w:rFonts w:hAnsi="宋体"/>
          <w:snapToGrid w:val="0"/>
          <w:spacing w:val="-6"/>
          <w:kern w:val="21"/>
          <w:szCs w:val="21"/>
        </w:rPr>
        <w:fldChar w:fldCharType="end"/>
      </w:r>
      <w:r>
        <w:rPr>
          <w:rFonts w:hAnsi="宋体"/>
          <w:snapToGrid w:val="0"/>
          <w:spacing w:val="-6"/>
          <w:kern w:val="21"/>
          <w:szCs w:val="21"/>
        </w:rPr>
        <w:t>+</w:t>
      </w:r>
      <w:r>
        <w:rPr>
          <w:rFonts w:hAnsi="宋体"/>
          <w:snapToGrid w:val="0"/>
          <w:spacing w:val="-6"/>
          <w:kern w:val="21"/>
          <w:szCs w:val="21"/>
        </w:rPr>
        <w:fldChar w:fldCharType="begin"/>
      </w:r>
      <w:r>
        <w:rPr>
          <w:rFonts w:hAnsi="宋体"/>
          <w:snapToGrid w:val="0"/>
          <w:spacing w:val="-6"/>
          <w:kern w:val="21"/>
          <w:szCs w:val="21"/>
        </w:rPr>
        <w:instrText xml:space="preserve"> = 4 \* GB3 \* MERGEFORMAT </w:instrText>
      </w:r>
      <w:r>
        <w:rPr>
          <w:rFonts w:hAnsi="宋体"/>
          <w:snapToGrid w:val="0"/>
          <w:spacing w:val="-6"/>
          <w:kern w:val="21"/>
          <w:szCs w:val="21"/>
        </w:rPr>
        <w:fldChar w:fldCharType="separate"/>
      </w:r>
      <w:r>
        <w:rPr>
          <w:rFonts w:hint="eastAsia" w:hAnsi="宋体"/>
          <w:szCs w:val="21"/>
        </w:rPr>
        <w:t>④</w:t>
      </w:r>
      <w:r>
        <w:rPr>
          <w:rFonts w:hAnsi="宋体"/>
          <w:snapToGrid w:val="0"/>
          <w:spacing w:val="-6"/>
          <w:kern w:val="21"/>
          <w:szCs w:val="21"/>
        </w:rPr>
        <w:fldChar w:fldCharType="end"/>
      </w:r>
      <w:r>
        <w:rPr>
          <w:rFonts w:hAnsi="宋体"/>
          <w:snapToGrid w:val="0"/>
          <w:spacing w:val="-6"/>
          <w:kern w:val="21"/>
          <w:szCs w:val="21"/>
        </w:rPr>
        <w:t>-</w:t>
      </w:r>
      <w:r>
        <w:rPr>
          <w:rFonts w:hAnsi="宋体"/>
          <w:snapToGrid w:val="0"/>
          <w:spacing w:val="-16"/>
          <w:kern w:val="21"/>
          <w:szCs w:val="21"/>
        </w:rPr>
        <w:fldChar w:fldCharType="begin"/>
      </w:r>
      <w:r>
        <w:rPr>
          <w:rFonts w:hAnsi="宋体"/>
          <w:snapToGrid w:val="0"/>
          <w:spacing w:val="-16"/>
          <w:kern w:val="21"/>
          <w:szCs w:val="21"/>
        </w:rPr>
        <w:instrText xml:space="preserve"> = 5 \* GB3 \* MERGEFORMAT </w:instrText>
      </w:r>
      <w:r>
        <w:rPr>
          <w:rFonts w:hAnsi="宋体"/>
          <w:snapToGrid w:val="0"/>
          <w:spacing w:val="-16"/>
          <w:kern w:val="21"/>
          <w:szCs w:val="21"/>
        </w:rPr>
        <w:fldChar w:fldCharType="separate"/>
      </w:r>
      <w:r>
        <w:rPr>
          <w:rFonts w:hint="eastAsia" w:hAnsi="宋体"/>
          <w:szCs w:val="21"/>
        </w:rPr>
        <w:t>⑤</w:t>
      </w:r>
      <w:r>
        <w:rPr>
          <w:rFonts w:hAnsi="宋体"/>
          <w:snapToGrid w:val="0"/>
          <w:spacing w:val="-16"/>
          <w:kern w:val="21"/>
          <w:szCs w:val="21"/>
        </w:rPr>
        <w:fldChar w:fldCharType="end"/>
      </w:r>
      <w:r>
        <w:rPr>
          <w:rFonts w:hAnsi="宋体"/>
          <w:snapToGrid w:val="0"/>
          <w:spacing w:val="-16"/>
          <w:kern w:val="21"/>
          <w:szCs w:val="21"/>
        </w:rPr>
        <w:t>；</w:t>
      </w:r>
      <w:r>
        <w:rPr>
          <w:rFonts w:hAnsi="宋体"/>
          <w:snapToGrid w:val="0"/>
          <w:spacing w:val="-6"/>
          <w:kern w:val="21"/>
          <w:szCs w:val="21"/>
        </w:rPr>
        <w:fldChar w:fldCharType="begin"/>
      </w:r>
      <w:r>
        <w:rPr>
          <w:rFonts w:hAnsi="宋体"/>
          <w:snapToGrid w:val="0"/>
          <w:spacing w:val="-6"/>
          <w:kern w:val="21"/>
          <w:szCs w:val="21"/>
        </w:rPr>
        <w:instrText xml:space="preserve"> = 7 \* GB3 \* MERGEFORMAT </w:instrText>
      </w:r>
      <w:r>
        <w:rPr>
          <w:rFonts w:hAnsi="宋体"/>
          <w:snapToGrid w:val="0"/>
          <w:spacing w:val="-6"/>
          <w:kern w:val="21"/>
          <w:szCs w:val="21"/>
        </w:rPr>
        <w:fldChar w:fldCharType="separate"/>
      </w:r>
      <w:r>
        <w:rPr>
          <w:rFonts w:hint="eastAsia" w:hAnsi="宋体"/>
          <w:szCs w:val="21"/>
        </w:rPr>
        <w:t>⑦</w:t>
      </w:r>
      <w:r>
        <w:rPr>
          <w:rFonts w:hAnsi="宋体"/>
          <w:snapToGrid w:val="0"/>
          <w:spacing w:val="-6"/>
          <w:kern w:val="21"/>
          <w:szCs w:val="21"/>
        </w:rPr>
        <w:fldChar w:fldCharType="end"/>
      </w:r>
      <w:r>
        <w:rPr>
          <w:rFonts w:hAnsi="宋体"/>
          <w:snapToGrid w:val="0"/>
          <w:spacing w:val="-6"/>
          <w:kern w:val="21"/>
          <w:szCs w:val="21"/>
        </w:rPr>
        <w:t>=</w:t>
      </w:r>
      <w:r>
        <w:rPr>
          <w:rFonts w:hAnsi="宋体"/>
          <w:snapToGrid w:val="0"/>
          <w:spacing w:val="-16"/>
          <w:kern w:val="21"/>
          <w:szCs w:val="21"/>
        </w:rPr>
        <w:fldChar w:fldCharType="begin"/>
      </w:r>
      <w:r>
        <w:rPr>
          <w:rFonts w:hAnsi="宋体"/>
          <w:snapToGrid w:val="0"/>
          <w:spacing w:val="-16"/>
          <w:kern w:val="21"/>
          <w:szCs w:val="21"/>
        </w:rPr>
        <w:instrText xml:space="preserve"> = 6 \* GB3 \* MERGEFORMAT </w:instrText>
      </w:r>
      <w:r>
        <w:rPr>
          <w:rFonts w:hAnsi="宋体"/>
          <w:snapToGrid w:val="0"/>
          <w:spacing w:val="-16"/>
          <w:kern w:val="21"/>
          <w:szCs w:val="21"/>
        </w:rPr>
        <w:fldChar w:fldCharType="separate"/>
      </w:r>
      <w:r>
        <w:rPr>
          <w:rFonts w:hint="eastAsia" w:hAnsi="宋体"/>
          <w:szCs w:val="21"/>
        </w:rPr>
        <w:t>⑥</w:t>
      </w:r>
      <w:r>
        <w:rPr>
          <w:rFonts w:hAnsi="宋体"/>
          <w:snapToGrid w:val="0"/>
          <w:spacing w:val="-16"/>
          <w:kern w:val="21"/>
          <w:szCs w:val="21"/>
        </w:rPr>
        <w:fldChar w:fldCharType="end"/>
      </w:r>
      <w:r>
        <w:rPr>
          <w:rFonts w:hAnsi="宋体"/>
          <w:snapToGrid w:val="0"/>
          <w:spacing w:val="-16"/>
          <w:kern w:val="21"/>
          <w:szCs w:val="21"/>
        </w:rPr>
        <w:t>-</w:t>
      </w:r>
      <w:r>
        <w:rPr>
          <w:rFonts w:hAnsi="宋体"/>
          <w:snapToGrid w:val="0"/>
          <w:spacing w:val="-6"/>
          <w:kern w:val="21"/>
          <w:szCs w:val="21"/>
        </w:rPr>
        <w:fldChar w:fldCharType="begin"/>
      </w:r>
      <w:r>
        <w:rPr>
          <w:rFonts w:hAnsi="宋体"/>
          <w:snapToGrid w:val="0"/>
          <w:spacing w:val="-6"/>
          <w:kern w:val="21"/>
          <w:szCs w:val="21"/>
        </w:rPr>
        <w:instrText xml:space="preserve"> = 1 \* GB3 \* MERGEFORMAT </w:instrText>
      </w:r>
      <w:r>
        <w:rPr>
          <w:rFonts w:hAnsi="宋体"/>
          <w:snapToGrid w:val="0"/>
          <w:spacing w:val="-6"/>
          <w:kern w:val="21"/>
          <w:szCs w:val="21"/>
        </w:rPr>
        <w:fldChar w:fldCharType="separate"/>
      </w:r>
      <w:r>
        <w:rPr>
          <w:rFonts w:hint="eastAsia" w:hAnsi="宋体"/>
          <w:szCs w:val="21"/>
        </w:rPr>
        <w:t>①</w:t>
      </w:r>
      <w:r>
        <w:rPr>
          <w:rFonts w:hAnsi="宋体"/>
          <w:snapToGrid w:val="0"/>
          <w:spacing w:val="-6"/>
          <w:kern w:val="21"/>
          <w:szCs w:val="21"/>
        </w:rPr>
        <w:fldChar w:fldCharType="end"/>
      </w:r>
      <w:bookmarkEnd w:id="21"/>
    </w:p>
    <w:p>
      <w:pPr>
        <w:ind w:firstLine="480"/>
        <w:rPr>
          <w:rFonts w:ascii="宋体" w:hAnsi="宋体" w:eastAsia="黑体"/>
        </w:rPr>
      </w:pPr>
    </w:p>
    <w:sectPr>
      <w:footerReference r:id="rId9" w:type="default"/>
      <w:pgSz w:w="16838" w:h="11905" w:orient="landscape"/>
      <w:pgMar w:top="1531" w:right="1440" w:bottom="1531" w:left="1440" w:header="851" w:footer="1020" w:gutter="0"/>
      <w:pgNumType w:fmt="numberInDash"/>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ind w:firstLine="360"/>
      <w:rPr>
        <w:rStyle w:val="31"/>
      </w:rPr>
    </w:pPr>
    <w:r>
      <w:fldChar w:fldCharType="begin"/>
    </w:r>
    <w:r>
      <w:rPr>
        <w:rStyle w:val="31"/>
      </w:rPr>
      <w:instrText xml:space="preserve">PAGE  </w:instrText>
    </w:r>
    <w:r>
      <w:fldChar w:fldCharType="end"/>
    </w:r>
  </w:p>
  <w:p>
    <w:pPr>
      <w:pStyle w:val="2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360" w:firstLine="360"/>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4"/>
                            <w:ind w:firstLine="480"/>
                            <w:rPr>
                              <w:rStyle w:val="31"/>
                              <w:rFonts w:ascii="宋体" w:hAnsi="宋体"/>
                              <w:sz w:val="28"/>
                              <w:szCs w:val="28"/>
                            </w:rPr>
                          </w:pPr>
                          <w:r>
                            <w:rPr>
                              <w:sz w:val="24"/>
                              <w:szCs w:val="24"/>
                            </w:rPr>
                            <w:fldChar w:fldCharType="begin"/>
                          </w:r>
                          <w:r>
                            <w:rPr>
                              <w:rStyle w:val="31"/>
                              <w:sz w:val="24"/>
                              <w:szCs w:val="24"/>
                            </w:rPr>
                            <w:instrText xml:space="preserve">PAGE  </w:instrText>
                          </w:r>
                          <w:r>
                            <w:rPr>
                              <w:sz w:val="24"/>
                              <w:szCs w:val="24"/>
                            </w:rPr>
                            <w:fldChar w:fldCharType="separate"/>
                          </w:r>
                          <w:r>
                            <w:rPr>
                              <w:rStyle w:val="31"/>
                              <w:sz w:val="24"/>
                              <w:szCs w:val="24"/>
                            </w:rPr>
                            <w:t>- 1 -</w:t>
                          </w:r>
                          <w:r>
                            <w:rPr>
                              <w:sz w:val="24"/>
                              <w:szCs w:val="24"/>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Df6L6ewAQAA&#10;WgMAAA4AAAAAAAAAAQAgAAAAHgEAAGRycy9lMm9Eb2MueG1sUEsFBgAAAAAGAAYAWQEAAEAFAAAA&#10;AA==&#10;">
              <v:fill on="f" focussize="0,0"/>
              <v:stroke on="f"/>
              <v:imagedata o:title=""/>
              <o:lock v:ext="edit" aspectratio="f"/>
              <v:textbox inset="0mm,0mm,0mm,0mm" style="mso-fit-shape-to-text:t;">
                <w:txbxContent>
                  <w:p>
                    <w:pPr>
                      <w:pStyle w:val="24"/>
                      <w:ind w:firstLine="480"/>
                      <w:rPr>
                        <w:rStyle w:val="31"/>
                        <w:rFonts w:ascii="宋体" w:hAnsi="宋体"/>
                        <w:sz w:val="28"/>
                        <w:szCs w:val="28"/>
                      </w:rPr>
                    </w:pPr>
                    <w:r>
                      <w:rPr>
                        <w:sz w:val="24"/>
                        <w:szCs w:val="24"/>
                      </w:rPr>
                      <w:fldChar w:fldCharType="begin"/>
                    </w:r>
                    <w:r>
                      <w:rPr>
                        <w:rStyle w:val="31"/>
                        <w:sz w:val="24"/>
                        <w:szCs w:val="24"/>
                      </w:rPr>
                      <w:instrText xml:space="preserve">PAGE  </w:instrText>
                    </w:r>
                    <w:r>
                      <w:rPr>
                        <w:sz w:val="24"/>
                        <w:szCs w:val="24"/>
                      </w:rPr>
                      <w:fldChar w:fldCharType="separate"/>
                    </w:r>
                    <w:r>
                      <w:rPr>
                        <w:rStyle w:val="31"/>
                        <w:sz w:val="24"/>
                        <w:szCs w:val="24"/>
                      </w:rPr>
                      <w:t>- 1 -</w:t>
                    </w:r>
                    <w:r>
                      <w:rPr>
                        <w:sz w:val="24"/>
                        <w:szCs w:val="24"/>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360" w:firstLine="360"/>
      <w:jc w:val="center"/>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4"/>
                            <w:ind w:firstLine="480"/>
                            <w:rPr>
                              <w:rStyle w:val="31"/>
                              <w:rFonts w:ascii="宋体" w:hAnsi="宋体"/>
                              <w:sz w:val="28"/>
                              <w:szCs w:val="28"/>
                            </w:rPr>
                          </w:pPr>
                          <w:r>
                            <w:rPr>
                              <w:sz w:val="24"/>
                              <w:szCs w:val="24"/>
                            </w:rPr>
                            <w:fldChar w:fldCharType="begin"/>
                          </w:r>
                          <w:r>
                            <w:rPr>
                              <w:rStyle w:val="31"/>
                              <w:sz w:val="24"/>
                              <w:szCs w:val="24"/>
                            </w:rPr>
                            <w:instrText xml:space="preserve">PAGE  </w:instrText>
                          </w:r>
                          <w:r>
                            <w:rPr>
                              <w:sz w:val="24"/>
                              <w:szCs w:val="24"/>
                            </w:rPr>
                            <w:fldChar w:fldCharType="separate"/>
                          </w:r>
                          <w:r>
                            <w:rPr>
                              <w:rStyle w:val="31"/>
                              <w:sz w:val="24"/>
                              <w:szCs w:val="24"/>
                            </w:rPr>
                            <w:t>- 38 -</w:t>
                          </w:r>
                          <w:r>
                            <w:rPr>
                              <w:sz w:val="24"/>
                              <w:szCs w:val="24"/>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rbA0/rIB&#10;AABZAwAADgAAAAAAAAABACAAAAAeAQAAZHJzL2Uyb0RvYy54bWxQSwUGAAAAAAYABgBZAQAAQgUA&#10;AAAA&#10;">
              <v:fill on="f" focussize="0,0"/>
              <v:stroke on="f"/>
              <v:imagedata o:title=""/>
              <o:lock v:ext="edit" aspectratio="f"/>
              <v:textbox inset="0mm,0mm,0mm,0mm" style="mso-fit-shape-to-text:t;">
                <w:txbxContent>
                  <w:p>
                    <w:pPr>
                      <w:pStyle w:val="24"/>
                      <w:ind w:firstLine="480"/>
                      <w:rPr>
                        <w:rStyle w:val="31"/>
                        <w:rFonts w:ascii="宋体" w:hAnsi="宋体"/>
                        <w:sz w:val="28"/>
                        <w:szCs w:val="28"/>
                      </w:rPr>
                    </w:pPr>
                    <w:r>
                      <w:rPr>
                        <w:sz w:val="24"/>
                        <w:szCs w:val="24"/>
                      </w:rPr>
                      <w:fldChar w:fldCharType="begin"/>
                    </w:r>
                    <w:r>
                      <w:rPr>
                        <w:rStyle w:val="31"/>
                        <w:sz w:val="24"/>
                        <w:szCs w:val="24"/>
                      </w:rPr>
                      <w:instrText xml:space="preserve">PAGE  </w:instrText>
                    </w:r>
                    <w:r>
                      <w:rPr>
                        <w:sz w:val="24"/>
                        <w:szCs w:val="24"/>
                      </w:rPr>
                      <w:fldChar w:fldCharType="separate"/>
                    </w:r>
                    <w:r>
                      <w:rPr>
                        <w:rStyle w:val="31"/>
                        <w:sz w:val="24"/>
                        <w:szCs w:val="24"/>
                      </w:rPr>
                      <w:t>- 38 -</w:t>
                    </w:r>
                    <w:r>
                      <w:rPr>
                        <w:sz w:val="24"/>
                        <w:szCs w:val="24"/>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360" w:firstLine="360"/>
      <w:jc w:val="cente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4"/>
                            <w:ind w:firstLine="560"/>
                            <w:rPr>
                              <w:rStyle w:val="31"/>
                              <w:rFonts w:ascii="宋体" w:hAnsi="宋体"/>
                              <w:sz w:val="28"/>
                              <w:szCs w:val="28"/>
                            </w:rPr>
                          </w:pPr>
                          <w:r>
                            <w:rPr>
                              <w:rStyle w:val="31"/>
                              <w:rFonts w:hint="eastAsia" w:ascii="宋体" w:hAnsi="宋体"/>
                              <w:sz w:val="28"/>
                              <w:szCs w:val="28"/>
                            </w:rPr>
                            <w:t>—</w:t>
                          </w:r>
                          <w:r>
                            <w:rPr>
                              <w:rFonts w:ascii="宋体" w:hAnsi="宋体"/>
                              <w:sz w:val="26"/>
                              <w:szCs w:val="26"/>
                            </w:rPr>
                            <w:fldChar w:fldCharType="begin"/>
                          </w:r>
                          <w:r>
                            <w:rPr>
                              <w:rStyle w:val="31"/>
                              <w:rFonts w:ascii="宋体" w:hAnsi="宋体"/>
                              <w:sz w:val="26"/>
                              <w:szCs w:val="26"/>
                            </w:rPr>
                            <w:instrText xml:space="preserve">PAGE  </w:instrText>
                          </w:r>
                          <w:r>
                            <w:rPr>
                              <w:rFonts w:ascii="宋体" w:hAnsi="宋体"/>
                              <w:sz w:val="26"/>
                              <w:szCs w:val="26"/>
                            </w:rPr>
                            <w:fldChar w:fldCharType="separate"/>
                          </w:r>
                          <w:r>
                            <w:rPr>
                              <w:rStyle w:val="31"/>
                              <w:rFonts w:ascii="宋体" w:hAnsi="宋体"/>
                              <w:sz w:val="26"/>
                              <w:szCs w:val="26"/>
                            </w:rPr>
                            <w:t>- 44 -</w:t>
                          </w:r>
                          <w:r>
                            <w:rPr>
                              <w:rFonts w:ascii="宋体" w:hAnsi="宋体"/>
                              <w:sz w:val="26"/>
                              <w:szCs w:val="26"/>
                            </w:rPr>
                            <w:fldChar w:fldCharType="end"/>
                          </w:r>
                          <w:r>
                            <w:rPr>
                              <w:rStyle w:val="31"/>
                              <w:rFonts w:hint="eastAsia" w:ascii="宋体" w:hAnsi="宋体"/>
                              <w:sz w:val="28"/>
                              <w:szCs w:val="28"/>
                            </w:rPr>
                            <w:t>—</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DcWk1NsQEA&#10;AFoDAAAOAAAAAAAAAAEAIAAAAB4BAABkcnMvZTJvRG9jLnhtbFBLBQYAAAAABgAGAFkBAABBBQAA&#10;AAA=&#10;">
              <v:fill on="f" focussize="0,0"/>
              <v:stroke on="f"/>
              <v:imagedata o:title=""/>
              <o:lock v:ext="edit" aspectratio="f"/>
              <v:textbox inset="0mm,0mm,0mm,0mm" style="mso-fit-shape-to-text:t;">
                <w:txbxContent>
                  <w:p>
                    <w:pPr>
                      <w:pStyle w:val="24"/>
                      <w:ind w:firstLine="560"/>
                      <w:rPr>
                        <w:rStyle w:val="31"/>
                        <w:rFonts w:ascii="宋体" w:hAnsi="宋体"/>
                        <w:sz w:val="28"/>
                        <w:szCs w:val="28"/>
                      </w:rPr>
                    </w:pPr>
                    <w:r>
                      <w:rPr>
                        <w:rStyle w:val="31"/>
                        <w:rFonts w:hint="eastAsia" w:ascii="宋体" w:hAnsi="宋体"/>
                        <w:sz w:val="28"/>
                        <w:szCs w:val="28"/>
                      </w:rPr>
                      <w:t>—</w:t>
                    </w:r>
                    <w:r>
                      <w:rPr>
                        <w:rFonts w:ascii="宋体" w:hAnsi="宋体"/>
                        <w:sz w:val="26"/>
                        <w:szCs w:val="26"/>
                      </w:rPr>
                      <w:fldChar w:fldCharType="begin"/>
                    </w:r>
                    <w:r>
                      <w:rPr>
                        <w:rStyle w:val="31"/>
                        <w:rFonts w:ascii="宋体" w:hAnsi="宋体"/>
                        <w:sz w:val="26"/>
                        <w:szCs w:val="26"/>
                      </w:rPr>
                      <w:instrText xml:space="preserve">PAGE  </w:instrText>
                    </w:r>
                    <w:r>
                      <w:rPr>
                        <w:rFonts w:ascii="宋体" w:hAnsi="宋体"/>
                        <w:sz w:val="26"/>
                        <w:szCs w:val="26"/>
                      </w:rPr>
                      <w:fldChar w:fldCharType="separate"/>
                    </w:r>
                    <w:r>
                      <w:rPr>
                        <w:rStyle w:val="31"/>
                        <w:rFonts w:ascii="宋体" w:hAnsi="宋体"/>
                        <w:sz w:val="26"/>
                        <w:szCs w:val="26"/>
                      </w:rPr>
                      <w:t>- 44 -</w:t>
                    </w:r>
                    <w:r>
                      <w:rPr>
                        <w:rFonts w:ascii="宋体" w:hAnsi="宋体"/>
                        <w:sz w:val="26"/>
                        <w:szCs w:val="26"/>
                      </w:rPr>
                      <w:fldChar w:fldCharType="end"/>
                    </w:r>
                    <w:r>
                      <w:rPr>
                        <w:rStyle w:val="31"/>
                        <w:rFonts w:hint="eastAsia" w:ascii="宋体" w:hAnsi="宋体"/>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thickThinSmallGap" w:color="auto" w:sz="12" w:space="1"/>
      </w:pBdr>
      <w:ind w:firstLine="360"/>
    </w:pPr>
  </w:p>
  <w:p>
    <w:pPr>
      <w:pStyle w:val="14"/>
      <w:pBdr>
        <w:bottom w:val="thickThinSmallGap" w:color="auto" w:sz="12" w:space="1"/>
      </w:pBdr>
      <w:adjustRightInd w:val="0"/>
      <w:spacing w:line="240" w:lineRule="auto"/>
      <w:ind w:firstLine="360"/>
    </w:pPr>
    <w:r>
      <w:rPr>
        <w:rFonts w:hint="eastAsia"/>
      </w:rPr>
      <w:t>年产2万吨再生高纯硅生产项目</w:t>
    </w:r>
    <w:r>
      <w:t>环境影响报告</w:t>
    </w:r>
    <w:r>
      <w:rPr>
        <w:rFonts w:hint="eastAsia"/>
      </w:rPr>
      <w:t>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83598F"/>
    <w:multiLevelType w:val="singleLevel"/>
    <w:tmpl w:val="8683598F"/>
    <w:lvl w:ilvl="0" w:tentative="0">
      <w:start w:val="1"/>
      <w:numFmt w:val="decimal"/>
      <w:suff w:val="nothing"/>
      <w:lvlText w:val="%1、"/>
      <w:lvlJc w:val="left"/>
    </w:lvl>
  </w:abstractNum>
  <w:abstractNum w:abstractNumId="1">
    <w:nsid w:val="9726D563"/>
    <w:multiLevelType w:val="singleLevel"/>
    <w:tmpl w:val="9726D563"/>
    <w:lvl w:ilvl="0" w:tentative="0">
      <w:start w:val="1"/>
      <w:numFmt w:val="chineseCounting"/>
      <w:suff w:val="nothing"/>
      <w:lvlText w:val="%1、"/>
      <w:lvlJc w:val="left"/>
      <w:rPr>
        <w:rFonts w:hint="eastAsia"/>
      </w:rPr>
    </w:lvl>
  </w:abstractNum>
  <w:abstractNum w:abstractNumId="2">
    <w:nsid w:val="9DFA5CDB"/>
    <w:multiLevelType w:val="singleLevel"/>
    <w:tmpl w:val="9DFA5CDB"/>
    <w:lvl w:ilvl="0" w:tentative="0">
      <w:start w:val="2"/>
      <w:numFmt w:val="decimal"/>
      <w:suff w:val="nothing"/>
      <w:lvlText w:val="（%1）"/>
      <w:lvlJc w:val="left"/>
    </w:lvl>
  </w:abstractNum>
  <w:abstractNum w:abstractNumId="3">
    <w:nsid w:val="BD658187"/>
    <w:multiLevelType w:val="singleLevel"/>
    <w:tmpl w:val="BD658187"/>
    <w:lvl w:ilvl="0" w:tentative="0">
      <w:start w:val="1"/>
      <w:numFmt w:val="decimal"/>
      <w:suff w:val="nothing"/>
      <w:lvlText w:val="%1、"/>
      <w:lvlJc w:val="left"/>
    </w:lvl>
  </w:abstractNum>
  <w:abstractNum w:abstractNumId="4">
    <w:nsid w:val="0D5F1A52"/>
    <w:multiLevelType w:val="singleLevel"/>
    <w:tmpl w:val="0D5F1A52"/>
    <w:lvl w:ilvl="0" w:tentative="0">
      <w:start w:val="1"/>
      <w:numFmt w:val="decimal"/>
      <w:lvlText w:val="%1."/>
      <w:lvlJc w:val="left"/>
      <w:pPr>
        <w:tabs>
          <w:tab w:val="left" w:pos="312"/>
        </w:tabs>
      </w:pPr>
    </w:lvl>
  </w:abstractNum>
  <w:abstractNum w:abstractNumId="5">
    <w:nsid w:val="2B8C46C0"/>
    <w:multiLevelType w:val="singleLevel"/>
    <w:tmpl w:val="2B8C46C0"/>
    <w:lvl w:ilvl="0" w:tentative="0">
      <w:start w:val="1"/>
      <w:numFmt w:val="decimal"/>
      <w:suff w:val="nothing"/>
      <w:lvlText w:val="%1、"/>
      <w:lvlJc w:val="left"/>
    </w:lvl>
  </w:abstractNum>
  <w:abstractNum w:abstractNumId="6">
    <w:nsid w:val="4A282739"/>
    <w:multiLevelType w:val="singleLevel"/>
    <w:tmpl w:val="4A282739"/>
    <w:lvl w:ilvl="0" w:tentative="0">
      <w:start w:val="5"/>
      <w:numFmt w:val="decimal"/>
      <w:suff w:val="nothing"/>
      <w:lvlText w:val="(%1）"/>
      <w:lvlJc w:val="left"/>
    </w:lvl>
  </w:abstractNum>
  <w:abstractNum w:abstractNumId="7">
    <w:nsid w:val="4D4A3240"/>
    <w:multiLevelType w:val="singleLevel"/>
    <w:tmpl w:val="4D4A3240"/>
    <w:lvl w:ilvl="0" w:tentative="0">
      <w:start w:val="4"/>
      <w:numFmt w:val="decimal"/>
      <w:suff w:val="nothing"/>
      <w:lvlText w:val="%1、"/>
      <w:lvlJc w:val="left"/>
    </w:lvl>
  </w:abstractNum>
  <w:abstractNum w:abstractNumId="8">
    <w:nsid w:val="6458E5F3"/>
    <w:multiLevelType w:val="singleLevel"/>
    <w:tmpl w:val="6458E5F3"/>
    <w:lvl w:ilvl="0" w:tentative="0">
      <w:start w:val="1"/>
      <w:numFmt w:val="decimal"/>
      <w:suff w:val="nothing"/>
      <w:lvlText w:val="（%1）"/>
      <w:lvlJc w:val="left"/>
    </w:lvl>
  </w:abstractNum>
  <w:abstractNum w:abstractNumId="9">
    <w:nsid w:val="773DA487"/>
    <w:multiLevelType w:val="singleLevel"/>
    <w:tmpl w:val="773DA487"/>
    <w:lvl w:ilvl="0" w:tentative="0">
      <w:start w:val="1"/>
      <w:numFmt w:val="decimal"/>
      <w:lvlText w:val="%1."/>
      <w:lvlJc w:val="left"/>
      <w:pPr>
        <w:tabs>
          <w:tab w:val="left" w:pos="312"/>
        </w:tabs>
      </w:pPr>
    </w:lvl>
  </w:abstractNum>
  <w:num w:numId="1">
    <w:abstractNumId w:val="4"/>
  </w:num>
  <w:num w:numId="2">
    <w:abstractNumId w:val="9"/>
  </w:num>
  <w:num w:numId="3">
    <w:abstractNumId w:val="7"/>
  </w:num>
  <w:num w:numId="4">
    <w:abstractNumId w:val="8"/>
  </w:num>
  <w:num w:numId="5">
    <w:abstractNumId w:val="3"/>
  </w:num>
  <w:num w:numId="6">
    <w:abstractNumId w:val="5"/>
  </w:num>
  <w:num w:numId="7">
    <w:abstractNumId w:val="0"/>
  </w:num>
  <w:num w:numId="8">
    <w:abstractNumId w:val="1"/>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trackedChanges" w:enforcement="0"/>
  <w:defaultTabStop w:val="420"/>
  <w:doNotHyphenateCaps/>
  <w:drawingGridVerticalSpacing w:val="156"/>
  <w:noPunctuationKerning w:val="1"/>
  <w:characterSpacingControl w:val="compressPunctuation"/>
  <w:noLineBreaksAfter w:lang="zh-CN" w:val="([{·‘“〈《「『【〔〖（．［｛￡￥"/>
  <w:noLineBreaksBefore w:lang="zh-CN" w:val="!),.:;?]}¨·ˇˉ―‖’”…∶、。〃々〉》」』】〕〗！＂＇），．：；？］｀｜｝～￠"/>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mY2Y3YzQ3OWExZWE1Njc4OGJkZDUwZjIxYWYxMmIifQ=="/>
  </w:docVars>
  <w:rsids>
    <w:rsidRoot w:val="00172A27"/>
    <w:rsid w:val="000060B3"/>
    <w:rsid w:val="0004364B"/>
    <w:rsid w:val="00046011"/>
    <w:rsid w:val="00054C3C"/>
    <w:rsid w:val="00061B1F"/>
    <w:rsid w:val="000733C4"/>
    <w:rsid w:val="00074783"/>
    <w:rsid w:val="0008070B"/>
    <w:rsid w:val="000810AC"/>
    <w:rsid w:val="00081A02"/>
    <w:rsid w:val="00082231"/>
    <w:rsid w:val="00092D38"/>
    <w:rsid w:val="0009377B"/>
    <w:rsid w:val="000A20C9"/>
    <w:rsid w:val="000B058F"/>
    <w:rsid w:val="000B4467"/>
    <w:rsid w:val="000B4DB9"/>
    <w:rsid w:val="000C09AC"/>
    <w:rsid w:val="000C767F"/>
    <w:rsid w:val="000D5A44"/>
    <w:rsid w:val="000E3ED2"/>
    <w:rsid w:val="00131F42"/>
    <w:rsid w:val="001357F1"/>
    <w:rsid w:val="00140FA8"/>
    <w:rsid w:val="00142FEB"/>
    <w:rsid w:val="00143A2D"/>
    <w:rsid w:val="00145A41"/>
    <w:rsid w:val="00151675"/>
    <w:rsid w:val="00157435"/>
    <w:rsid w:val="00172A27"/>
    <w:rsid w:val="0017504D"/>
    <w:rsid w:val="0017671A"/>
    <w:rsid w:val="00177422"/>
    <w:rsid w:val="00184590"/>
    <w:rsid w:val="001870D1"/>
    <w:rsid w:val="0018781E"/>
    <w:rsid w:val="0019262D"/>
    <w:rsid w:val="001A1B35"/>
    <w:rsid w:val="001A48A2"/>
    <w:rsid w:val="001A6F61"/>
    <w:rsid w:val="001B72B8"/>
    <w:rsid w:val="001C69B3"/>
    <w:rsid w:val="001D5595"/>
    <w:rsid w:val="001D7874"/>
    <w:rsid w:val="001D7F22"/>
    <w:rsid w:val="001F0F17"/>
    <w:rsid w:val="001F3347"/>
    <w:rsid w:val="001F69E4"/>
    <w:rsid w:val="002125B4"/>
    <w:rsid w:val="002155B8"/>
    <w:rsid w:val="00224839"/>
    <w:rsid w:val="002249B2"/>
    <w:rsid w:val="00226574"/>
    <w:rsid w:val="002278EC"/>
    <w:rsid w:val="0023280E"/>
    <w:rsid w:val="002377D1"/>
    <w:rsid w:val="002506BC"/>
    <w:rsid w:val="00254345"/>
    <w:rsid w:val="00264557"/>
    <w:rsid w:val="002805AB"/>
    <w:rsid w:val="00284204"/>
    <w:rsid w:val="00291773"/>
    <w:rsid w:val="002A168C"/>
    <w:rsid w:val="002A3DC7"/>
    <w:rsid w:val="002B49E2"/>
    <w:rsid w:val="002B7B00"/>
    <w:rsid w:val="002B7C44"/>
    <w:rsid w:val="002C2B17"/>
    <w:rsid w:val="002D3DD0"/>
    <w:rsid w:val="002E1F3A"/>
    <w:rsid w:val="002E298A"/>
    <w:rsid w:val="00301978"/>
    <w:rsid w:val="0030332C"/>
    <w:rsid w:val="003051C2"/>
    <w:rsid w:val="00312296"/>
    <w:rsid w:val="00314F0E"/>
    <w:rsid w:val="00321D8E"/>
    <w:rsid w:val="00325928"/>
    <w:rsid w:val="00332863"/>
    <w:rsid w:val="0033684D"/>
    <w:rsid w:val="00337B42"/>
    <w:rsid w:val="00341B42"/>
    <w:rsid w:val="0034348F"/>
    <w:rsid w:val="00356653"/>
    <w:rsid w:val="0035743F"/>
    <w:rsid w:val="00357BE2"/>
    <w:rsid w:val="0036170C"/>
    <w:rsid w:val="00366E0F"/>
    <w:rsid w:val="00381A72"/>
    <w:rsid w:val="00384676"/>
    <w:rsid w:val="00390857"/>
    <w:rsid w:val="003A4BF3"/>
    <w:rsid w:val="003B420D"/>
    <w:rsid w:val="003C6C16"/>
    <w:rsid w:val="003D794D"/>
    <w:rsid w:val="003E3058"/>
    <w:rsid w:val="003E76A9"/>
    <w:rsid w:val="003F0809"/>
    <w:rsid w:val="003F6A8C"/>
    <w:rsid w:val="003F755C"/>
    <w:rsid w:val="00406F01"/>
    <w:rsid w:val="00416D50"/>
    <w:rsid w:val="00416FD5"/>
    <w:rsid w:val="00417772"/>
    <w:rsid w:val="00420E6A"/>
    <w:rsid w:val="00425A9E"/>
    <w:rsid w:val="00426D6B"/>
    <w:rsid w:val="00431E6C"/>
    <w:rsid w:val="00433CE7"/>
    <w:rsid w:val="00452738"/>
    <w:rsid w:val="00456091"/>
    <w:rsid w:val="00466321"/>
    <w:rsid w:val="00484B9B"/>
    <w:rsid w:val="004855F6"/>
    <w:rsid w:val="0048661E"/>
    <w:rsid w:val="00494670"/>
    <w:rsid w:val="004A3823"/>
    <w:rsid w:val="004E6946"/>
    <w:rsid w:val="004F1AD8"/>
    <w:rsid w:val="005039CB"/>
    <w:rsid w:val="0050558F"/>
    <w:rsid w:val="00506286"/>
    <w:rsid w:val="00510813"/>
    <w:rsid w:val="00511990"/>
    <w:rsid w:val="00511DE0"/>
    <w:rsid w:val="00514870"/>
    <w:rsid w:val="00514B9B"/>
    <w:rsid w:val="00517F02"/>
    <w:rsid w:val="00524303"/>
    <w:rsid w:val="005258A2"/>
    <w:rsid w:val="005401AE"/>
    <w:rsid w:val="00542E07"/>
    <w:rsid w:val="00545424"/>
    <w:rsid w:val="00554A7B"/>
    <w:rsid w:val="0055572C"/>
    <w:rsid w:val="0056106A"/>
    <w:rsid w:val="005720AE"/>
    <w:rsid w:val="00594D77"/>
    <w:rsid w:val="005969E4"/>
    <w:rsid w:val="005A06B7"/>
    <w:rsid w:val="005A1759"/>
    <w:rsid w:val="005A68A7"/>
    <w:rsid w:val="005D36AB"/>
    <w:rsid w:val="00617CC3"/>
    <w:rsid w:val="006377A6"/>
    <w:rsid w:val="00637A3D"/>
    <w:rsid w:val="006411EF"/>
    <w:rsid w:val="006748B8"/>
    <w:rsid w:val="006775C3"/>
    <w:rsid w:val="0069290A"/>
    <w:rsid w:val="0069775A"/>
    <w:rsid w:val="00697813"/>
    <w:rsid w:val="006A3EE8"/>
    <w:rsid w:val="006A72BF"/>
    <w:rsid w:val="006B03F2"/>
    <w:rsid w:val="006B37DC"/>
    <w:rsid w:val="006B4F68"/>
    <w:rsid w:val="006C0592"/>
    <w:rsid w:val="006C272E"/>
    <w:rsid w:val="006C5479"/>
    <w:rsid w:val="006D13B5"/>
    <w:rsid w:val="006E12FF"/>
    <w:rsid w:val="006E607E"/>
    <w:rsid w:val="006E6810"/>
    <w:rsid w:val="00706C5D"/>
    <w:rsid w:val="00732922"/>
    <w:rsid w:val="0075162E"/>
    <w:rsid w:val="00754034"/>
    <w:rsid w:val="00756556"/>
    <w:rsid w:val="007618C4"/>
    <w:rsid w:val="00767980"/>
    <w:rsid w:val="00770B19"/>
    <w:rsid w:val="0077463F"/>
    <w:rsid w:val="007836EA"/>
    <w:rsid w:val="00784CDA"/>
    <w:rsid w:val="007906C4"/>
    <w:rsid w:val="007940EA"/>
    <w:rsid w:val="007967E8"/>
    <w:rsid w:val="007A2170"/>
    <w:rsid w:val="007A22BF"/>
    <w:rsid w:val="007A3323"/>
    <w:rsid w:val="007B72B8"/>
    <w:rsid w:val="007B7A58"/>
    <w:rsid w:val="007C21B5"/>
    <w:rsid w:val="007E2565"/>
    <w:rsid w:val="007E4BD2"/>
    <w:rsid w:val="00801393"/>
    <w:rsid w:val="00802F88"/>
    <w:rsid w:val="0081293E"/>
    <w:rsid w:val="00815465"/>
    <w:rsid w:val="00817E9A"/>
    <w:rsid w:val="008306BD"/>
    <w:rsid w:val="00831A80"/>
    <w:rsid w:val="00833743"/>
    <w:rsid w:val="008340A4"/>
    <w:rsid w:val="0087135F"/>
    <w:rsid w:val="00872D94"/>
    <w:rsid w:val="00880364"/>
    <w:rsid w:val="00891592"/>
    <w:rsid w:val="00891E9E"/>
    <w:rsid w:val="008A2F68"/>
    <w:rsid w:val="008B4FA6"/>
    <w:rsid w:val="008B5282"/>
    <w:rsid w:val="008B7C17"/>
    <w:rsid w:val="008C2D01"/>
    <w:rsid w:val="008C40E6"/>
    <w:rsid w:val="008D0F7A"/>
    <w:rsid w:val="008D68E4"/>
    <w:rsid w:val="008E0506"/>
    <w:rsid w:val="008E0CFF"/>
    <w:rsid w:val="008E5D6B"/>
    <w:rsid w:val="008E76F0"/>
    <w:rsid w:val="008F15FE"/>
    <w:rsid w:val="008F2D29"/>
    <w:rsid w:val="008F5187"/>
    <w:rsid w:val="008F60D8"/>
    <w:rsid w:val="00902727"/>
    <w:rsid w:val="0090312B"/>
    <w:rsid w:val="0091736D"/>
    <w:rsid w:val="0093037A"/>
    <w:rsid w:val="0094154D"/>
    <w:rsid w:val="0095155F"/>
    <w:rsid w:val="00954429"/>
    <w:rsid w:val="009563CE"/>
    <w:rsid w:val="00976328"/>
    <w:rsid w:val="0097680D"/>
    <w:rsid w:val="00982438"/>
    <w:rsid w:val="0098404C"/>
    <w:rsid w:val="00985283"/>
    <w:rsid w:val="00995992"/>
    <w:rsid w:val="009A03E5"/>
    <w:rsid w:val="009A0F3B"/>
    <w:rsid w:val="009A1BB4"/>
    <w:rsid w:val="009A2628"/>
    <w:rsid w:val="009A3200"/>
    <w:rsid w:val="009B0897"/>
    <w:rsid w:val="009B7BD9"/>
    <w:rsid w:val="009C7DD5"/>
    <w:rsid w:val="009E227D"/>
    <w:rsid w:val="009E5019"/>
    <w:rsid w:val="00A04F1B"/>
    <w:rsid w:val="00A0501B"/>
    <w:rsid w:val="00A14947"/>
    <w:rsid w:val="00A32A83"/>
    <w:rsid w:val="00A368DB"/>
    <w:rsid w:val="00A423AA"/>
    <w:rsid w:val="00A42E47"/>
    <w:rsid w:val="00A53EC6"/>
    <w:rsid w:val="00A55C0F"/>
    <w:rsid w:val="00A8188E"/>
    <w:rsid w:val="00A8713F"/>
    <w:rsid w:val="00A90BA1"/>
    <w:rsid w:val="00A97A9A"/>
    <w:rsid w:val="00AA0671"/>
    <w:rsid w:val="00AA2531"/>
    <w:rsid w:val="00AB1E09"/>
    <w:rsid w:val="00AB5330"/>
    <w:rsid w:val="00AB7747"/>
    <w:rsid w:val="00AC14CE"/>
    <w:rsid w:val="00AC2A56"/>
    <w:rsid w:val="00AD055E"/>
    <w:rsid w:val="00AD47A7"/>
    <w:rsid w:val="00AF0CBF"/>
    <w:rsid w:val="00AF257F"/>
    <w:rsid w:val="00AF33CF"/>
    <w:rsid w:val="00AF4D50"/>
    <w:rsid w:val="00AF6179"/>
    <w:rsid w:val="00B1295A"/>
    <w:rsid w:val="00B20A45"/>
    <w:rsid w:val="00B22C5C"/>
    <w:rsid w:val="00B24F30"/>
    <w:rsid w:val="00B31ABF"/>
    <w:rsid w:val="00B33BE3"/>
    <w:rsid w:val="00B53B5D"/>
    <w:rsid w:val="00B6055E"/>
    <w:rsid w:val="00B6317D"/>
    <w:rsid w:val="00B7723F"/>
    <w:rsid w:val="00B80534"/>
    <w:rsid w:val="00B8433C"/>
    <w:rsid w:val="00B87491"/>
    <w:rsid w:val="00BA29E9"/>
    <w:rsid w:val="00BA7142"/>
    <w:rsid w:val="00BB237C"/>
    <w:rsid w:val="00BB41A3"/>
    <w:rsid w:val="00BC32DC"/>
    <w:rsid w:val="00BC35B6"/>
    <w:rsid w:val="00BD1B51"/>
    <w:rsid w:val="00BD4596"/>
    <w:rsid w:val="00BE1405"/>
    <w:rsid w:val="00BE312D"/>
    <w:rsid w:val="00BF1C20"/>
    <w:rsid w:val="00C10578"/>
    <w:rsid w:val="00C135BC"/>
    <w:rsid w:val="00C15C95"/>
    <w:rsid w:val="00C2596A"/>
    <w:rsid w:val="00C27537"/>
    <w:rsid w:val="00C328FE"/>
    <w:rsid w:val="00C33507"/>
    <w:rsid w:val="00C4409D"/>
    <w:rsid w:val="00C44E72"/>
    <w:rsid w:val="00C45A06"/>
    <w:rsid w:val="00C47E5B"/>
    <w:rsid w:val="00C61E4B"/>
    <w:rsid w:val="00C64BFF"/>
    <w:rsid w:val="00C704E9"/>
    <w:rsid w:val="00C763C9"/>
    <w:rsid w:val="00C80057"/>
    <w:rsid w:val="00C82232"/>
    <w:rsid w:val="00C82913"/>
    <w:rsid w:val="00C972B1"/>
    <w:rsid w:val="00CA2CCE"/>
    <w:rsid w:val="00CA43FD"/>
    <w:rsid w:val="00CA7EF8"/>
    <w:rsid w:val="00CC489B"/>
    <w:rsid w:val="00CD2BCD"/>
    <w:rsid w:val="00CD3A4C"/>
    <w:rsid w:val="00CE10E9"/>
    <w:rsid w:val="00CE2910"/>
    <w:rsid w:val="00CE5393"/>
    <w:rsid w:val="00CF36BE"/>
    <w:rsid w:val="00CF6000"/>
    <w:rsid w:val="00D003F3"/>
    <w:rsid w:val="00D0364F"/>
    <w:rsid w:val="00D06834"/>
    <w:rsid w:val="00D308ED"/>
    <w:rsid w:val="00D36D86"/>
    <w:rsid w:val="00D428AA"/>
    <w:rsid w:val="00D50A34"/>
    <w:rsid w:val="00D53EFA"/>
    <w:rsid w:val="00D94A7C"/>
    <w:rsid w:val="00D95896"/>
    <w:rsid w:val="00DB2983"/>
    <w:rsid w:val="00DC1257"/>
    <w:rsid w:val="00DC3DC0"/>
    <w:rsid w:val="00DC5B2B"/>
    <w:rsid w:val="00DD318D"/>
    <w:rsid w:val="00DF2E12"/>
    <w:rsid w:val="00DF514A"/>
    <w:rsid w:val="00DF6690"/>
    <w:rsid w:val="00DF6804"/>
    <w:rsid w:val="00E0358D"/>
    <w:rsid w:val="00E04323"/>
    <w:rsid w:val="00E070A2"/>
    <w:rsid w:val="00E2656A"/>
    <w:rsid w:val="00E412D0"/>
    <w:rsid w:val="00E56322"/>
    <w:rsid w:val="00E60982"/>
    <w:rsid w:val="00E62C62"/>
    <w:rsid w:val="00E654C1"/>
    <w:rsid w:val="00E65D97"/>
    <w:rsid w:val="00E72A5A"/>
    <w:rsid w:val="00E73354"/>
    <w:rsid w:val="00E80370"/>
    <w:rsid w:val="00E9242D"/>
    <w:rsid w:val="00EB5255"/>
    <w:rsid w:val="00EB5C47"/>
    <w:rsid w:val="00EC45FE"/>
    <w:rsid w:val="00ED0639"/>
    <w:rsid w:val="00EF0ABA"/>
    <w:rsid w:val="00EF4755"/>
    <w:rsid w:val="00EF7135"/>
    <w:rsid w:val="00F027DB"/>
    <w:rsid w:val="00F14A7A"/>
    <w:rsid w:val="00F22985"/>
    <w:rsid w:val="00F3383E"/>
    <w:rsid w:val="00F465A7"/>
    <w:rsid w:val="00F50B7C"/>
    <w:rsid w:val="00F52A8D"/>
    <w:rsid w:val="00F550E6"/>
    <w:rsid w:val="00F74345"/>
    <w:rsid w:val="00F80A0A"/>
    <w:rsid w:val="00F82B19"/>
    <w:rsid w:val="00F9212D"/>
    <w:rsid w:val="00F965DA"/>
    <w:rsid w:val="00FA406A"/>
    <w:rsid w:val="00FB503A"/>
    <w:rsid w:val="00FB516C"/>
    <w:rsid w:val="00FD0236"/>
    <w:rsid w:val="00FD18F4"/>
    <w:rsid w:val="00FD54DB"/>
    <w:rsid w:val="00FD619F"/>
    <w:rsid w:val="01290F7E"/>
    <w:rsid w:val="015D1E09"/>
    <w:rsid w:val="018B6B5A"/>
    <w:rsid w:val="018E1345"/>
    <w:rsid w:val="022E34A1"/>
    <w:rsid w:val="024517AB"/>
    <w:rsid w:val="026003DA"/>
    <w:rsid w:val="02697903"/>
    <w:rsid w:val="027A39E9"/>
    <w:rsid w:val="02850EE0"/>
    <w:rsid w:val="028D5633"/>
    <w:rsid w:val="02B062F5"/>
    <w:rsid w:val="02D65131"/>
    <w:rsid w:val="02DC712E"/>
    <w:rsid w:val="02E560E8"/>
    <w:rsid w:val="02F96569"/>
    <w:rsid w:val="02FE10FE"/>
    <w:rsid w:val="03433C0E"/>
    <w:rsid w:val="03476509"/>
    <w:rsid w:val="037979A5"/>
    <w:rsid w:val="03D019D1"/>
    <w:rsid w:val="03EA7B21"/>
    <w:rsid w:val="04190FA3"/>
    <w:rsid w:val="042F322F"/>
    <w:rsid w:val="043069F5"/>
    <w:rsid w:val="04623E49"/>
    <w:rsid w:val="048A4352"/>
    <w:rsid w:val="04942266"/>
    <w:rsid w:val="04F12716"/>
    <w:rsid w:val="05002F00"/>
    <w:rsid w:val="05880E9C"/>
    <w:rsid w:val="05CA535F"/>
    <w:rsid w:val="05CA5F79"/>
    <w:rsid w:val="05F83EAE"/>
    <w:rsid w:val="060E73C2"/>
    <w:rsid w:val="063E7D85"/>
    <w:rsid w:val="06460384"/>
    <w:rsid w:val="064F32D1"/>
    <w:rsid w:val="06CE5B50"/>
    <w:rsid w:val="06F06161"/>
    <w:rsid w:val="07293586"/>
    <w:rsid w:val="07295285"/>
    <w:rsid w:val="073F2A5A"/>
    <w:rsid w:val="07636392"/>
    <w:rsid w:val="07770C56"/>
    <w:rsid w:val="07B978C6"/>
    <w:rsid w:val="080F7CD7"/>
    <w:rsid w:val="08792A9F"/>
    <w:rsid w:val="08E20A59"/>
    <w:rsid w:val="08E871BC"/>
    <w:rsid w:val="08F10A5D"/>
    <w:rsid w:val="092217DD"/>
    <w:rsid w:val="092C4AE6"/>
    <w:rsid w:val="093A7294"/>
    <w:rsid w:val="094C7F9A"/>
    <w:rsid w:val="09617F1E"/>
    <w:rsid w:val="09B259BF"/>
    <w:rsid w:val="09C21F78"/>
    <w:rsid w:val="09D06F3D"/>
    <w:rsid w:val="0A043509"/>
    <w:rsid w:val="0A263993"/>
    <w:rsid w:val="0A2D3AC2"/>
    <w:rsid w:val="0A4731E9"/>
    <w:rsid w:val="0A7957B6"/>
    <w:rsid w:val="0AA755DF"/>
    <w:rsid w:val="0AAD17A1"/>
    <w:rsid w:val="0AC77248"/>
    <w:rsid w:val="0AC9517C"/>
    <w:rsid w:val="0AE14746"/>
    <w:rsid w:val="0B120D44"/>
    <w:rsid w:val="0B1A381C"/>
    <w:rsid w:val="0B275F39"/>
    <w:rsid w:val="0B51370F"/>
    <w:rsid w:val="0BD27BF6"/>
    <w:rsid w:val="0BF55CDE"/>
    <w:rsid w:val="0BF64289"/>
    <w:rsid w:val="0C0D512F"/>
    <w:rsid w:val="0C3B3C7D"/>
    <w:rsid w:val="0CAB2EAE"/>
    <w:rsid w:val="0CC25DAE"/>
    <w:rsid w:val="0D1233EE"/>
    <w:rsid w:val="0D621C7D"/>
    <w:rsid w:val="0D9A1B9C"/>
    <w:rsid w:val="0DDE3262"/>
    <w:rsid w:val="0DE7328A"/>
    <w:rsid w:val="0E05778A"/>
    <w:rsid w:val="0E0C7203"/>
    <w:rsid w:val="0E2D012F"/>
    <w:rsid w:val="0E476DB8"/>
    <w:rsid w:val="0E6833BE"/>
    <w:rsid w:val="0E73034D"/>
    <w:rsid w:val="0EAD6A25"/>
    <w:rsid w:val="0EC2696D"/>
    <w:rsid w:val="0F0E3698"/>
    <w:rsid w:val="0F13775A"/>
    <w:rsid w:val="0F5F45FE"/>
    <w:rsid w:val="0F9A112B"/>
    <w:rsid w:val="0FA276EA"/>
    <w:rsid w:val="0FD06C47"/>
    <w:rsid w:val="100F0E6E"/>
    <w:rsid w:val="105426AF"/>
    <w:rsid w:val="106D2F64"/>
    <w:rsid w:val="10B63710"/>
    <w:rsid w:val="10F10820"/>
    <w:rsid w:val="110101AA"/>
    <w:rsid w:val="110821BA"/>
    <w:rsid w:val="11163725"/>
    <w:rsid w:val="111C2F7A"/>
    <w:rsid w:val="11665CA1"/>
    <w:rsid w:val="11727CF4"/>
    <w:rsid w:val="11B45AD4"/>
    <w:rsid w:val="11CF6973"/>
    <w:rsid w:val="1232225F"/>
    <w:rsid w:val="12A92671"/>
    <w:rsid w:val="12B666BF"/>
    <w:rsid w:val="12EA5278"/>
    <w:rsid w:val="12F4681E"/>
    <w:rsid w:val="13243BC8"/>
    <w:rsid w:val="13685512"/>
    <w:rsid w:val="13745B56"/>
    <w:rsid w:val="13951726"/>
    <w:rsid w:val="13D95043"/>
    <w:rsid w:val="13F66037"/>
    <w:rsid w:val="14093B41"/>
    <w:rsid w:val="14396509"/>
    <w:rsid w:val="14934C9A"/>
    <w:rsid w:val="14AB1BE8"/>
    <w:rsid w:val="14DD2C3C"/>
    <w:rsid w:val="14DD32DF"/>
    <w:rsid w:val="157901E3"/>
    <w:rsid w:val="16087E1D"/>
    <w:rsid w:val="160F4A7D"/>
    <w:rsid w:val="16276B4B"/>
    <w:rsid w:val="1662251B"/>
    <w:rsid w:val="16655345"/>
    <w:rsid w:val="16C23AC1"/>
    <w:rsid w:val="17024578"/>
    <w:rsid w:val="17172807"/>
    <w:rsid w:val="175D6357"/>
    <w:rsid w:val="17701D14"/>
    <w:rsid w:val="17735226"/>
    <w:rsid w:val="177E0F78"/>
    <w:rsid w:val="1789459F"/>
    <w:rsid w:val="179414F6"/>
    <w:rsid w:val="17C8133A"/>
    <w:rsid w:val="180627F7"/>
    <w:rsid w:val="18171962"/>
    <w:rsid w:val="18193E9C"/>
    <w:rsid w:val="181C5410"/>
    <w:rsid w:val="184F676E"/>
    <w:rsid w:val="18622207"/>
    <w:rsid w:val="1872092B"/>
    <w:rsid w:val="188264CE"/>
    <w:rsid w:val="189F624C"/>
    <w:rsid w:val="18DF42F7"/>
    <w:rsid w:val="18F6674E"/>
    <w:rsid w:val="191617A1"/>
    <w:rsid w:val="192835A8"/>
    <w:rsid w:val="194E61D4"/>
    <w:rsid w:val="19942103"/>
    <w:rsid w:val="19951A29"/>
    <w:rsid w:val="1A1C66C0"/>
    <w:rsid w:val="1A42393B"/>
    <w:rsid w:val="1AAC6EF1"/>
    <w:rsid w:val="1AAD45DE"/>
    <w:rsid w:val="1AC000EB"/>
    <w:rsid w:val="1AEA185E"/>
    <w:rsid w:val="1B046F80"/>
    <w:rsid w:val="1B0D064A"/>
    <w:rsid w:val="1B0F0D73"/>
    <w:rsid w:val="1B3267B5"/>
    <w:rsid w:val="1B40161D"/>
    <w:rsid w:val="1B441859"/>
    <w:rsid w:val="1B6606B1"/>
    <w:rsid w:val="1B9D4F02"/>
    <w:rsid w:val="1BBF3715"/>
    <w:rsid w:val="1BF50932"/>
    <w:rsid w:val="1BFC02CB"/>
    <w:rsid w:val="1C4306F9"/>
    <w:rsid w:val="1C5E7925"/>
    <w:rsid w:val="1C826B04"/>
    <w:rsid w:val="1CA60727"/>
    <w:rsid w:val="1CFD070F"/>
    <w:rsid w:val="1CFF73DD"/>
    <w:rsid w:val="1D017B98"/>
    <w:rsid w:val="1D375371"/>
    <w:rsid w:val="1D456911"/>
    <w:rsid w:val="1D5F6196"/>
    <w:rsid w:val="1D6132A5"/>
    <w:rsid w:val="1D631DC4"/>
    <w:rsid w:val="1D6373A3"/>
    <w:rsid w:val="1D8E56D5"/>
    <w:rsid w:val="1DE1403B"/>
    <w:rsid w:val="1E002F9F"/>
    <w:rsid w:val="1E0C505B"/>
    <w:rsid w:val="1E161118"/>
    <w:rsid w:val="1E7A43DA"/>
    <w:rsid w:val="1E831280"/>
    <w:rsid w:val="1E9D4C41"/>
    <w:rsid w:val="1EA94A44"/>
    <w:rsid w:val="1EF46A97"/>
    <w:rsid w:val="1F174230"/>
    <w:rsid w:val="1F19218E"/>
    <w:rsid w:val="1F21688F"/>
    <w:rsid w:val="1F374755"/>
    <w:rsid w:val="1FB6745F"/>
    <w:rsid w:val="1FC05CB0"/>
    <w:rsid w:val="1FD55089"/>
    <w:rsid w:val="1FE3223E"/>
    <w:rsid w:val="1FE7539E"/>
    <w:rsid w:val="1FFB1C92"/>
    <w:rsid w:val="20671BE0"/>
    <w:rsid w:val="20795A12"/>
    <w:rsid w:val="20952B98"/>
    <w:rsid w:val="20963CB8"/>
    <w:rsid w:val="209D7BA9"/>
    <w:rsid w:val="20A81A1B"/>
    <w:rsid w:val="20B07FB6"/>
    <w:rsid w:val="20B646FB"/>
    <w:rsid w:val="20E25582"/>
    <w:rsid w:val="20E67B53"/>
    <w:rsid w:val="20F91CBE"/>
    <w:rsid w:val="211A2915"/>
    <w:rsid w:val="213B74B1"/>
    <w:rsid w:val="215A2310"/>
    <w:rsid w:val="21A42E26"/>
    <w:rsid w:val="21DE318A"/>
    <w:rsid w:val="21EF5B80"/>
    <w:rsid w:val="221A1EFC"/>
    <w:rsid w:val="221A34EF"/>
    <w:rsid w:val="22394195"/>
    <w:rsid w:val="224641A8"/>
    <w:rsid w:val="22576990"/>
    <w:rsid w:val="22776FAD"/>
    <w:rsid w:val="22CA32CD"/>
    <w:rsid w:val="22CC0FA4"/>
    <w:rsid w:val="22F47480"/>
    <w:rsid w:val="23322CB6"/>
    <w:rsid w:val="23541AD5"/>
    <w:rsid w:val="23B255AD"/>
    <w:rsid w:val="23DE1C48"/>
    <w:rsid w:val="23F44014"/>
    <w:rsid w:val="24001204"/>
    <w:rsid w:val="240210CD"/>
    <w:rsid w:val="241225EC"/>
    <w:rsid w:val="243B41E5"/>
    <w:rsid w:val="248A215A"/>
    <w:rsid w:val="249B3796"/>
    <w:rsid w:val="24A70722"/>
    <w:rsid w:val="24AF6052"/>
    <w:rsid w:val="24BF09F7"/>
    <w:rsid w:val="24CE77F6"/>
    <w:rsid w:val="24FE78B3"/>
    <w:rsid w:val="25006589"/>
    <w:rsid w:val="25023A4D"/>
    <w:rsid w:val="251E2DD3"/>
    <w:rsid w:val="252D53FE"/>
    <w:rsid w:val="253865E7"/>
    <w:rsid w:val="2545141C"/>
    <w:rsid w:val="2590795A"/>
    <w:rsid w:val="25A501C8"/>
    <w:rsid w:val="25B14086"/>
    <w:rsid w:val="25B2536D"/>
    <w:rsid w:val="25E050A0"/>
    <w:rsid w:val="25EC2D81"/>
    <w:rsid w:val="26186663"/>
    <w:rsid w:val="2665770B"/>
    <w:rsid w:val="26A53DFB"/>
    <w:rsid w:val="26B15D75"/>
    <w:rsid w:val="26C03072"/>
    <w:rsid w:val="26C31F7E"/>
    <w:rsid w:val="26CC62A8"/>
    <w:rsid w:val="270F5DA7"/>
    <w:rsid w:val="273078AC"/>
    <w:rsid w:val="27581117"/>
    <w:rsid w:val="27684AC3"/>
    <w:rsid w:val="277057A2"/>
    <w:rsid w:val="277C136A"/>
    <w:rsid w:val="27C135EA"/>
    <w:rsid w:val="27CA7FB9"/>
    <w:rsid w:val="27FF436B"/>
    <w:rsid w:val="284E4AF5"/>
    <w:rsid w:val="28687F94"/>
    <w:rsid w:val="28E814BA"/>
    <w:rsid w:val="29206EB8"/>
    <w:rsid w:val="29315388"/>
    <w:rsid w:val="29595666"/>
    <w:rsid w:val="29721E2A"/>
    <w:rsid w:val="29874881"/>
    <w:rsid w:val="2996455E"/>
    <w:rsid w:val="29CF5E35"/>
    <w:rsid w:val="29E325E0"/>
    <w:rsid w:val="29E55C87"/>
    <w:rsid w:val="29EB3089"/>
    <w:rsid w:val="29F23B7C"/>
    <w:rsid w:val="2A452503"/>
    <w:rsid w:val="2A4D2065"/>
    <w:rsid w:val="2A7F04E8"/>
    <w:rsid w:val="2A807095"/>
    <w:rsid w:val="2AAE57D3"/>
    <w:rsid w:val="2AD6570A"/>
    <w:rsid w:val="2B22285B"/>
    <w:rsid w:val="2B4C6988"/>
    <w:rsid w:val="2B81772B"/>
    <w:rsid w:val="2B904020"/>
    <w:rsid w:val="2BA936A8"/>
    <w:rsid w:val="2BD33ACD"/>
    <w:rsid w:val="2BD466F6"/>
    <w:rsid w:val="2BDE685D"/>
    <w:rsid w:val="2C052D78"/>
    <w:rsid w:val="2C177833"/>
    <w:rsid w:val="2C19559B"/>
    <w:rsid w:val="2C315A5A"/>
    <w:rsid w:val="2C471FB8"/>
    <w:rsid w:val="2C4B1C25"/>
    <w:rsid w:val="2CA103C9"/>
    <w:rsid w:val="2CB01DDA"/>
    <w:rsid w:val="2CB63E16"/>
    <w:rsid w:val="2D210494"/>
    <w:rsid w:val="2D32459D"/>
    <w:rsid w:val="2D7B233A"/>
    <w:rsid w:val="2D9E12AC"/>
    <w:rsid w:val="2D9E56F5"/>
    <w:rsid w:val="2DAA380A"/>
    <w:rsid w:val="2DC06617"/>
    <w:rsid w:val="2DDF6195"/>
    <w:rsid w:val="2DFB0E33"/>
    <w:rsid w:val="2DFF1675"/>
    <w:rsid w:val="2E0467B6"/>
    <w:rsid w:val="2E572A9F"/>
    <w:rsid w:val="2E667F96"/>
    <w:rsid w:val="2E692E9E"/>
    <w:rsid w:val="2E8226AB"/>
    <w:rsid w:val="2E9F56C2"/>
    <w:rsid w:val="2EF53AD4"/>
    <w:rsid w:val="2F71275A"/>
    <w:rsid w:val="2F7D4E6C"/>
    <w:rsid w:val="2FA63021"/>
    <w:rsid w:val="2FC211B6"/>
    <w:rsid w:val="2FD065E6"/>
    <w:rsid w:val="2FD821CB"/>
    <w:rsid w:val="2FD96870"/>
    <w:rsid w:val="2FE90DAD"/>
    <w:rsid w:val="2FFE336F"/>
    <w:rsid w:val="302F015C"/>
    <w:rsid w:val="30394509"/>
    <w:rsid w:val="30580BC9"/>
    <w:rsid w:val="30707F7D"/>
    <w:rsid w:val="308915D5"/>
    <w:rsid w:val="311E2ED7"/>
    <w:rsid w:val="31336B36"/>
    <w:rsid w:val="315619EE"/>
    <w:rsid w:val="315C449C"/>
    <w:rsid w:val="3173014C"/>
    <w:rsid w:val="317566D5"/>
    <w:rsid w:val="319A64A1"/>
    <w:rsid w:val="31A33CBC"/>
    <w:rsid w:val="31B82709"/>
    <w:rsid w:val="31B9286A"/>
    <w:rsid w:val="31D05482"/>
    <w:rsid w:val="32400B34"/>
    <w:rsid w:val="32940096"/>
    <w:rsid w:val="329E6876"/>
    <w:rsid w:val="32C7162C"/>
    <w:rsid w:val="32D33A59"/>
    <w:rsid w:val="330D379A"/>
    <w:rsid w:val="333015F2"/>
    <w:rsid w:val="334B6320"/>
    <w:rsid w:val="339051EB"/>
    <w:rsid w:val="33A34031"/>
    <w:rsid w:val="33BC03C9"/>
    <w:rsid w:val="33D934D4"/>
    <w:rsid w:val="33DC5263"/>
    <w:rsid w:val="33F86541"/>
    <w:rsid w:val="33FE2F6A"/>
    <w:rsid w:val="340B6E6A"/>
    <w:rsid w:val="340E07E5"/>
    <w:rsid w:val="34235BF7"/>
    <w:rsid w:val="343A64E7"/>
    <w:rsid w:val="34621ED4"/>
    <w:rsid w:val="347B20D3"/>
    <w:rsid w:val="35233E15"/>
    <w:rsid w:val="35397AC4"/>
    <w:rsid w:val="3562510D"/>
    <w:rsid w:val="35696DC9"/>
    <w:rsid w:val="358C5FA8"/>
    <w:rsid w:val="359A6E05"/>
    <w:rsid w:val="35A0005C"/>
    <w:rsid w:val="35A01BFB"/>
    <w:rsid w:val="35AB00FB"/>
    <w:rsid w:val="35C115DE"/>
    <w:rsid w:val="35C15DF1"/>
    <w:rsid w:val="35C16E06"/>
    <w:rsid w:val="35F23199"/>
    <w:rsid w:val="36074A7F"/>
    <w:rsid w:val="36522556"/>
    <w:rsid w:val="365753D7"/>
    <w:rsid w:val="366A2FFA"/>
    <w:rsid w:val="36923549"/>
    <w:rsid w:val="36B75FBF"/>
    <w:rsid w:val="36BD0C45"/>
    <w:rsid w:val="37047F11"/>
    <w:rsid w:val="370575D4"/>
    <w:rsid w:val="376420CD"/>
    <w:rsid w:val="37A7483B"/>
    <w:rsid w:val="37AB37BE"/>
    <w:rsid w:val="37AE2C57"/>
    <w:rsid w:val="37C95EA2"/>
    <w:rsid w:val="37E00298"/>
    <w:rsid w:val="37EB0D67"/>
    <w:rsid w:val="38103AA5"/>
    <w:rsid w:val="38165CB4"/>
    <w:rsid w:val="383640CC"/>
    <w:rsid w:val="38982B5C"/>
    <w:rsid w:val="38B302F9"/>
    <w:rsid w:val="38C82364"/>
    <w:rsid w:val="38F12CD3"/>
    <w:rsid w:val="38F94775"/>
    <w:rsid w:val="3923682E"/>
    <w:rsid w:val="392971ED"/>
    <w:rsid w:val="39325651"/>
    <w:rsid w:val="39347476"/>
    <w:rsid w:val="39490CF6"/>
    <w:rsid w:val="39717A37"/>
    <w:rsid w:val="39A31E5C"/>
    <w:rsid w:val="39BC25C3"/>
    <w:rsid w:val="39D23390"/>
    <w:rsid w:val="39D37108"/>
    <w:rsid w:val="3A4A6C13"/>
    <w:rsid w:val="3A681BB7"/>
    <w:rsid w:val="3A872856"/>
    <w:rsid w:val="3AAA4561"/>
    <w:rsid w:val="3ACF14CB"/>
    <w:rsid w:val="3AF00703"/>
    <w:rsid w:val="3AFE4A11"/>
    <w:rsid w:val="3B3763D1"/>
    <w:rsid w:val="3B8B1A48"/>
    <w:rsid w:val="3BCD70E6"/>
    <w:rsid w:val="3BD82787"/>
    <w:rsid w:val="3BEC1F49"/>
    <w:rsid w:val="3C122111"/>
    <w:rsid w:val="3C1D38D6"/>
    <w:rsid w:val="3C2F6E1E"/>
    <w:rsid w:val="3C4F64BA"/>
    <w:rsid w:val="3C7F3488"/>
    <w:rsid w:val="3CDA245A"/>
    <w:rsid w:val="3D153D82"/>
    <w:rsid w:val="3D1E06B7"/>
    <w:rsid w:val="3D360494"/>
    <w:rsid w:val="3D480248"/>
    <w:rsid w:val="3D8646E6"/>
    <w:rsid w:val="3DAD7EC0"/>
    <w:rsid w:val="3E300685"/>
    <w:rsid w:val="3E8C5B65"/>
    <w:rsid w:val="3EB96908"/>
    <w:rsid w:val="3EBC3941"/>
    <w:rsid w:val="3EDA0523"/>
    <w:rsid w:val="3F036C09"/>
    <w:rsid w:val="3F624008"/>
    <w:rsid w:val="3FAA1896"/>
    <w:rsid w:val="3FB04C8F"/>
    <w:rsid w:val="3FB80293"/>
    <w:rsid w:val="403A2F6F"/>
    <w:rsid w:val="40695A19"/>
    <w:rsid w:val="407A6407"/>
    <w:rsid w:val="407F76A2"/>
    <w:rsid w:val="40FA3A58"/>
    <w:rsid w:val="412B353A"/>
    <w:rsid w:val="414739FA"/>
    <w:rsid w:val="414C6108"/>
    <w:rsid w:val="415032CB"/>
    <w:rsid w:val="41D7462E"/>
    <w:rsid w:val="41D862D9"/>
    <w:rsid w:val="41DD28D2"/>
    <w:rsid w:val="4200449D"/>
    <w:rsid w:val="423A3BCC"/>
    <w:rsid w:val="424E57D2"/>
    <w:rsid w:val="42B26C49"/>
    <w:rsid w:val="433A6FE6"/>
    <w:rsid w:val="43480868"/>
    <w:rsid w:val="4350713C"/>
    <w:rsid w:val="436653E0"/>
    <w:rsid w:val="436B215F"/>
    <w:rsid w:val="4378306E"/>
    <w:rsid w:val="43795209"/>
    <w:rsid w:val="439F5266"/>
    <w:rsid w:val="43C4431A"/>
    <w:rsid w:val="443B46B5"/>
    <w:rsid w:val="4449077D"/>
    <w:rsid w:val="44B951CC"/>
    <w:rsid w:val="44CD14E0"/>
    <w:rsid w:val="44F20B0B"/>
    <w:rsid w:val="452E5F4C"/>
    <w:rsid w:val="45336CAD"/>
    <w:rsid w:val="453C1D92"/>
    <w:rsid w:val="45612018"/>
    <w:rsid w:val="458946E9"/>
    <w:rsid w:val="45A47C0E"/>
    <w:rsid w:val="45DD15EC"/>
    <w:rsid w:val="45E561F9"/>
    <w:rsid w:val="45FC3EB0"/>
    <w:rsid w:val="46577FD6"/>
    <w:rsid w:val="46887ABE"/>
    <w:rsid w:val="46A6149A"/>
    <w:rsid w:val="46D955A7"/>
    <w:rsid w:val="470A4A0D"/>
    <w:rsid w:val="47133957"/>
    <w:rsid w:val="47134B08"/>
    <w:rsid w:val="47160DC2"/>
    <w:rsid w:val="471E2A39"/>
    <w:rsid w:val="47A07E0C"/>
    <w:rsid w:val="47E606E6"/>
    <w:rsid w:val="484F58C5"/>
    <w:rsid w:val="4857037A"/>
    <w:rsid w:val="486F624E"/>
    <w:rsid w:val="4870272E"/>
    <w:rsid w:val="48E91978"/>
    <w:rsid w:val="49525622"/>
    <w:rsid w:val="49AC615F"/>
    <w:rsid w:val="49DC7715"/>
    <w:rsid w:val="4A023139"/>
    <w:rsid w:val="4A117085"/>
    <w:rsid w:val="4A7B576F"/>
    <w:rsid w:val="4AF561A9"/>
    <w:rsid w:val="4AFB201B"/>
    <w:rsid w:val="4B0165FD"/>
    <w:rsid w:val="4B0E1D4E"/>
    <w:rsid w:val="4B62209A"/>
    <w:rsid w:val="4B820A52"/>
    <w:rsid w:val="4B82554B"/>
    <w:rsid w:val="4B892293"/>
    <w:rsid w:val="4C160EDC"/>
    <w:rsid w:val="4C4A0649"/>
    <w:rsid w:val="4C7E5ECA"/>
    <w:rsid w:val="4C876AA5"/>
    <w:rsid w:val="4CC20EB6"/>
    <w:rsid w:val="4D0E00FB"/>
    <w:rsid w:val="4D176606"/>
    <w:rsid w:val="4D4C737B"/>
    <w:rsid w:val="4D726111"/>
    <w:rsid w:val="4D903D47"/>
    <w:rsid w:val="4DC30562"/>
    <w:rsid w:val="4DD46E77"/>
    <w:rsid w:val="4DD546C4"/>
    <w:rsid w:val="4DEC4FB0"/>
    <w:rsid w:val="4E075D8A"/>
    <w:rsid w:val="4E08003A"/>
    <w:rsid w:val="4E120760"/>
    <w:rsid w:val="4E7A30CA"/>
    <w:rsid w:val="4EB31970"/>
    <w:rsid w:val="4EC00FAD"/>
    <w:rsid w:val="4F11005F"/>
    <w:rsid w:val="4F3212D0"/>
    <w:rsid w:val="4F41551B"/>
    <w:rsid w:val="4F617481"/>
    <w:rsid w:val="4F855139"/>
    <w:rsid w:val="4F9843DC"/>
    <w:rsid w:val="4FC62A8C"/>
    <w:rsid w:val="4FE20F0D"/>
    <w:rsid w:val="4FE51552"/>
    <w:rsid w:val="4FF05F2B"/>
    <w:rsid w:val="4FF84D7B"/>
    <w:rsid w:val="50461F8A"/>
    <w:rsid w:val="50504C4B"/>
    <w:rsid w:val="509C6E7C"/>
    <w:rsid w:val="50B238CF"/>
    <w:rsid w:val="50C335DB"/>
    <w:rsid w:val="51210C52"/>
    <w:rsid w:val="512F7E82"/>
    <w:rsid w:val="5162104E"/>
    <w:rsid w:val="52475DCE"/>
    <w:rsid w:val="5299608A"/>
    <w:rsid w:val="529C5792"/>
    <w:rsid w:val="52B90E12"/>
    <w:rsid w:val="52FA5C12"/>
    <w:rsid w:val="531245E1"/>
    <w:rsid w:val="53247C8E"/>
    <w:rsid w:val="532F676C"/>
    <w:rsid w:val="533D7674"/>
    <w:rsid w:val="535A76F8"/>
    <w:rsid w:val="536D1F7D"/>
    <w:rsid w:val="538326D2"/>
    <w:rsid w:val="53A039CC"/>
    <w:rsid w:val="53A1505A"/>
    <w:rsid w:val="53AE7F77"/>
    <w:rsid w:val="53E122EB"/>
    <w:rsid w:val="54063E08"/>
    <w:rsid w:val="543437E8"/>
    <w:rsid w:val="549D2BCB"/>
    <w:rsid w:val="54C72A8B"/>
    <w:rsid w:val="54F73313"/>
    <w:rsid w:val="54F80955"/>
    <w:rsid w:val="54FF19EA"/>
    <w:rsid w:val="55096666"/>
    <w:rsid w:val="555170A7"/>
    <w:rsid w:val="5587536D"/>
    <w:rsid w:val="559B174B"/>
    <w:rsid w:val="55A27C63"/>
    <w:rsid w:val="55CE0CF4"/>
    <w:rsid w:val="55E16896"/>
    <w:rsid w:val="55F6323C"/>
    <w:rsid w:val="56A30689"/>
    <w:rsid w:val="56B22A9C"/>
    <w:rsid w:val="57B72A76"/>
    <w:rsid w:val="57C3426C"/>
    <w:rsid w:val="57CE1F93"/>
    <w:rsid w:val="57DC3AC7"/>
    <w:rsid w:val="581A1E84"/>
    <w:rsid w:val="582227B7"/>
    <w:rsid w:val="58310609"/>
    <w:rsid w:val="584B4F4E"/>
    <w:rsid w:val="588743D1"/>
    <w:rsid w:val="5887701A"/>
    <w:rsid w:val="58BB27BF"/>
    <w:rsid w:val="5906376C"/>
    <w:rsid w:val="59B63CDD"/>
    <w:rsid w:val="59C0439F"/>
    <w:rsid w:val="59FE5684"/>
    <w:rsid w:val="5A2436C1"/>
    <w:rsid w:val="5A3572F7"/>
    <w:rsid w:val="5A3B267E"/>
    <w:rsid w:val="5A3B7F97"/>
    <w:rsid w:val="5A5D2D72"/>
    <w:rsid w:val="5A851901"/>
    <w:rsid w:val="5A86627A"/>
    <w:rsid w:val="5A9B3EF1"/>
    <w:rsid w:val="5ABE2233"/>
    <w:rsid w:val="5ACD2891"/>
    <w:rsid w:val="5AEC2ADD"/>
    <w:rsid w:val="5B2A6EA5"/>
    <w:rsid w:val="5B8B7594"/>
    <w:rsid w:val="5B8C10A1"/>
    <w:rsid w:val="5BCA5A08"/>
    <w:rsid w:val="5BCC45D6"/>
    <w:rsid w:val="5BDF5D95"/>
    <w:rsid w:val="5BFE7528"/>
    <w:rsid w:val="5C6A01AA"/>
    <w:rsid w:val="5CA63F58"/>
    <w:rsid w:val="5CD97FA9"/>
    <w:rsid w:val="5DEB1FB2"/>
    <w:rsid w:val="5E2467F1"/>
    <w:rsid w:val="5E2742C2"/>
    <w:rsid w:val="5EE70385"/>
    <w:rsid w:val="5EEB051E"/>
    <w:rsid w:val="5EEC6109"/>
    <w:rsid w:val="5EED5613"/>
    <w:rsid w:val="5F1A2B43"/>
    <w:rsid w:val="5F6C0C6F"/>
    <w:rsid w:val="5F80406C"/>
    <w:rsid w:val="5F8861AD"/>
    <w:rsid w:val="5FB837BB"/>
    <w:rsid w:val="604A7B82"/>
    <w:rsid w:val="6063022F"/>
    <w:rsid w:val="60AF0A89"/>
    <w:rsid w:val="60CC405A"/>
    <w:rsid w:val="60D4479C"/>
    <w:rsid w:val="610842D9"/>
    <w:rsid w:val="610B0627"/>
    <w:rsid w:val="61503E04"/>
    <w:rsid w:val="616F33E5"/>
    <w:rsid w:val="61770239"/>
    <w:rsid w:val="617E7453"/>
    <w:rsid w:val="6185223C"/>
    <w:rsid w:val="61B602D9"/>
    <w:rsid w:val="61BC3ACF"/>
    <w:rsid w:val="61D82C21"/>
    <w:rsid w:val="61D86329"/>
    <w:rsid w:val="61E215D8"/>
    <w:rsid w:val="61F70034"/>
    <w:rsid w:val="61FF67AB"/>
    <w:rsid w:val="621B3775"/>
    <w:rsid w:val="62364782"/>
    <w:rsid w:val="6261011D"/>
    <w:rsid w:val="62744735"/>
    <w:rsid w:val="62A7205F"/>
    <w:rsid w:val="62EB1E2D"/>
    <w:rsid w:val="62F10C48"/>
    <w:rsid w:val="62F31A28"/>
    <w:rsid w:val="63535EDF"/>
    <w:rsid w:val="635822A8"/>
    <w:rsid w:val="637F2305"/>
    <w:rsid w:val="6394356A"/>
    <w:rsid w:val="63B125B7"/>
    <w:rsid w:val="63B9599D"/>
    <w:rsid w:val="63C61B2C"/>
    <w:rsid w:val="63D40BE9"/>
    <w:rsid w:val="64102431"/>
    <w:rsid w:val="648C59D3"/>
    <w:rsid w:val="649015CE"/>
    <w:rsid w:val="64A5243A"/>
    <w:rsid w:val="64F531DE"/>
    <w:rsid w:val="64F634F0"/>
    <w:rsid w:val="65373578"/>
    <w:rsid w:val="65D72D3C"/>
    <w:rsid w:val="65E551EC"/>
    <w:rsid w:val="66B65F02"/>
    <w:rsid w:val="66C46239"/>
    <w:rsid w:val="66DC298B"/>
    <w:rsid w:val="66F772A3"/>
    <w:rsid w:val="66FF79C5"/>
    <w:rsid w:val="6701647A"/>
    <w:rsid w:val="67025BF3"/>
    <w:rsid w:val="670629D4"/>
    <w:rsid w:val="670D3E83"/>
    <w:rsid w:val="67117FE8"/>
    <w:rsid w:val="671F124A"/>
    <w:rsid w:val="672145C7"/>
    <w:rsid w:val="677A33C6"/>
    <w:rsid w:val="6780592A"/>
    <w:rsid w:val="67955F52"/>
    <w:rsid w:val="67A969DF"/>
    <w:rsid w:val="67D53355"/>
    <w:rsid w:val="681F6961"/>
    <w:rsid w:val="68610A2F"/>
    <w:rsid w:val="68770898"/>
    <w:rsid w:val="68805514"/>
    <w:rsid w:val="68B67521"/>
    <w:rsid w:val="68C7156A"/>
    <w:rsid w:val="68FA776B"/>
    <w:rsid w:val="69112CDD"/>
    <w:rsid w:val="69185AFF"/>
    <w:rsid w:val="69316E2F"/>
    <w:rsid w:val="694E2071"/>
    <w:rsid w:val="69766163"/>
    <w:rsid w:val="697A3B33"/>
    <w:rsid w:val="69D44760"/>
    <w:rsid w:val="69DF0B24"/>
    <w:rsid w:val="69FF6FDA"/>
    <w:rsid w:val="6A520EC7"/>
    <w:rsid w:val="6A5F5CCB"/>
    <w:rsid w:val="6AA9096B"/>
    <w:rsid w:val="6AAA23D2"/>
    <w:rsid w:val="6AF87E20"/>
    <w:rsid w:val="6B322639"/>
    <w:rsid w:val="6BDA65C1"/>
    <w:rsid w:val="6C0921CA"/>
    <w:rsid w:val="6C214742"/>
    <w:rsid w:val="6C4026DB"/>
    <w:rsid w:val="6C537FCE"/>
    <w:rsid w:val="6C5C7299"/>
    <w:rsid w:val="6C636C38"/>
    <w:rsid w:val="6C6A0E2B"/>
    <w:rsid w:val="6C7373D1"/>
    <w:rsid w:val="6CCD1791"/>
    <w:rsid w:val="6CCF0C77"/>
    <w:rsid w:val="6D200B41"/>
    <w:rsid w:val="6D36630D"/>
    <w:rsid w:val="6D3D70BD"/>
    <w:rsid w:val="6DB34098"/>
    <w:rsid w:val="6DB545B6"/>
    <w:rsid w:val="6DE02FB4"/>
    <w:rsid w:val="6E0F54AD"/>
    <w:rsid w:val="6E3F0BFE"/>
    <w:rsid w:val="6E514CED"/>
    <w:rsid w:val="6E8B533F"/>
    <w:rsid w:val="6EB563D5"/>
    <w:rsid w:val="6ED92677"/>
    <w:rsid w:val="6F225983"/>
    <w:rsid w:val="6FD45B34"/>
    <w:rsid w:val="6FFC5590"/>
    <w:rsid w:val="701337DF"/>
    <w:rsid w:val="704C6F88"/>
    <w:rsid w:val="70600B7D"/>
    <w:rsid w:val="706D1DD0"/>
    <w:rsid w:val="707C6F89"/>
    <w:rsid w:val="70856B87"/>
    <w:rsid w:val="70B0318C"/>
    <w:rsid w:val="70D527EE"/>
    <w:rsid w:val="70ED4FA6"/>
    <w:rsid w:val="714B2AB1"/>
    <w:rsid w:val="715B5300"/>
    <w:rsid w:val="71760FA2"/>
    <w:rsid w:val="718F6E95"/>
    <w:rsid w:val="71CA22C6"/>
    <w:rsid w:val="71D27F8A"/>
    <w:rsid w:val="71EF5B86"/>
    <w:rsid w:val="72387A35"/>
    <w:rsid w:val="724C7CCC"/>
    <w:rsid w:val="72553024"/>
    <w:rsid w:val="725F2E34"/>
    <w:rsid w:val="72723FF6"/>
    <w:rsid w:val="728E799F"/>
    <w:rsid w:val="73101553"/>
    <w:rsid w:val="73122968"/>
    <w:rsid w:val="731F5D5E"/>
    <w:rsid w:val="73C51AD5"/>
    <w:rsid w:val="73D12E8D"/>
    <w:rsid w:val="74053265"/>
    <w:rsid w:val="74066C94"/>
    <w:rsid w:val="74107CD7"/>
    <w:rsid w:val="741E793C"/>
    <w:rsid w:val="745E3944"/>
    <w:rsid w:val="74793932"/>
    <w:rsid w:val="74A70C62"/>
    <w:rsid w:val="74AB1D02"/>
    <w:rsid w:val="752D59C3"/>
    <w:rsid w:val="75511479"/>
    <w:rsid w:val="75A15A44"/>
    <w:rsid w:val="75DB79DA"/>
    <w:rsid w:val="75E41B78"/>
    <w:rsid w:val="7635099D"/>
    <w:rsid w:val="76AC4B43"/>
    <w:rsid w:val="76C2728C"/>
    <w:rsid w:val="77762421"/>
    <w:rsid w:val="777A072E"/>
    <w:rsid w:val="779750F8"/>
    <w:rsid w:val="779C1629"/>
    <w:rsid w:val="77B56B1F"/>
    <w:rsid w:val="77CA76C1"/>
    <w:rsid w:val="77DD3684"/>
    <w:rsid w:val="780F09F4"/>
    <w:rsid w:val="785F0372"/>
    <w:rsid w:val="78A72C02"/>
    <w:rsid w:val="78A90480"/>
    <w:rsid w:val="78BE6E35"/>
    <w:rsid w:val="7914430C"/>
    <w:rsid w:val="791A58A1"/>
    <w:rsid w:val="79317455"/>
    <w:rsid w:val="79393321"/>
    <w:rsid w:val="796E1A86"/>
    <w:rsid w:val="798355F5"/>
    <w:rsid w:val="79A432E5"/>
    <w:rsid w:val="79C662E3"/>
    <w:rsid w:val="79E737F1"/>
    <w:rsid w:val="7A140978"/>
    <w:rsid w:val="7A364017"/>
    <w:rsid w:val="7A8265E1"/>
    <w:rsid w:val="7B244C08"/>
    <w:rsid w:val="7B686D42"/>
    <w:rsid w:val="7B7269DF"/>
    <w:rsid w:val="7B7A11BD"/>
    <w:rsid w:val="7B841746"/>
    <w:rsid w:val="7B87450C"/>
    <w:rsid w:val="7B941240"/>
    <w:rsid w:val="7C6C5AC7"/>
    <w:rsid w:val="7CC144BF"/>
    <w:rsid w:val="7CC6544B"/>
    <w:rsid w:val="7D0239FF"/>
    <w:rsid w:val="7D1961AD"/>
    <w:rsid w:val="7D2F06D5"/>
    <w:rsid w:val="7D37572F"/>
    <w:rsid w:val="7D5E40CD"/>
    <w:rsid w:val="7D6C1850"/>
    <w:rsid w:val="7D807FDA"/>
    <w:rsid w:val="7D9F519D"/>
    <w:rsid w:val="7DA50C54"/>
    <w:rsid w:val="7DAB097F"/>
    <w:rsid w:val="7DCD56F2"/>
    <w:rsid w:val="7E044DD2"/>
    <w:rsid w:val="7E3F16D0"/>
    <w:rsid w:val="7E4F39A6"/>
    <w:rsid w:val="7E7A10E7"/>
    <w:rsid w:val="7EBE2092"/>
    <w:rsid w:val="7F001CE7"/>
    <w:rsid w:val="7F0E2669"/>
    <w:rsid w:val="7F651749"/>
    <w:rsid w:val="7F927535"/>
    <w:rsid w:val="7FA40547"/>
    <w:rsid w:val="7FAE3261"/>
    <w:rsid w:val="7FB12793"/>
    <w:rsid w:val="7FB664C2"/>
    <w:rsid w:val="7FD22A0A"/>
    <w:rsid w:val="7FE47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semiHidden="0" w:name="heading 2" w:locked="1"/>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unhideWhenUsed="0" w:uiPriority="0" w:semiHidden="0" w:name="toc 1" w:locked="1"/>
    <w:lsdException w:unhideWhenUsed="0" w:uiPriority="0" w:semiHidden="0" w:name="toc 2" w:locked="1"/>
    <w:lsdException w:qFormat="1"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qFormat="1"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iPriority="0" w:semiHidden="0" w:name="caption" w:locked="1"/>
    <w:lsdException w:qFormat="1"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qFormat="1"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ocked="1"/>
    <w:lsdException w:unhideWhenUsed="0" w:uiPriority="0" w:semiHidden="0" w:name="Note Heading" w:locked="1"/>
    <w:lsdException w:qFormat="1" w:unhideWhenUsed="0" w:uiPriority="0" w:semiHidden="0" w:name="Body Text 2" w:locked="1"/>
    <w:lsdException w:unhideWhenUsed="0" w:uiPriority="0" w:semiHidden="0" w:name="Body Text 3" w:locked="1"/>
    <w:lsdException w:qFormat="1" w:unhideWhenUsed="0" w:uiPriority="0" w:semiHidden="0" w:name="Body Text Indent 2" w:locked="1"/>
    <w:lsdException w:unhideWhenUsed="0" w:uiPriority="0" w:semiHidden="0" w:name="Body Text Indent 3" w:locked="1"/>
    <w:lsdException w:qFormat="1" w:unhideWhenUsed="0" w:uiPriority="0" w:semiHidden="0" w:name="Block Text" w:locked="1"/>
    <w:lsdException w:qFormat="1" w:unhideWhenUsed="0" w:uiPriority="0" w:semiHidden="0" w:name="Hyperlink" w:locked="1"/>
    <w:lsdException w:qFormat="1"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qFormat="1"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iPriority="99" w:name="Normal Table"/>
    <w:lsdException w:qFormat="1" w:unhideWhenUsed="0" w:uiPriority="0"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0" w:name="Balloon Text"/>
    <w:lsdException w:qFormat="1" w:unhideWhenUsed="0" w:uiPriority="0"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720"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3">
    <w:name w:val="heading 2"/>
    <w:basedOn w:val="1"/>
    <w:next w:val="1"/>
    <w:unhideWhenUsed/>
    <w:qFormat/>
    <w:locked/>
    <w:uiPriority w:val="0"/>
    <w:pPr>
      <w:spacing w:before="100" w:beforeAutospacing="1" w:after="100" w:afterAutospacing="1"/>
      <w:jc w:val="left"/>
      <w:outlineLvl w:val="1"/>
    </w:pPr>
    <w:rPr>
      <w:rFonts w:hint="eastAsia" w:ascii="宋体" w:hAnsi="宋体"/>
      <w:b/>
      <w:bCs/>
      <w:kern w:val="0"/>
      <w:sz w:val="36"/>
      <w:szCs w:val="36"/>
    </w:rPr>
  </w:style>
  <w:style w:type="paragraph" w:styleId="4">
    <w:name w:val="heading 3"/>
    <w:basedOn w:val="1"/>
    <w:next w:val="1"/>
    <w:unhideWhenUsed/>
    <w:qFormat/>
    <w:locked/>
    <w:uiPriority w:val="0"/>
    <w:pPr>
      <w:spacing w:beforeAutospacing="1" w:afterAutospacing="1"/>
      <w:jc w:val="left"/>
      <w:outlineLvl w:val="2"/>
    </w:pPr>
    <w:rPr>
      <w:rFonts w:hint="eastAsia" w:ascii="宋体" w:hAnsi="宋体"/>
      <w:b/>
      <w:kern w:val="0"/>
      <w:sz w:val="27"/>
      <w:szCs w:val="27"/>
    </w:rPr>
  </w:style>
  <w:style w:type="paragraph" w:styleId="5">
    <w:name w:val="heading 4"/>
    <w:basedOn w:val="1"/>
    <w:next w:val="1"/>
    <w:semiHidden/>
    <w:unhideWhenUsed/>
    <w:qFormat/>
    <w:locked/>
    <w:uiPriority w:val="0"/>
    <w:pPr>
      <w:spacing w:beforeAutospacing="1" w:afterAutospacing="1"/>
      <w:jc w:val="left"/>
      <w:outlineLvl w:val="3"/>
    </w:pPr>
    <w:rPr>
      <w:rFonts w:hint="eastAsia" w:ascii="宋体" w:hAnsi="宋体"/>
      <w:b/>
      <w:kern w:val="0"/>
    </w:rPr>
  </w:style>
  <w:style w:type="character" w:default="1" w:styleId="29">
    <w:name w:val="Default Paragraph Font"/>
    <w:semiHidden/>
    <w:unhideWhenUsed/>
    <w:uiPriority w:val="1"/>
  </w:style>
  <w:style w:type="table" w:default="1" w:styleId="36">
    <w:name w:val="Normal Table"/>
    <w:semiHidden/>
    <w:unhideWhenUsed/>
    <w:qFormat/>
    <w:uiPriority w:val="99"/>
    <w:tblPr>
      <w:tblLayout w:type="fixed"/>
      <w:tblCellMar>
        <w:top w:w="0" w:type="dxa"/>
        <w:left w:w="108" w:type="dxa"/>
        <w:bottom w:w="0" w:type="dxa"/>
        <w:right w:w="108" w:type="dxa"/>
      </w:tblCellMar>
    </w:tblPr>
  </w:style>
  <w:style w:type="paragraph" w:styleId="6">
    <w:name w:val="annotation subject"/>
    <w:basedOn w:val="7"/>
    <w:next w:val="1"/>
    <w:link w:val="72"/>
    <w:semiHidden/>
    <w:qFormat/>
    <w:uiPriority w:val="0"/>
    <w:rPr>
      <w:b/>
    </w:rPr>
  </w:style>
  <w:style w:type="paragraph" w:styleId="7">
    <w:name w:val="annotation text"/>
    <w:basedOn w:val="1"/>
    <w:link w:val="66"/>
    <w:qFormat/>
    <w:uiPriority w:val="0"/>
    <w:pPr>
      <w:jc w:val="left"/>
    </w:pPr>
    <w:rPr>
      <w:kern w:val="0"/>
      <w:szCs w:val="20"/>
    </w:rPr>
  </w:style>
  <w:style w:type="paragraph" w:styleId="8">
    <w:name w:val="Body Text First Indent"/>
    <w:basedOn w:val="9"/>
    <w:next w:val="10"/>
    <w:qFormat/>
    <w:locked/>
    <w:uiPriority w:val="0"/>
    <w:pPr>
      <w:widowControl w:val="0"/>
      <w:spacing w:after="120"/>
      <w:ind w:firstLine="420"/>
    </w:pPr>
    <w:rPr>
      <w:sz w:val="24"/>
    </w:rPr>
  </w:style>
  <w:style w:type="paragraph" w:styleId="9">
    <w:name w:val="Body Text"/>
    <w:basedOn w:val="1"/>
    <w:next w:val="1"/>
    <w:link w:val="78"/>
    <w:qFormat/>
    <w:uiPriority w:val="0"/>
    <w:pPr>
      <w:widowControl/>
      <w:snapToGrid w:val="0"/>
      <w:spacing w:before="60" w:after="160" w:line="259" w:lineRule="auto"/>
      <w:ind w:right="113"/>
    </w:pPr>
    <w:rPr>
      <w:kern w:val="0"/>
      <w:sz w:val="18"/>
      <w:szCs w:val="20"/>
    </w:rPr>
  </w:style>
  <w:style w:type="paragraph" w:styleId="10">
    <w:name w:val="table of figures"/>
    <w:basedOn w:val="1"/>
    <w:next w:val="1"/>
    <w:qFormat/>
    <w:locked/>
    <w:uiPriority w:val="0"/>
    <w:pPr>
      <w:spacing w:line="240" w:lineRule="auto"/>
      <w:ind w:left="200" w:leftChars="200" w:hanging="200" w:hangingChars="200"/>
    </w:pPr>
    <w:rPr>
      <w:sz w:val="21"/>
    </w:rPr>
  </w:style>
  <w:style w:type="paragraph" w:styleId="11">
    <w:name w:val="Normal Indent"/>
    <w:basedOn w:val="1"/>
    <w:next w:val="1"/>
    <w:qFormat/>
    <w:locked/>
    <w:uiPriority w:val="0"/>
    <w:pPr>
      <w:adjustRightInd w:val="0"/>
      <w:snapToGrid w:val="0"/>
      <w:spacing w:line="460" w:lineRule="atLeast"/>
      <w:ind w:firstLine="200"/>
    </w:pPr>
    <w:rPr>
      <w:sz w:val="28"/>
      <w:szCs w:val="28"/>
    </w:rPr>
  </w:style>
  <w:style w:type="paragraph" w:styleId="12">
    <w:name w:val="caption"/>
    <w:basedOn w:val="1"/>
    <w:next w:val="1"/>
    <w:unhideWhenUsed/>
    <w:qFormat/>
    <w:locked/>
    <w:uiPriority w:val="0"/>
    <w:pPr>
      <w:keepNext/>
      <w:spacing w:line="240" w:lineRule="auto"/>
      <w:jc w:val="center"/>
    </w:pPr>
    <w:rPr>
      <w:rFonts w:ascii="Arial" w:hAnsi="Arial" w:eastAsia="Times New Roman" w:cs="Arial"/>
      <w:sz w:val="21"/>
      <w:szCs w:val="20"/>
    </w:rPr>
  </w:style>
  <w:style w:type="paragraph" w:styleId="13">
    <w:name w:val="Body Text Indent"/>
    <w:basedOn w:val="1"/>
    <w:next w:val="14"/>
    <w:link w:val="70"/>
    <w:qFormat/>
    <w:uiPriority w:val="0"/>
    <w:pPr>
      <w:spacing w:after="120"/>
      <w:ind w:left="420" w:leftChars="200"/>
    </w:pPr>
    <w:rPr>
      <w:kern w:val="0"/>
      <w:szCs w:val="20"/>
    </w:rPr>
  </w:style>
  <w:style w:type="paragraph" w:styleId="14">
    <w:name w:val="header"/>
    <w:basedOn w:val="1"/>
    <w:next w:val="15"/>
    <w:link w:val="67"/>
    <w:qFormat/>
    <w:uiPriority w:val="0"/>
    <w:pPr>
      <w:pBdr>
        <w:bottom w:val="single" w:color="auto" w:sz="6" w:space="1"/>
      </w:pBdr>
      <w:tabs>
        <w:tab w:val="center" w:pos="4153"/>
        <w:tab w:val="right" w:pos="8306"/>
      </w:tabs>
      <w:snapToGrid w:val="0"/>
      <w:jc w:val="center"/>
    </w:pPr>
    <w:rPr>
      <w:kern w:val="0"/>
      <w:sz w:val="18"/>
      <w:szCs w:val="20"/>
    </w:rPr>
  </w:style>
  <w:style w:type="paragraph" w:customStyle="1" w:styleId="15">
    <w:name w:val="样式5"/>
    <w:basedOn w:val="16"/>
    <w:qFormat/>
    <w:uiPriority w:val="0"/>
    <w:pPr>
      <w:snapToGrid w:val="0"/>
      <w:spacing w:line="360" w:lineRule="auto"/>
      <w:ind w:firstLine="510"/>
    </w:pPr>
  </w:style>
  <w:style w:type="paragraph" w:customStyle="1" w:styleId="16">
    <w:name w:val="样式3"/>
    <w:basedOn w:val="17"/>
    <w:qFormat/>
    <w:uiPriority w:val="0"/>
    <w:pPr>
      <w:spacing w:line="240" w:lineRule="auto"/>
      <w:ind w:left="0" w:firstLine="539"/>
      <w:jc w:val="center"/>
    </w:pPr>
    <w:rPr>
      <w:rFonts w:ascii="黑体" w:eastAsia="黑体"/>
      <w:color w:val="000000"/>
      <w:sz w:val="24"/>
    </w:rPr>
  </w:style>
  <w:style w:type="paragraph" w:styleId="17">
    <w:name w:val="toc 3"/>
    <w:basedOn w:val="1"/>
    <w:next w:val="1"/>
    <w:qFormat/>
    <w:locked/>
    <w:uiPriority w:val="0"/>
    <w:pPr>
      <w:ind w:left="560"/>
    </w:pPr>
    <w:rPr>
      <w:i/>
      <w:iCs/>
      <w:sz w:val="20"/>
    </w:rPr>
  </w:style>
  <w:style w:type="paragraph" w:styleId="18">
    <w:name w:val="Block Text"/>
    <w:basedOn w:val="1"/>
    <w:next w:val="1"/>
    <w:qFormat/>
    <w:locked/>
    <w:uiPriority w:val="0"/>
    <w:pPr>
      <w:spacing w:line="320" w:lineRule="exact"/>
      <w:ind w:left="113" w:right="113" w:firstLine="480"/>
      <w:jc w:val="center"/>
    </w:pPr>
    <w:rPr>
      <w:b/>
      <w:sz w:val="13"/>
      <w:szCs w:val="15"/>
    </w:rPr>
  </w:style>
  <w:style w:type="paragraph" w:styleId="19">
    <w:name w:val="Plain Text"/>
    <w:basedOn w:val="1"/>
    <w:qFormat/>
    <w:locked/>
    <w:uiPriority w:val="0"/>
    <w:rPr>
      <w:rFonts w:ascii="宋体" w:hAnsi="Courier New"/>
    </w:rPr>
  </w:style>
  <w:style w:type="paragraph" w:styleId="20">
    <w:name w:val="toc 8"/>
    <w:next w:val="1"/>
    <w:qFormat/>
    <w:locked/>
    <w:uiPriority w:val="0"/>
    <w:pPr>
      <w:wordWrap w:val="0"/>
      <w:ind w:left="2550"/>
      <w:jc w:val="both"/>
    </w:pPr>
    <w:rPr>
      <w:rFonts w:ascii="Times New Roman" w:hAnsi="Times New Roman" w:eastAsia="宋体" w:cs="Times New Roman"/>
      <w:sz w:val="21"/>
      <w:lang w:val="en-US" w:eastAsia="zh-CN" w:bidi="ar-SA"/>
    </w:rPr>
  </w:style>
  <w:style w:type="paragraph" w:styleId="21">
    <w:name w:val="Date"/>
    <w:basedOn w:val="1"/>
    <w:next w:val="1"/>
    <w:link w:val="64"/>
    <w:qFormat/>
    <w:uiPriority w:val="0"/>
    <w:pPr>
      <w:ind w:left="100" w:leftChars="2500"/>
    </w:pPr>
    <w:rPr>
      <w:kern w:val="0"/>
      <w:szCs w:val="20"/>
    </w:rPr>
  </w:style>
  <w:style w:type="paragraph" w:styleId="22">
    <w:name w:val="Body Text Indent 2"/>
    <w:basedOn w:val="1"/>
    <w:next w:val="1"/>
    <w:qFormat/>
    <w:locked/>
    <w:uiPriority w:val="0"/>
    <w:pPr>
      <w:ind w:firstLine="1446"/>
    </w:pPr>
  </w:style>
  <w:style w:type="paragraph" w:styleId="23">
    <w:name w:val="Balloon Text"/>
    <w:basedOn w:val="1"/>
    <w:link w:val="68"/>
    <w:semiHidden/>
    <w:qFormat/>
    <w:uiPriority w:val="0"/>
    <w:rPr>
      <w:kern w:val="0"/>
      <w:sz w:val="18"/>
      <w:szCs w:val="20"/>
    </w:rPr>
  </w:style>
  <w:style w:type="paragraph" w:styleId="24">
    <w:name w:val="footer"/>
    <w:basedOn w:val="1"/>
    <w:link w:val="74"/>
    <w:qFormat/>
    <w:uiPriority w:val="99"/>
    <w:pPr>
      <w:tabs>
        <w:tab w:val="center" w:pos="4153"/>
        <w:tab w:val="right" w:pos="8306"/>
      </w:tabs>
      <w:snapToGrid w:val="0"/>
      <w:jc w:val="left"/>
    </w:pPr>
    <w:rPr>
      <w:kern w:val="0"/>
      <w:sz w:val="18"/>
      <w:szCs w:val="20"/>
    </w:rPr>
  </w:style>
  <w:style w:type="paragraph" w:styleId="25">
    <w:name w:val="Body Text First Indent 2"/>
    <w:basedOn w:val="1"/>
    <w:next w:val="1"/>
    <w:qFormat/>
    <w:locked/>
    <w:uiPriority w:val="0"/>
    <w:pPr>
      <w:ind w:left="420" w:leftChars="200" w:firstLine="420"/>
    </w:pPr>
  </w:style>
  <w:style w:type="paragraph" w:styleId="26">
    <w:name w:val="List"/>
    <w:basedOn w:val="1"/>
    <w:qFormat/>
    <w:locked/>
    <w:uiPriority w:val="0"/>
    <w:pPr>
      <w:spacing w:line="288" w:lineRule="auto"/>
    </w:pPr>
  </w:style>
  <w:style w:type="paragraph" w:styleId="27">
    <w:name w:val="Body Text 2"/>
    <w:basedOn w:val="1"/>
    <w:qFormat/>
    <w:locked/>
    <w:uiPriority w:val="0"/>
    <w:pPr>
      <w:spacing w:line="480" w:lineRule="auto"/>
    </w:pPr>
  </w:style>
  <w:style w:type="paragraph" w:styleId="28">
    <w:name w:val="Normal (Web)"/>
    <w:basedOn w:val="1"/>
    <w:next w:val="20"/>
    <w:link w:val="76"/>
    <w:qFormat/>
    <w:uiPriority w:val="0"/>
    <w:pPr>
      <w:widowControl/>
      <w:spacing w:before="100" w:beforeAutospacing="1" w:after="100" w:afterAutospacing="1"/>
      <w:jc w:val="left"/>
    </w:pPr>
    <w:rPr>
      <w:rFonts w:ascii="宋体" w:hAnsi="宋体"/>
      <w:kern w:val="0"/>
      <w:szCs w:val="20"/>
    </w:rPr>
  </w:style>
  <w:style w:type="character" w:styleId="30">
    <w:name w:val="Strong"/>
    <w:basedOn w:val="29"/>
    <w:qFormat/>
    <w:locked/>
    <w:uiPriority w:val="0"/>
    <w:rPr>
      <w:b/>
    </w:rPr>
  </w:style>
  <w:style w:type="character" w:styleId="31">
    <w:name w:val="page number"/>
    <w:basedOn w:val="29"/>
    <w:qFormat/>
    <w:locked/>
    <w:uiPriority w:val="0"/>
  </w:style>
  <w:style w:type="character" w:styleId="32">
    <w:name w:val="FollowedHyperlink"/>
    <w:basedOn w:val="29"/>
    <w:qFormat/>
    <w:locked/>
    <w:uiPriority w:val="0"/>
    <w:rPr>
      <w:color w:val="800080"/>
      <w:u w:val="single"/>
    </w:rPr>
  </w:style>
  <w:style w:type="character" w:styleId="33">
    <w:name w:val="Emphasis"/>
    <w:basedOn w:val="29"/>
    <w:qFormat/>
    <w:locked/>
    <w:uiPriority w:val="0"/>
    <w:rPr>
      <w:i/>
    </w:rPr>
  </w:style>
  <w:style w:type="character" w:styleId="34">
    <w:name w:val="Hyperlink"/>
    <w:basedOn w:val="29"/>
    <w:qFormat/>
    <w:locked/>
    <w:uiPriority w:val="0"/>
    <w:rPr>
      <w:color w:val="0000FF"/>
      <w:u w:val="single"/>
    </w:rPr>
  </w:style>
  <w:style w:type="character" w:styleId="35">
    <w:name w:val="annotation reference"/>
    <w:semiHidden/>
    <w:qFormat/>
    <w:uiPriority w:val="0"/>
    <w:rPr>
      <w:sz w:val="21"/>
    </w:rPr>
  </w:style>
  <w:style w:type="table" w:styleId="37">
    <w:name w:val="Table Grid"/>
    <w:basedOn w:val="3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38">
    <w:name w:val="xl27"/>
    <w:basedOn w:val="1"/>
    <w:qFormat/>
    <w:uiPriority w:val="0"/>
    <w:pPr>
      <w:widowControl/>
      <w:pBdr>
        <w:bottom w:val="single" w:color="auto" w:sz="12" w:space="0"/>
      </w:pBdr>
      <w:spacing w:before="100" w:after="100"/>
      <w:jc w:val="center"/>
    </w:pPr>
    <w:rPr>
      <w:rFonts w:ascii="宋体" w:hAnsi="宋体"/>
      <w:kern w:val="0"/>
      <w:szCs w:val="20"/>
    </w:rPr>
  </w:style>
  <w:style w:type="paragraph" w:customStyle="1" w:styleId="39">
    <w:name w:val="Default"/>
    <w:basedOn w:val="40"/>
    <w:unhideWhenUsed/>
    <w:qFormat/>
    <w:uiPriority w:val="99"/>
    <w:pPr>
      <w:autoSpaceDE w:val="0"/>
      <w:autoSpaceDN w:val="0"/>
    </w:pPr>
    <w:rPr>
      <w:rFonts w:hint="eastAsia" w:hAnsi="Calibri"/>
      <w:color w:val="000000"/>
      <w:szCs w:val="22"/>
    </w:rPr>
  </w:style>
  <w:style w:type="paragraph" w:customStyle="1" w:styleId="40">
    <w:name w:val="纯文本1"/>
    <w:basedOn w:val="1"/>
    <w:qFormat/>
    <w:uiPriority w:val="0"/>
    <w:pPr>
      <w:adjustRightInd w:val="0"/>
    </w:pPr>
    <w:rPr>
      <w:rFonts w:ascii="宋体" w:hAnsi="Courier New"/>
      <w:szCs w:val="20"/>
    </w:rPr>
  </w:style>
  <w:style w:type="paragraph" w:customStyle="1" w:styleId="41">
    <w:name w:val="正文1"/>
    <w:basedOn w:val="1"/>
    <w:qFormat/>
    <w:uiPriority w:val="0"/>
  </w:style>
  <w:style w:type="paragraph" w:customStyle="1" w:styleId="42">
    <w:name w:val="Default1"/>
    <w:qFormat/>
    <w:uiPriority w:val="99"/>
    <w:pPr>
      <w:widowControl w:val="0"/>
      <w:autoSpaceDE w:val="0"/>
      <w:autoSpaceDN w:val="0"/>
      <w:adjustRightInd w:val="0"/>
    </w:pPr>
    <w:rPr>
      <w:rFonts w:ascii="宋体" w:hAnsi="Times New Roman" w:eastAsia="微软雅黑" w:cs="宋体"/>
      <w:color w:val="000000"/>
      <w:sz w:val="24"/>
      <w:szCs w:val="24"/>
      <w:lang w:val="en-US" w:eastAsia="zh-CN" w:bidi="ar-SA"/>
    </w:rPr>
  </w:style>
  <w:style w:type="paragraph" w:customStyle="1" w:styleId="43">
    <w:name w:val="表格"/>
    <w:basedOn w:val="9"/>
    <w:next w:val="1"/>
    <w:link w:val="77"/>
    <w:qFormat/>
    <w:uiPriority w:val="0"/>
    <w:pPr>
      <w:adjustRightInd w:val="0"/>
      <w:spacing w:beforeLines="10" w:afterLines="10"/>
      <w:jc w:val="center"/>
    </w:pPr>
    <w:rPr>
      <w:rFonts w:ascii="宋体"/>
    </w:rPr>
  </w:style>
  <w:style w:type="paragraph" w:customStyle="1" w:styleId="44">
    <w:name w:val="普通(网站)2"/>
    <w:basedOn w:val="1"/>
    <w:qFormat/>
    <w:uiPriority w:val="0"/>
    <w:pPr>
      <w:widowControl/>
      <w:spacing w:before="100" w:beforeAutospacing="1" w:after="100" w:afterAutospacing="1"/>
      <w:jc w:val="left"/>
    </w:pPr>
    <w:rPr>
      <w:rFonts w:ascii="宋体" w:hAnsi="宋体"/>
      <w:szCs w:val="20"/>
    </w:rPr>
  </w:style>
  <w:style w:type="paragraph" w:customStyle="1" w:styleId="45">
    <w:name w:val="表格2"/>
    <w:basedOn w:val="1"/>
    <w:qFormat/>
    <w:uiPriority w:val="0"/>
    <w:pPr>
      <w:adjustRightInd w:val="0"/>
      <w:spacing w:line="320" w:lineRule="exact"/>
      <w:jc w:val="center"/>
      <w:textAlignment w:val="baseline"/>
    </w:pPr>
    <w:rPr>
      <w:szCs w:val="20"/>
    </w:rPr>
  </w:style>
  <w:style w:type="paragraph" w:customStyle="1" w:styleId="46">
    <w:name w:val="Char Char1 Char Char Char Char Char Char Char Char Char Char Char Char Char Char Char Char Char Char Char Char1 Char"/>
    <w:basedOn w:val="1"/>
    <w:qFormat/>
    <w:uiPriority w:val="0"/>
    <w:pPr>
      <w:ind w:firstLine="200"/>
    </w:pPr>
    <w:rPr>
      <w:rFonts w:ascii="宋体" w:hAnsi="宋体"/>
      <w:kern w:val="0"/>
    </w:rPr>
  </w:style>
  <w:style w:type="paragraph" w:styleId="47">
    <w:name w:val="List Paragraph"/>
    <w:basedOn w:val="1"/>
    <w:unhideWhenUsed/>
    <w:qFormat/>
    <w:uiPriority w:val="34"/>
    <w:pPr>
      <w:ind w:firstLine="420"/>
    </w:pPr>
  </w:style>
  <w:style w:type="paragraph" w:customStyle="1" w:styleId="48">
    <w:name w:val="0 正文"/>
    <w:basedOn w:val="1"/>
    <w:qFormat/>
    <w:uiPriority w:val="0"/>
    <w:pPr>
      <w:ind w:firstLine="200"/>
    </w:pPr>
    <w:rPr>
      <w:kern w:val="0"/>
    </w:rPr>
  </w:style>
  <w:style w:type="paragraph" w:customStyle="1" w:styleId="49">
    <w:name w:val="正文 New New New New New New New New New New New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1">
    <w:name w:val="萝卜"/>
    <w:basedOn w:val="1"/>
    <w:qFormat/>
    <w:uiPriority w:val="0"/>
    <w:pPr>
      <w:tabs>
        <w:tab w:val="left" w:pos="540"/>
      </w:tabs>
      <w:ind w:firstLine="200"/>
    </w:pPr>
  </w:style>
  <w:style w:type="paragraph" w:customStyle="1" w:styleId="52">
    <w:name w:val="中文报告书样式"/>
    <w:basedOn w:val="1"/>
    <w:qFormat/>
    <w:uiPriority w:val="99"/>
    <w:pPr>
      <w:adjustRightInd w:val="0"/>
      <w:spacing w:line="420" w:lineRule="atLeast"/>
      <w:textAlignment w:val="baseline"/>
    </w:pPr>
    <w:rPr>
      <w:kern w:val="24"/>
      <w:szCs w:val="20"/>
    </w:rPr>
  </w:style>
  <w:style w:type="paragraph" w:customStyle="1" w:styleId="53">
    <w:name w:val="表头"/>
    <w:basedOn w:val="26"/>
    <w:next w:val="43"/>
    <w:qFormat/>
    <w:uiPriority w:val="0"/>
    <w:pPr>
      <w:topLinePunct/>
      <w:spacing w:line="360" w:lineRule="exact"/>
      <w:jc w:val="center"/>
    </w:pPr>
  </w:style>
  <w:style w:type="paragraph" w:customStyle="1" w:styleId="54">
    <w:name w:val="六-图表题"/>
    <w:basedOn w:val="1"/>
    <w:qFormat/>
    <w:uiPriority w:val="0"/>
    <w:pPr>
      <w:adjustRightInd w:val="0"/>
      <w:snapToGrid w:val="0"/>
      <w:jc w:val="center"/>
    </w:pPr>
    <w:rPr>
      <w:rFonts w:eastAsia="Times New Roman"/>
      <w:b/>
      <w:lang w:val="zh-CN"/>
    </w:rPr>
  </w:style>
  <w:style w:type="paragraph" w:customStyle="1" w:styleId="55">
    <w:name w:val="dy正文2"/>
    <w:qFormat/>
    <w:uiPriority w:val="0"/>
    <w:pPr>
      <w:tabs>
        <w:tab w:val="left" w:pos="567"/>
      </w:tabs>
      <w:adjustRightInd w:val="0"/>
      <w:snapToGrid w:val="0"/>
      <w:spacing w:line="440" w:lineRule="atLeast"/>
      <w:ind w:firstLine="567"/>
      <w:jc w:val="center"/>
      <w:textAlignment w:val="baseline"/>
    </w:pPr>
    <w:rPr>
      <w:rFonts w:ascii="Calibri" w:hAnsi="Calibri" w:eastAsia="宋体" w:cs="Times New Roman"/>
      <w:snapToGrid w:val="0"/>
      <w:sz w:val="24"/>
      <w:lang w:val="en-US" w:eastAsia="zh-CN" w:bidi="ar-SA"/>
    </w:rPr>
  </w:style>
  <w:style w:type="paragraph" w:customStyle="1" w:styleId="56">
    <w:name w:val="Table Paragraph"/>
    <w:basedOn w:val="1"/>
    <w:qFormat/>
    <w:uiPriority w:val="1"/>
    <w:rPr>
      <w:rFonts w:ascii="宋体" w:hAnsi="宋体" w:cs="宋体"/>
      <w:lang w:val="zh-CN" w:bidi="zh-CN"/>
    </w:rPr>
  </w:style>
  <w:style w:type="paragraph" w:customStyle="1" w:styleId="57">
    <w:name w:val="正文 New New New New New New New New New New New New New New New New New New New New New New New New New New New New New New New New New New New New New New New New New New New New New New New New New New New New New New New New New New New New New New 3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Default2"/>
    <w:qFormat/>
    <w:uiPriority w:val="0"/>
    <w:pPr>
      <w:widowControl w:val="0"/>
      <w:autoSpaceDE w:val="0"/>
      <w:autoSpaceDN w:val="0"/>
      <w:adjustRightInd w:val="0"/>
    </w:pPr>
    <w:rPr>
      <w:rFonts w:ascii="Tahoma" w:hAnsi="Tahoma" w:eastAsia="宋体" w:cs="Tahoma"/>
      <w:color w:val="000000"/>
      <w:sz w:val="24"/>
      <w:szCs w:val="24"/>
      <w:lang w:val="en-US" w:eastAsia="zh-CN" w:bidi="ar-SA"/>
    </w:rPr>
  </w:style>
  <w:style w:type="paragraph" w:customStyle="1" w:styleId="59">
    <w:name w:val="样式1"/>
    <w:basedOn w:val="1"/>
    <w:next w:val="6"/>
    <w:qFormat/>
    <w:uiPriority w:val="0"/>
    <w:pPr>
      <w:spacing w:line="240" w:lineRule="auto"/>
      <w:ind w:firstLine="462"/>
    </w:pPr>
    <w:rPr>
      <w:rFonts w:ascii="宋体"/>
      <w:color w:val="000000"/>
    </w:rPr>
  </w:style>
  <w:style w:type="paragraph" w:customStyle="1" w:styleId="60">
    <w:name w:val="表格3"/>
    <w:qFormat/>
    <w:uiPriority w:val="0"/>
    <w:pPr>
      <w:spacing w:line="240" w:lineRule="atLeast"/>
      <w:jc w:val="center"/>
    </w:pPr>
    <w:rPr>
      <w:rFonts w:ascii="Calibri" w:hAnsi="Calibri" w:eastAsia="仿宋" w:cs="Times New Roman"/>
      <w:kern w:val="2"/>
      <w:sz w:val="21"/>
      <w:szCs w:val="21"/>
      <w:lang w:val="en-US" w:eastAsia="zh-CN" w:bidi="ar-SA"/>
    </w:rPr>
  </w:style>
  <w:style w:type="paragraph" w:customStyle="1" w:styleId="61">
    <w:name w:val="a正文"/>
    <w:basedOn w:val="1"/>
    <w:qFormat/>
    <w:uiPriority w:val="0"/>
    <w:pPr>
      <w:adjustRightInd w:val="0"/>
      <w:snapToGrid w:val="0"/>
      <w:ind w:firstLine="200"/>
      <w:textAlignment w:val="center"/>
    </w:pPr>
    <w:rPr>
      <w:szCs w:val="22"/>
    </w:rPr>
  </w:style>
  <w:style w:type="paragraph" w:customStyle="1" w:styleId="62">
    <w:name w:val="列出段落2"/>
    <w:basedOn w:val="1"/>
    <w:unhideWhenUsed/>
    <w:qFormat/>
    <w:uiPriority w:val="99"/>
    <w:pPr>
      <w:ind w:firstLine="420"/>
    </w:pPr>
  </w:style>
  <w:style w:type="paragraph" w:customStyle="1" w:styleId="63">
    <w:name w:val="正文缩进 New New New New New"/>
    <w:basedOn w:val="57"/>
    <w:qFormat/>
    <w:uiPriority w:val="0"/>
    <w:pPr>
      <w:spacing w:beforeLines="50" w:afterLines="50" w:line="460" w:lineRule="exact"/>
      <w:ind w:firstLine="420" w:firstLineChars="200"/>
      <w:jc w:val="left"/>
    </w:pPr>
    <w:rPr>
      <w:b/>
      <w:sz w:val="24"/>
    </w:rPr>
  </w:style>
  <w:style w:type="character" w:customStyle="1" w:styleId="64">
    <w:name w:val="日期 Char"/>
    <w:link w:val="21"/>
    <w:qFormat/>
    <w:locked/>
    <w:uiPriority w:val="0"/>
    <w:rPr>
      <w:rFonts w:ascii="Times New Roman" w:hAnsi="Times New Roman" w:eastAsia="宋体"/>
      <w:sz w:val="24"/>
    </w:rPr>
  </w:style>
  <w:style w:type="character" w:customStyle="1" w:styleId="65">
    <w:name w:val="日期 字符"/>
    <w:semiHidden/>
    <w:qFormat/>
    <w:uiPriority w:val="0"/>
    <w:rPr>
      <w:rFonts w:ascii="Times New Roman" w:hAnsi="Times New Roman" w:eastAsia="宋体"/>
      <w:sz w:val="24"/>
    </w:rPr>
  </w:style>
  <w:style w:type="character" w:customStyle="1" w:styleId="66">
    <w:name w:val="批注文字 Char"/>
    <w:link w:val="7"/>
    <w:qFormat/>
    <w:locked/>
    <w:uiPriority w:val="0"/>
    <w:rPr>
      <w:rFonts w:ascii="Times New Roman" w:hAnsi="Times New Roman" w:eastAsia="宋体"/>
      <w:sz w:val="24"/>
    </w:rPr>
  </w:style>
  <w:style w:type="character" w:customStyle="1" w:styleId="67">
    <w:name w:val="页眉 Char"/>
    <w:link w:val="14"/>
    <w:qFormat/>
    <w:locked/>
    <w:uiPriority w:val="0"/>
    <w:rPr>
      <w:sz w:val="18"/>
    </w:rPr>
  </w:style>
  <w:style w:type="character" w:customStyle="1" w:styleId="68">
    <w:name w:val="批注框文本 Char"/>
    <w:link w:val="23"/>
    <w:semiHidden/>
    <w:qFormat/>
    <w:locked/>
    <w:uiPriority w:val="0"/>
    <w:rPr>
      <w:rFonts w:ascii="Times New Roman" w:hAnsi="Times New Roman" w:eastAsia="宋体"/>
      <w:sz w:val="18"/>
    </w:rPr>
  </w:style>
  <w:style w:type="character" w:customStyle="1" w:styleId="69">
    <w:name w:val="批注文字 字符1"/>
    <w:semiHidden/>
    <w:qFormat/>
    <w:uiPriority w:val="0"/>
    <w:rPr>
      <w:rFonts w:ascii="Times New Roman" w:hAnsi="Times New Roman" w:eastAsia="宋体"/>
      <w:sz w:val="24"/>
    </w:rPr>
  </w:style>
  <w:style w:type="character" w:customStyle="1" w:styleId="70">
    <w:name w:val="正文文本缩进 Char"/>
    <w:link w:val="13"/>
    <w:semiHidden/>
    <w:qFormat/>
    <w:locked/>
    <w:uiPriority w:val="0"/>
    <w:rPr>
      <w:rFonts w:ascii="Times New Roman" w:hAnsi="Times New Roman" w:eastAsia="宋体"/>
      <w:sz w:val="24"/>
    </w:rPr>
  </w:style>
  <w:style w:type="character" w:customStyle="1" w:styleId="71">
    <w:name w:val="正文文字 Char"/>
    <w:qFormat/>
    <w:uiPriority w:val="0"/>
    <w:rPr>
      <w:rFonts w:eastAsia="宋体"/>
      <w:kern w:val="2"/>
      <w:sz w:val="24"/>
      <w:szCs w:val="24"/>
      <w:lang w:val="en-US" w:eastAsia="zh-CN" w:bidi="ar-SA"/>
    </w:rPr>
  </w:style>
  <w:style w:type="character" w:customStyle="1" w:styleId="72">
    <w:name w:val="批注主题 Char"/>
    <w:link w:val="6"/>
    <w:semiHidden/>
    <w:qFormat/>
    <w:locked/>
    <w:uiPriority w:val="0"/>
    <w:rPr>
      <w:rFonts w:ascii="Times New Roman" w:hAnsi="Times New Roman" w:eastAsia="宋体"/>
      <w:b/>
      <w:kern w:val="2"/>
      <w:sz w:val="24"/>
    </w:rPr>
  </w:style>
  <w:style w:type="character" w:customStyle="1" w:styleId="73">
    <w:name w:val="页脚 字符"/>
    <w:basedOn w:val="29"/>
    <w:qFormat/>
    <w:uiPriority w:val="99"/>
  </w:style>
  <w:style w:type="character" w:customStyle="1" w:styleId="74">
    <w:name w:val="页脚 Char"/>
    <w:link w:val="24"/>
    <w:qFormat/>
    <w:locked/>
    <w:uiPriority w:val="99"/>
    <w:rPr>
      <w:sz w:val="18"/>
    </w:rPr>
  </w:style>
  <w:style w:type="character" w:customStyle="1" w:styleId="75">
    <w:name w:val="正文文本 字符1"/>
    <w:semiHidden/>
    <w:qFormat/>
    <w:uiPriority w:val="0"/>
    <w:rPr>
      <w:rFonts w:ascii="Times New Roman" w:hAnsi="Times New Roman" w:eastAsia="宋体"/>
      <w:sz w:val="24"/>
    </w:rPr>
  </w:style>
  <w:style w:type="character" w:customStyle="1" w:styleId="76">
    <w:name w:val="普通(网站) Char"/>
    <w:link w:val="28"/>
    <w:qFormat/>
    <w:locked/>
    <w:uiPriority w:val="0"/>
    <w:rPr>
      <w:rFonts w:ascii="宋体" w:hAnsi="宋体" w:eastAsia="宋体"/>
      <w:sz w:val="24"/>
    </w:rPr>
  </w:style>
  <w:style w:type="character" w:customStyle="1" w:styleId="77">
    <w:name w:val="表格 Char"/>
    <w:link w:val="43"/>
    <w:qFormat/>
    <w:locked/>
    <w:uiPriority w:val="0"/>
    <w:rPr>
      <w:rFonts w:ascii="宋体"/>
      <w:sz w:val="21"/>
    </w:rPr>
  </w:style>
  <w:style w:type="character" w:customStyle="1" w:styleId="78">
    <w:name w:val="正文文本 Char"/>
    <w:link w:val="9"/>
    <w:qFormat/>
    <w:locked/>
    <w:uiPriority w:val="0"/>
    <w:rPr>
      <w:sz w:val="18"/>
    </w:rPr>
  </w:style>
  <w:style w:type="paragraph" w:customStyle="1" w:styleId="79">
    <w:name w:val="正文-ls"/>
    <w:basedOn w:val="1"/>
    <w:qFormat/>
    <w:uiPriority w:val="0"/>
    <w:pPr>
      <w:ind w:firstLine="200"/>
    </w:pPr>
    <w:rPr>
      <w:rFonts w:hAnsi="宋体"/>
      <w:kern w:val="0"/>
      <w:szCs w:val="20"/>
    </w:rPr>
  </w:style>
  <w:style w:type="paragraph" w:customStyle="1" w:styleId="80">
    <w:name w:val="页眉1"/>
    <w:basedOn w:val="1"/>
    <w:qFormat/>
    <w:uiPriority w:val="0"/>
    <w:pPr>
      <w:pBdr>
        <w:bottom w:val="single" w:color="auto" w:sz="6" w:space="1"/>
      </w:pBdr>
      <w:tabs>
        <w:tab w:val="center" w:pos="4153"/>
        <w:tab w:val="right" w:pos="8306"/>
      </w:tabs>
      <w:snapToGrid w:val="0"/>
      <w:jc w:val="center"/>
    </w:pPr>
    <w:rPr>
      <w:sz w:val="18"/>
      <w:szCs w:val="20"/>
    </w:rPr>
  </w:style>
  <w:style w:type="paragraph" w:customStyle="1" w:styleId="81">
    <w:name w:val="WPSOffice手动目录 1"/>
    <w:qFormat/>
    <w:uiPriority w:val="0"/>
    <w:rPr>
      <w:rFonts w:ascii="Times New Roman" w:hAnsi="Times New Roman" w:eastAsia="宋体" w:cs="Times New Roman"/>
      <w:lang w:val="en-US" w:eastAsia="zh-CN" w:bidi="ar-SA"/>
    </w:rPr>
  </w:style>
  <w:style w:type="paragraph" w:customStyle="1" w:styleId="82">
    <w:name w:val="正文文本 (2)1"/>
    <w:basedOn w:val="1"/>
    <w:qFormat/>
    <w:uiPriority w:val="0"/>
    <w:pPr>
      <w:shd w:val="clear" w:color="auto" w:fill="FFFFFF"/>
      <w:spacing w:before="300" w:line="466" w:lineRule="exact"/>
      <w:ind w:hanging="600"/>
      <w:jc w:val="distribute"/>
    </w:pPr>
    <w:rPr>
      <w:rFonts w:ascii="宋体" w:hAnsi="宋体"/>
      <w:kern w:val="0"/>
      <w:sz w:val="22"/>
    </w:rPr>
  </w:style>
  <w:style w:type="paragraph" w:customStyle="1" w:styleId="83">
    <w:name w:val="正文01"/>
    <w:basedOn w:val="1"/>
    <w:qFormat/>
    <w:uiPriority w:val="0"/>
    <w:pPr>
      <w:spacing w:before="60" w:line="460" w:lineRule="exact"/>
      <w:ind w:firstLine="200"/>
    </w:pPr>
    <w:rPr>
      <w:rFonts w:ascii="Arial" w:hAnsi="Arial" w:cs="宋体"/>
    </w:rPr>
  </w:style>
  <w:style w:type="paragraph" w:customStyle="1" w:styleId="84">
    <w:name w:val="表格文字"/>
    <w:basedOn w:val="11"/>
    <w:link w:val="86"/>
    <w:qFormat/>
    <w:uiPriority w:val="0"/>
    <w:pPr>
      <w:spacing w:line="240" w:lineRule="auto"/>
      <w:ind w:firstLine="0" w:firstLineChars="0"/>
      <w:jc w:val="center"/>
    </w:pPr>
    <w:rPr>
      <w:color w:val="000000" w:themeColor="text1"/>
      <w:sz w:val="21"/>
      <w:szCs w:val="21"/>
    </w:rPr>
  </w:style>
  <w:style w:type="paragraph" w:customStyle="1" w:styleId="85">
    <w:name w:val="表格标题lq"/>
    <w:basedOn w:val="11"/>
    <w:link w:val="87"/>
    <w:qFormat/>
    <w:uiPriority w:val="0"/>
    <w:pPr>
      <w:spacing w:line="240" w:lineRule="auto"/>
      <w:ind w:firstLine="0" w:firstLineChars="0"/>
      <w:jc w:val="center"/>
    </w:pPr>
    <w:rPr>
      <w:b/>
      <w:color w:val="000000"/>
      <w:sz w:val="21"/>
      <w:szCs w:val="21"/>
    </w:rPr>
  </w:style>
  <w:style w:type="character" w:customStyle="1" w:styleId="86">
    <w:name w:val="表格文字 Char"/>
    <w:link w:val="84"/>
    <w:qFormat/>
    <w:uiPriority w:val="0"/>
    <w:rPr>
      <w:rFonts w:hint="default" w:ascii="Times New Roman" w:hAnsi="Times New Roman" w:eastAsia="宋体"/>
      <w:color w:val="000000" w:themeColor="text1"/>
      <w:sz w:val="21"/>
      <w:szCs w:val="21"/>
    </w:rPr>
  </w:style>
  <w:style w:type="character" w:customStyle="1" w:styleId="87">
    <w:name w:val="表格标题lq Char"/>
    <w:link w:val="85"/>
    <w:qFormat/>
    <w:uiPriority w:val="0"/>
    <w:rPr>
      <w:b/>
      <w:color w:val="000000"/>
      <w:sz w:val="21"/>
      <w:szCs w:val="21"/>
    </w:rPr>
  </w:style>
  <w:style w:type="paragraph" w:customStyle="1" w:styleId="88">
    <w:name w:val="正文 大框"/>
    <w:qFormat/>
    <w:uiPriority w:val="0"/>
    <w:pPr>
      <w:widowControl w:val="0"/>
      <w:jc w:val="center"/>
    </w:pPr>
    <w:rPr>
      <w:rFonts w:ascii="Times New Roman" w:hAnsi="Times New Roman" w:eastAsia="宋体" w:cs="Times New Roman"/>
      <w:kern w:val="2"/>
      <w:sz w:val="21"/>
      <w:szCs w:val="22"/>
      <w:lang w:val="en-US" w:eastAsia="zh-CN" w:bidi="ar-SA"/>
    </w:rPr>
  </w:style>
  <w:style w:type="paragraph" w:customStyle="1" w:styleId="89">
    <w:name w:val="小表格"/>
    <w:basedOn w:val="4"/>
    <w:next w:val="1"/>
    <w:qFormat/>
    <w:uiPriority w:val="0"/>
    <w:pPr>
      <w:spacing w:line="240" w:lineRule="auto"/>
      <w:jc w:val="center"/>
      <w:outlineLvl w:val="9"/>
    </w:pPr>
  </w:style>
  <w:style w:type="paragraph" w:customStyle="1" w:styleId="90">
    <w:name w:val="样式 样式 样式 样式 样式 样式 样式 样式 四号1 + 首行缩进:  2 字符 + 首行缩进:  2.5 字符 + 首行缩进..."/>
    <w:basedOn w:val="1"/>
    <w:qFormat/>
    <w:uiPriority w:val="0"/>
    <w:pPr>
      <w:ind w:firstLine="631"/>
    </w:pPr>
    <w:rPr>
      <w:rFonts w:eastAsia="仿宋_GB2312" w:cs="宋体"/>
      <w:sz w:val="30"/>
    </w:rPr>
  </w:style>
  <w:style w:type="paragraph" w:customStyle="1" w:styleId="91">
    <w:name w:val="表格文字我要的"/>
    <w:basedOn w:val="1"/>
    <w:qFormat/>
    <w:uiPriority w:val="0"/>
    <w:pPr>
      <w:spacing w:line="240" w:lineRule="auto"/>
      <w:ind w:firstLine="0" w:firstLineChars="0"/>
      <w:jc w:val="center"/>
    </w:pPr>
    <w:rPr>
      <w:kern w:val="0"/>
      <w:sz w:val="21"/>
      <w:szCs w:val="21"/>
    </w:rPr>
  </w:style>
  <w:style w:type="paragraph" w:customStyle="1" w:styleId="92">
    <w:name w:val="表格标题"/>
    <w:basedOn w:val="1"/>
    <w:qFormat/>
    <w:uiPriority w:val="0"/>
    <w:pPr>
      <w:spacing w:line="240" w:lineRule="auto"/>
      <w:ind w:firstLine="0" w:firstLineChars="0"/>
      <w:jc w:val="center"/>
    </w:pPr>
    <w:rPr>
      <w:b/>
      <w:sz w:val="21"/>
      <w:szCs w:val="21"/>
    </w:rPr>
  </w:style>
  <w:style w:type="paragraph" w:customStyle="1" w:styleId="93">
    <w:name w:val="报告表格"/>
    <w:basedOn w:val="1"/>
    <w:next w:val="1"/>
    <w:qFormat/>
    <w:uiPriority w:val="0"/>
    <w:pPr>
      <w:autoSpaceDE w:val="0"/>
      <w:autoSpaceDN w:val="0"/>
      <w:adjustRightInd w:val="0"/>
      <w:spacing w:line="318" w:lineRule="atLeast"/>
      <w:jc w:val="center"/>
      <w:textAlignment w:val="bottom"/>
    </w:pPr>
    <w:rPr>
      <w:kern w:val="0"/>
    </w:rPr>
  </w:style>
  <w:style w:type="paragraph" w:customStyle="1" w:styleId="94">
    <w:name w:val="样式 题注 + (中文) 宋体"/>
    <w:basedOn w:val="12"/>
    <w:qFormat/>
    <w:uiPriority w:val="0"/>
    <w:pPr>
      <w:snapToGrid w:val="0"/>
    </w:pPr>
    <w:rPr>
      <w:rFonts w:ascii="Times New Roman" w:hAnsi="Times New Roman" w:eastAsia="宋体" w:cs="Times New Roman"/>
      <w:b/>
    </w:rPr>
  </w:style>
  <w:style w:type="paragraph" w:customStyle="1" w:styleId="95">
    <w:name w:val="表格标题LQ"/>
    <w:basedOn w:val="1"/>
    <w:qFormat/>
    <w:uiPriority w:val="0"/>
    <w:pPr>
      <w:widowControl/>
      <w:spacing w:line="240" w:lineRule="auto"/>
      <w:ind w:firstLine="0" w:firstLineChars="0"/>
      <w:jc w:val="center"/>
    </w:pPr>
    <w:rPr>
      <w:b/>
      <w:kern w:val="0"/>
      <w:sz w:val="21"/>
      <w:szCs w:val="22"/>
    </w:rPr>
  </w:style>
  <w:style w:type="paragraph" w:customStyle="1" w:styleId="96">
    <w:name w:val="表格内容"/>
    <w:basedOn w:val="97"/>
    <w:qFormat/>
    <w:uiPriority w:val="0"/>
    <w:rPr>
      <w:b w:val="0"/>
      <w:szCs w:val="32"/>
    </w:rPr>
  </w:style>
  <w:style w:type="paragraph" w:customStyle="1" w:styleId="97">
    <w:name w:val="图标标题"/>
    <w:basedOn w:val="1"/>
    <w:qFormat/>
    <w:uiPriority w:val="0"/>
    <w:pPr>
      <w:spacing w:line="240" w:lineRule="auto"/>
      <w:ind w:firstLine="0" w:firstLineChars="0"/>
      <w:jc w:val="center"/>
    </w:pPr>
    <w:rPr>
      <w:b/>
      <w:kern w:val="0"/>
      <w:sz w:val="21"/>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0.wmf"/><Relationship Id="rId25" Type="http://schemas.openxmlformats.org/officeDocument/2006/relationships/oleObject" Target="embeddings/oleObject6.bin"/><Relationship Id="rId24" Type="http://schemas.openxmlformats.org/officeDocument/2006/relationships/image" Target="media/image9.wmf"/><Relationship Id="rId23" Type="http://schemas.openxmlformats.org/officeDocument/2006/relationships/oleObject" Target="embeddings/oleObject5.bin"/><Relationship Id="rId22" Type="http://schemas.openxmlformats.org/officeDocument/2006/relationships/image" Target="media/image8.wmf"/><Relationship Id="rId21" Type="http://schemas.openxmlformats.org/officeDocument/2006/relationships/oleObject" Target="embeddings/oleObject4.bin"/><Relationship Id="rId20" Type="http://schemas.openxmlformats.org/officeDocument/2006/relationships/image" Target="media/image7.wmf"/><Relationship Id="rId2" Type="http://schemas.openxmlformats.org/officeDocument/2006/relationships/settings" Target="settings.xml"/><Relationship Id="rId19" Type="http://schemas.openxmlformats.org/officeDocument/2006/relationships/oleObject" Target="embeddings/oleObject3.bin"/><Relationship Id="rId18" Type="http://schemas.openxmlformats.org/officeDocument/2006/relationships/image" Target="media/image6.png"/><Relationship Id="rId17" Type="http://schemas.openxmlformats.org/officeDocument/2006/relationships/image" Target="media/image5.emf"/><Relationship Id="rId16" Type="http://schemas.openxmlformats.org/officeDocument/2006/relationships/oleObject" Target="embeddings/oleObject2.bin"/><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emf"/><Relationship Id="rId12" Type="http://schemas.openxmlformats.org/officeDocument/2006/relationships/oleObject" Target="embeddings/oleObject1.bin"/><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46</Pages>
  <Words>4553</Words>
  <Characters>25955</Characters>
  <Lines>216</Lines>
  <Paragraphs>60</Paragraphs>
  <TotalTime>1</TotalTime>
  <ScaleCrop>false</ScaleCrop>
  <LinksUpToDate>false</LinksUpToDate>
  <CharactersWithSpaces>30448</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2024-03-18T02:08:00Z</dcterms:created>
  <dc:creator>lhj</dc:creator>
  <cp:lastModifiedBy>Administrator</cp:lastModifiedBy>
  <cp:lastPrinted>2020-12-29T02:43:00Z</cp:lastPrinted>
  <dcterms:modified xsi:type="dcterms:W3CDTF">2024-03-19T02:47:10Z</dcterms:modified>
  <dc:title>附件2</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73C77D85BA38470B80A3856F0DB946EA</vt:lpwstr>
  </property>
</Properties>
</file>