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-733" w:rightChars="-349" w:firstLine="880" w:firstLineChars="200"/>
        <w:jc w:val="left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石泉县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年政府决算情况说明</w:t>
      </w:r>
    </w:p>
    <w:p>
      <w:pPr>
        <w:widowControl/>
        <w:spacing w:line="560" w:lineRule="exact"/>
        <w:ind w:right="-512" w:rightChars="-244"/>
        <w:jc w:val="center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</w:rPr>
        <w:t>第一部分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 xml:space="preserve">  转移支付执行情况</w:t>
      </w:r>
    </w:p>
    <w:p>
      <w:pPr>
        <w:widowControl/>
        <w:spacing w:line="560" w:lineRule="exact"/>
        <w:ind w:right="-512" w:rightChars="-244"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年,中省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县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下达我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县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转移支付资金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9687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</w:rPr>
        <w:t>较上年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/>
        </w:rPr>
        <w:t>4719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其中：返还性收入2062万元，均衡性转移支付收入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53002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万元，县级基本财力保障机制奖补资金收入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10294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万元，结算补助收入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2686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万元，产粮(油)大县奖励资金收入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万元，重点生态功能区转移支付收入8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362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万元，固定数额补助收入9992万元，革命老区转移支付收入11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77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欠发达地区转移支付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11229万元，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公共安全共同财政事权转移支付收入1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683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万元，教育共同财政事权转移支付收入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7144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万元，文化旅游体育与传媒共同财政事权转移支付收入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1065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万元，社会保障和就业共同财政事权转移支付收入14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863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万元，医疗卫生共同财政事权转移支付收入1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2145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万元，节能环保共同财政事权转移支付收入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2163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万元，农林水共同财政事权转移支付收入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13269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万元，交通运输共同财政事权转移支付收入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4353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自然资源海洋气象等共同财政事权转移支付收入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200万元，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住房保障共同财政事权转移支付收入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1893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增值税留抵退税转移支付收入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231万元，补充县区财力转移支付收入6394万元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，专项转移支付收入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35278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万元。一般转移支付资金全部安排用于“三保”支出,专项转移支付全部安排用于社会保障和就业、节能环保、交通、水利、教育，住房保障等民生项目。</w:t>
      </w:r>
    </w:p>
    <w:p>
      <w:pPr>
        <w:widowControl/>
        <w:spacing w:line="560" w:lineRule="exact"/>
        <w:ind w:right="-512" w:rightChars="-244"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-512" w:rightChars="-244"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-512" w:rightChars="-244"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-512" w:rightChars="-244" w:firstLine="1600" w:firstLineChars="500"/>
        <w:jc w:val="both"/>
        <w:rPr>
          <w:rFonts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第二部分    全县政府债务有关情况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，省市转贷我县地方政府债务（债券）30734万元。一是政府一般债券转贷收入11630万元，其中：新增一般债券4680万元，主要用于G541后柳过境公路建设项目350万元、幼儿园回购500万元、交警大队基建项目354万元、财政衔接推进乡村振兴县级配套2900万元、秦岭小水电整治拆除项目350万元、小型水库运行226万元；再融资一般债券4307万元，主要用于偿还到期政府一般债券本金；地方政府向外国政府借款收入881万元、地方政府向国际组织借款收入1762万元，主要用于陕西特色小镇发展建设项目。二是政府专项债券转贷收入19104万元，其中：新增专项债券17859万元，主要用于县医院传染病救治能力提升项目2300万元、县城供水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续发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1000万元、经开区池河园区标准化厂房三期建设项目4000万元、西康高铁1259万元、城区幼儿园建设项目2000万元、移民搬迁安置就业基地2000万元、职教中心新建技能培训中心建设项目2800万元、池河园区标准化厂房二期建设项目2500万元；再融资专项债券1245万元，主要用于偿还到期政府专项债券本金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经省市核定，2022年全县政府债务限额20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万元，其中：一般债务限额11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专项债务限额90000万元。截止2022年底，全县纳入限额管理政府性债务余额191568万元，其中：一般债务102361万元，专项债务89207万元，政府债务余额均未超过限额。全年债券还本支出6897万元，其中：一般债券还本支出5497万元，专项债务还本支出1400万元；债务付息支出5943万元，债务发行费28万元。</w:t>
      </w:r>
    </w:p>
    <w:p>
      <w:pPr>
        <w:widowControl/>
        <w:spacing w:line="560" w:lineRule="exact"/>
        <w:ind w:right="-512" w:rightChars="-244"/>
        <w:jc w:val="center"/>
        <w:rPr>
          <w:rFonts w:ascii="黑体" w:hAnsi="宋体" w:eastAsia="黑体" w:cs="黑体"/>
          <w:color w:val="000000"/>
          <w:kern w:val="0"/>
          <w:sz w:val="31"/>
          <w:szCs w:val="31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第三部分  预算绩效管理开展情况</w:t>
      </w:r>
    </w:p>
    <w:p>
      <w:pPr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2022年以来，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认真落实中省市关于全面实施预算绩效管理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的决策部署，</w:t>
      </w:r>
      <w:r>
        <w:rPr>
          <w:rFonts w:hint="eastAsia" w:ascii="仿宋_GB2312" w:hAnsi="仿宋_GB2312" w:eastAsia="仿宋_GB2312" w:cs="仿宋_GB2312"/>
          <w:sz w:val="32"/>
          <w:szCs w:val="32"/>
        </w:rPr>
        <w:t>注重结果导向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强调成本效益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硬化责任约束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创新管理方式，财政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绩效管理水平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显著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于2022年3月组建了财政绩效评价中心，</w:t>
      </w:r>
      <w:r>
        <w:rPr>
          <w:rFonts w:hint="eastAsia" w:ascii="仿宋_GB2312" w:hAnsi="仿宋_GB2312" w:eastAsia="仿宋_GB2312" w:cs="仿宋_GB2312"/>
          <w:color w:val="1C1C1C"/>
          <w:sz w:val="32"/>
          <w:szCs w:val="32"/>
        </w:rPr>
        <w:t>明确机构和人员承担预算绩效管理工作，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选取3名工作人员专职从事预算绩效管理工作，</w:t>
      </w:r>
      <w:r>
        <w:rPr>
          <w:rFonts w:hint="eastAsia" w:ascii="仿宋_GB2312" w:hAnsi="仿宋_GB2312" w:eastAsia="仿宋_GB2312" w:cs="仿宋_GB2312"/>
          <w:color w:val="1C1C1C"/>
          <w:sz w:val="32"/>
          <w:szCs w:val="32"/>
        </w:rPr>
        <w:t>指导各镇、各部门提高预算绩效管理水平</w:t>
      </w:r>
      <w:r>
        <w:rPr>
          <w:rFonts w:hint="eastAsia" w:ascii="仿宋_GB2312" w:hAnsi="仿宋_GB2312" w:eastAsia="仿宋_GB2312" w:cs="仿宋_GB2312"/>
          <w:color w:val="1C1C1C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主要通过完善预算绩效管理基本制度、全面开展预算绩效管理业务工作、加强结果应用、扩大社会公开范围、加强业务培训和宣传，通过财政云预算绩效管理体系建设实现了绩效管理</w:t>
      </w:r>
      <w:r>
        <w:rPr>
          <w:rFonts w:hint="eastAsia" w:ascii="仿宋_GB2312" w:hAnsi="仿宋_GB2312" w:eastAsia="仿宋_GB2312" w:cs="仿宋_GB2312"/>
          <w:color w:val="1C1C1C"/>
          <w:sz w:val="32"/>
          <w:szCs w:val="32"/>
        </w:rPr>
        <w:t>与预算管理一体化</w:t>
      </w:r>
      <w:r>
        <w:rPr>
          <w:rFonts w:hint="eastAsia" w:ascii="仿宋_GB2312" w:hAnsi="仿宋_GB2312" w:eastAsia="仿宋_GB2312" w:cs="仿宋_GB2312"/>
          <w:color w:val="1C1C1C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完成了全方位全过程全覆盖实施预算绩效管理的目标。</w:t>
      </w:r>
    </w:p>
    <w:p>
      <w:pPr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经过一年的努力工作，完成了县委、县政府对预算绩效管理工作的具体要求，已</w:t>
      </w:r>
      <w:r>
        <w:rPr>
          <w:rFonts w:hint="eastAsia" w:ascii="仿宋_GB2312" w:hAnsi="仿宋_GB2312" w:eastAsia="仿宋_GB2312" w:cs="仿宋_GB2312"/>
          <w:color w:val="1C1C1C"/>
          <w:sz w:val="32"/>
          <w:szCs w:val="32"/>
        </w:rPr>
        <w:t>将预算绩效管理范围覆盖县镇两级预算部门和单位，延伸到</w:t>
      </w:r>
      <w:r>
        <w:rPr>
          <w:rFonts w:hint="eastAsia" w:ascii="仿宋_GB2312" w:hAnsi="仿宋_GB2312" w:eastAsia="仿宋_GB2312" w:cs="仿宋_GB2312"/>
          <w:color w:val="1C1C1C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1C1C1C"/>
          <w:sz w:val="32"/>
          <w:szCs w:val="32"/>
        </w:rPr>
        <w:t>基层单位和资金使用终端，将绩效理念、方法、措施、责任深度融入</w:t>
      </w:r>
      <w:r>
        <w:rPr>
          <w:rFonts w:hint="eastAsia" w:ascii="仿宋_GB2312" w:hAnsi="仿宋_GB2312" w:eastAsia="仿宋_GB2312" w:cs="仿宋_GB2312"/>
          <w:color w:val="1C1C1C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1C1C1C"/>
          <w:sz w:val="32"/>
          <w:szCs w:val="32"/>
        </w:rPr>
        <w:t>预算管理，覆盖</w:t>
      </w:r>
      <w:r>
        <w:rPr>
          <w:rFonts w:hint="eastAsia" w:ascii="仿宋_GB2312" w:hAnsi="仿宋_GB2312" w:eastAsia="仿宋_GB2312" w:cs="仿宋_GB2312"/>
          <w:color w:val="1C1C1C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1C1C1C"/>
          <w:sz w:val="32"/>
          <w:szCs w:val="32"/>
        </w:rPr>
        <w:t>所有财政资金，形成</w:t>
      </w:r>
      <w:r>
        <w:rPr>
          <w:rFonts w:hint="eastAsia" w:ascii="仿宋_GB2312" w:hAnsi="仿宋_GB2312" w:eastAsia="仿宋_GB2312" w:cs="仿宋_GB2312"/>
          <w:color w:val="1C1C1C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1C1C1C"/>
          <w:sz w:val="32"/>
          <w:szCs w:val="32"/>
        </w:rPr>
        <w:t>“全方位、全过程、全覆盖”及“有评估、有目标、有监控、有评价、有应用”的预算绩效管理体系，实现</w:t>
      </w:r>
      <w:r>
        <w:rPr>
          <w:rFonts w:hint="eastAsia" w:ascii="仿宋_GB2312" w:hAnsi="仿宋_GB2312" w:eastAsia="仿宋_GB2312" w:cs="仿宋_GB2312"/>
          <w:color w:val="1C1C1C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1C1C1C"/>
          <w:sz w:val="32"/>
          <w:szCs w:val="32"/>
        </w:rPr>
        <w:t>绩效管理与预算管理一体化，着力提高</w:t>
      </w:r>
      <w:r>
        <w:rPr>
          <w:rFonts w:hint="eastAsia" w:ascii="仿宋_GB2312" w:hAnsi="仿宋_GB2312" w:eastAsia="仿宋_GB2312" w:cs="仿宋_GB2312"/>
          <w:color w:val="1C1C1C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1C1C1C"/>
          <w:sz w:val="32"/>
          <w:szCs w:val="32"/>
        </w:rPr>
        <w:t>财政资源配置效率和使用效益。</w:t>
      </w:r>
    </w:p>
    <w:p>
      <w:pPr>
        <w:widowControl/>
        <w:spacing w:line="560" w:lineRule="exact"/>
        <w:ind w:right="-512" w:rightChars="-244"/>
        <w:jc w:val="center"/>
        <w:rPr>
          <w:rFonts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第四部分   “三公”经费情况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2" w:rightChars="-244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年部门决算汇总显示，全县行政事业单位“三公”经费预算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541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万元，支出5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万元，与上年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604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万元相比下降1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1.64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%。其中：因公出国（境）费用支出0万元，本年因公出国团组数0个，人数0人，同比持平；公务用车购置费支出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56.33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万元，同比下降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0.75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%；公务用车运行维护费用3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万元，同比下降3.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%；国内公务接待费用1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万元，同比下降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8.24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%。外事接待费0万元，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同比持平。三公经费支出总体下降，主要原因是严格执行八项规定及相关要求，严控公务接待以及公务车购置数量，确保三公经费只减不增。</w:t>
      </w:r>
    </w:p>
    <w:p>
      <w:pPr>
        <w:widowControl/>
        <w:ind w:right="-733" w:rightChars="-349" w:firstLine="640"/>
        <w:jc w:val="left"/>
        <w:rPr>
          <w:rFonts w:ascii="仿宋" w:hAnsi="仿宋" w:eastAsia="仿宋" w:cs="仿宋"/>
          <w:color w:val="000000"/>
          <w:kern w:val="0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k3NGM5ODczMzUwYzE0MzM5NDU0OTZjNmI2MmMzNDgifQ=="/>
  </w:docVars>
  <w:rsids>
    <w:rsidRoot w:val="006C37E0"/>
    <w:rsid w:val="0006181F"/>
    <w:rsid w:val="006C37E0"/>
    <w:rsid w:val="007B6B14"/>
    <w:rsid w:val="083A529C"/>
    <w:rsid w:val="0F3E3970"/>
    <w:rsid w:val="243F4301"/>
    <w:rsid w:val="2F266E56"/>
    <w:rsid w:val="34AD3612"/>
    <w:rsid w:val="4B82519D"/>
    <w:rsid w:val="4EDB74CE"/>
    <w:rsid w:val="537109A3"/>
    <w:rsid w:val="53EE5A4A"/>
    <w:rsid w:val="55E91CA8"/>
    <w:rsid w:val="56E53739"/>
    <w:rsid w:val="60B371C8"/>
    <w:rsid w:val="61376F4D"/>
    <w:rsid w:val="67847C1F"/>
    <w:rsid w:val="6DF22DAD"/>
    <w:rsid w:val="708D55BA"/>
    <w:rsid w:val="79786DA9"/>
    <w:rsid w:val="7D3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autoSpaceDE w:val="0"/>
      <w:autoSpaceDN w:val="0"/>
      <w:ind w:left="108"/>
      <w:jc w:val="left"/>
    </w:pPr>
    <w:rPr>
      <w:rFonts w:ascii="宋体" w:hAnsi="Times New Roman" w:eastAsia="宋体" w:cs="宋体"/>
      <w:kern w:val="0"/>
      <w:sz w:val="32"/>
      <w:szCs w:val="32"/>
      <w:lang w:val="zh-CN" w:eastAsia="zh-CN" w:bidi="zh-CN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271</Words>
  <Characters>1548</Characters>
  <Lines>12</Lines>
  <Paragraphs>3</Paragraphs>
  <TotalTime>74</TotalTime>
  <ScaleCrop>false</ScaleCrop>
  <LinksUpToDate>false</LinksUpToDate>
  <CharactersWithSpaces>1816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2023-09-11T03:01:00Z</dcterms:created>
  <dc:creator>lenovo</dc:creator>
  <cp:lastModifiedBy>lenovo</cp:lastModifiedBy>
  <cp:lastPrinted>2023-09-21T02:34:07Z</cp:lastPrinted>
  <dcterms:modified xsi:type="dcterms:W3CDTF">2023-09-21T03:03:47Z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367B6626A268452C91F1C3B7C62FD05F</vt:lpwstr>
  </property>
</Properties>
</file>