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石泉</w:t>
      </w:r>
      <w:r>
        <w:rPr>
          <w:rFonts w:ascii="方正小标宋简体" w:hAnsi="方正小标宋简体" w:eastAsia="方正小标宋简体" w:cs="方正小标宋简体"/>
          <w:sz w:val="44"/>
          <w:szCs w:val="44"/>
        </w:rPr>
        <w:t>县20</w:t>
      </w:r>
      <w:r>
        <w:rPr>
          <w:rFonts w:hint="eastAsia" w:ascii="方正小标宋简体" w:hAnsi="方正小标宋简体" w:eastAsia="方正小标宋简体" w:cs="方正小标宋简体"/>
          <w:sz w:val="44"/>
          <w:szCs w:val="44"/>
        </w:rPr>
        <w:t>22</w:t>
      </w:r>
      <w:r>
        <w:rPr>
          <w:rFonts w:ascii="方正小标宋简体" w:hAnsi="方正小标宋简体" w:eastAsia="方正小标宋简体" w:cs="方正小标宋简体"/>
          <w:sz w:val="44"/>
          <w:szCs w:val="44"/>
        </w:rPr>
        <w:t>年土地征收成片开发方案</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初</w:t>
      </w:r>
      <w:r>
        <w:rPr>
          <w:rFonts w:hint="eastAsia" w:ascii="方正小标宋简体" w:hAnsi="方正小标宋简体" w:eastAsia="方正小标宋简体" w:cs="方正小标宋简体"/>
          <w:sz w:val="44"/>
          <w:szCs w:val="44"/>
        </w:rPr>
        <w:t>稿）</w:t>
      </w:r>
    </w:p>
    <w:p>
      <w:pPr>
        <w:pStyle w:val="2"/>
        <w:shd w:val="clear" w:color="auto" w:fill="FFFFFF"/>
        <w:spacing w:before="0" w:beforeAutospacing="0" w:after="0" w:afterAutospacing="0" w:line="560" w:lineRule="exact"/>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w:t>
      </w:r>
      <w:r>
        <w:rPr>
          <w:rFonts w:ascii="方正小标宋简体" w:hAnsi="方正小标宋简体" w:eastAsia="方正小标宋简体" w:cs="方正小标宋简体"/>
          <w:kern w:val="2"/>
          <w:sz w:val="44"/>
          <w:szCs w:val="44"/>
        </w:rPr>
        <w:t>解读说明</w:t>
      </w:r>
      <w:r>
        <w:rPr>
          <w:rFonts w:hint="eastAsia" w:ascii="方正小标宋简体" w:hAnsi="方正小标宋简体" w:eastAsia="方正小标宋简体" w:cs="方正小标宋简体"/>
          <w:kern w:val="2"/>
          <w:sz w:val="44"/>
          <w:szCs w:val="44"/>
        </w:rPr>
        <w:t>）</w:t>
      </w:r>
    </w:p>
    <w:p>
      <w:pPr>
        <w:pStyle w:val="2"/>
        <w:shd w:val="clear" w:color="auto" w:fill="FFFFFF"/>
        <w:spacing w:before="0" w:beforeAutospacing="0" w:after="0" w:afterAutospacing="0" w:line="560" w:lineRule="exact"/>
        <w:jc w:val="center"/>
        <w:rPr>
          <w:rFonts w:ascii="方正小标宋简体" w:hAnsi="方正小标宋简体" w:eastAsia="方正小标宋简体" w:cs="方正小标宋简体"/>
          <w:kern w:val="2"/>
          <w:sz w:val="44"/>
          <w:szCs w:val="44"/>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为规范土地征收成片开发工作，严格保护耕地，加强土地征收管理，有序推进成片开发工作，保障全县经济社会发展用地，切实维护被征地农民的合法权益，</w:t>
      </w:r>
      <w:r>
        <w:rPr>
          <w:rFonts w:ascii="仿宋" w:hAnsi="仿宋" w:eastAsia="仿宋" w:cs="仿宋"/>
          <w:sz w:val="32"/>
          <w:szCs w:val="32"/>
        </w:rPr>
        <w:t>2022年8月</w:t>
      </w:r>
      <w:r>
        <w:rPr>
          <w:rFonts w:hint="eastAsia" w:ascii="仿宋" w:hAnsi="仿宋" w:eastAsia="仿宋" w:cs="仿宋"/>
          <w:sz w:val="32"/>
          <w:szCs w:val="32"/>
          <w:lang w:val="en-US" w:eastAsia="zh-CN"/>
        </w:rPr>
        <w:t>22</w:t>
      </w:r>
      <w:r>
        <w:rPr>
          <w:rFonts w:ascii="仿宋" w:hAnsi="仿宋" w:eastAsia="仿宋" w:cs="仿宋"/>
          <w:sz w:val="32"/>
          <w:szCs w:val="32"/>
        </w:rPr>
        <w:t>日，《</w:t>
      </w:r>
      <w:r>
        <w:rPr>
          <w:rFonts w:hint="eastAsia" w:ascii="仿宋" w:hAnsi="仿宋" w:eastAsia="仿宋" w:cs="仿宋"/>
          <w:sz w:val="32"/>
          <w:szCs w:val="32"/>
        </w:rPr>
        <w:t>石泉</w:t>
      </w:r>
      <w:r>
        <w:rPr>
          <w:rFonts w:ascii="仿宋" w:hAnsi="仿宋" w:eastAsia="仿宋" w:cs="仿宋"/>
          <w:sz w:val="32"/>
          <w:szCs w:val="32"/>
        </w:rPr>
        <w:t>县20</w:t>
      </w:r>
      <w:r>
        <w:rPr>
          <w:rFonts w:hint="eastAsia" w:ascii="仿宋" w:hAnsi="仿宋" w:eastAsia="仿宋" w:cs="仿宋"/>
          <w:sz w:val="32"/>
          <w:szCs w:val="32"/>
        </w:rPr>
        <w:t>22</w:t>
      </w:r>
      <w:r>
        <w:rPr>
          <w:rFonts w:ascii="仿宋" w:hAnsi="仿宋" w:eastAsia="仿宋" w:cs="仿宋"/>
          <w:sz w:val="32"/>
          <w:szCs w:val="32"/>
        </w:rPr>
        <w:t>年土地征收成片开发方案</w:t>
      </w:r>
      <w:r>
        <w:rPr>
          <w:rFonts w:hint="eastAsia" w:ascii="仿宋" w:hAnsi="仿宋" w:eastAsia="仿宋" w:cs="仿宋"/>
          <w:sz w:val="32"/>
          <w:szCs w:val="32"/>
        </w:rPr>
        <w:t>（初稿）</w:t>
      </w:r>
      <w:r>
        <w:rPr>
          <w:rFonts w:ascii="仿宋" w:hAnsi="仿宋" w:eastAsia="仿宋" w:cs="仿宋"/>
          <w:sz w:val="32"/>
          <w:szCs w:val="32"/>
        </w:rPr>
        <w:t>》已在县政府网站进行公开征求意见，现就有关内容解读如下：</w:t>
      </w:r>
    </w:p>
    <w:p>
      <w:pPr>
        <w:spacing w:line="560" w:lineRule="exact"/>
        <w:ind w:firstLine="643" w:firstLineChars="200"/>
        <w:outlineLvl w:val="0"/>
        <w:rPr>
          <w:rFonts w:ascii="黑体" w:hAnsi="黑体" w:eastAsia="黑体" w:cs="黑体"/>
          <w:b/>
          <w:sz w:val="32"/>
          <w:szCs w:val="32"/>
        </w:rPr>
      </w:pPr>
      <w:r>
        <w:rPr>
          <w:rFonts w:hint="eastAsia" w:ascii="黑体" w:hAnsi="黑体" w:eastAsia="黑体" w:cs="黑体"/>
          <w:b/>
          <w:sz w:val="32"/>
          <w:szCs w:val="32"/>
        </w:rPr>
        <w:t>一、编制背景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按照党的十八届三中全会确定的缩小征地范围，规范征地程序，完善对被征地农民合理、规范、多元保障机制改革要求，新修订的《土地管理法》（2020年1月1日起施行）首次通过实体目录列举方式对土地征收的公共利益进行界定。第四十五条规定：军事和外交，政府组织实施的基础设施、公共事业、扶贫搬迁和保障性安居工程，确需征收农民集体所有的土地的，可以征收农民集体所有土地。同时，考虑到我国正处于工业化、城镇化快速推进的时期，为了满足城市发展用地需求，第四十五条第一款第（五）项规定：为了公共利益的需要，在土地利用总体规划确定的城镇建设用地范围内，经省级以上人民政府批准由县级以上地方人民政府组织实施的成片开发建设确需征收农民集体所有的土地的，可以依法实施征收，但成片开发建设用地需符合自然资源部规定的标准方可实施征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贯彻落实新修订的《土地管理法》，2020年以来，自然资源部制定《土地征收成片开发标准（试行）》(自然资规〔2020〕5号）、陕西省自然资源厅制定《陕西省土地征收成片开发标准实施细则（试行）》（陕自然资规〔2022〕1号）等系列法规及政策规定，工业、商服业、住宅等经营性用地需征收农民集体土地的必须纳入经省政府批准的成片开发方案。为确保重点项目落地开工，保障全县经济社会高质量发展，经县政府2022年第3次常务会议确定，由我局负责，相关单位配合，编制《石泉县2022年土地征收成片开发方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初稿</w:t>
      </w:r>
      <w:r>
        <w:rPr>
          <w:rFonts w:hint="eastAsia" w:ascii="仿宋" w:hAnsi="仿宋" w:eastAsia="仿宋" w:cs="仿宋"/>
          <w:sz w:val="32"/>
          <w:szCs w:val="32"/>
          <w:lang w:eastAsia="zh-CN"/>
        </w:rPr>
        <w:t>）</w:t>
      </w:r>
      <w:r>
        <w:rPr>
          <w:rFonts w:hint="eastAsia" w:ascii="仿宋" w:hAnsi="仿宋" w:eastAsia="仿宋" w:cs="仿宋"/>
          <w:sz w:val="32"/>
          <w:szCs w:val="32"/>
        </w:rPr>
        <w:t>》（以下简称《方案》）</w:t>
      </w:r>
    </w:p>
    <w:p>
      <w:pPr>
        <w:spacing w:line="560" w:lineRule="exact"/>
        <w:ind w:firstLine="643" w:firstLineChars="200"/>
        <w:outlineLvl w:val="0"/>
        <w:rPr>
          <w:rFonts w:ascii="黑体" w:hAnsi="黑体" w:eastAsia="黑体" w:cs="黑体"/>
          <w:b/>
          <w:sz w:val="32"/>
          <w:szCs w:val="32"/>
        </w:rPr>
      </w:pPr>
      <w:r>
        <w:rPr>
          <w:rFonts w:hint="eastAsia" w:ascii="黑体" w:hAnsi="黑体" w:eastAsia="黑体" w:cs="黑体"/>
          <w:b/>
          <w:sz w:val="32"/>
          <w:szCs w:val="32"/>
        </w:rPr>
        <w:t>二、编制依据</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1.《中华人民共和国土地管理法》（2020年1月1日起施行）；</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2.《中华人民共和国土地管理法实施条例》（202</w:t>
      </w:r>
      <w:r>
        <w:rPr>
          <w:rFonts w:hint="eastAsia" w:ascii="仿宋" w:hAnsi="仿宋" w:eastAsia="仿宋" w:cs="仿宋"/>
          <w:sz w:val="32"/>
          <w:szCs w:val="32"/>
          <w:lang w:val="en-US" w:eastAsia="zh-CN"/>
        </w:rPr>
        <w:t>1</w:t>
      </w:r>
      <w:r>
        <w:rPr>
          <w:rFonts w:hint="eastAsia" w:ascii="仿宋" w:hAnsi="仿宋" w:eastAsia="仿宋" w:cs="仿宋"/>
          <w:sz w:val="32"/>
          <w:szCs w:val="32"/>
        </w:rPr>
        <w:t>年9月1日起施行）；</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3.《自然资源部关于印发&lt;土地征收成片开发标准（试行）&gt;的通知》（自然资规〔2020〕5号）；</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4.《陕西省自然资源厅关于印发&lt;陕西省土地征收成片开发标准实施细则（试行）&gt;的通知》（陕自然资规〔2022〕1号）；</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5.《陕西省自然资源厅印发&lt;关于依法依规做好全省建设用地组件报批有关工作&gt;的通知》（陕自然资办发〔2022〕16号）；</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6.《陕西省自然资源厅&lt;关于加快土地征收成片开发方案编制工作&gt;的通知》（陕自然资耕发〔2022〕9号）；</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7.石泉县人民政府2022年第3次常务会议纪要。</w:t>
      </w:r>
    </w:p>
    <w:p>
      <w:pPr>
        <w:spacing w:line="560" w:lineRule="exact"/>
        <w:ind w:firstLine="643"/>
        <w:outlineLvl w:val="0"/>
        <w:rPr>
          <w:rFonts w:ascii="黑体" w:hAnsi="黑体" w:eastAsia="黑体" w:cs="黑体"/>
          <w:b/>
          <w:sz w:val="32"/>
          <w:szCs w:val="32"/>
        </w:rPr>
      </w:pPr>
      <w:r>
        <w:rPr>
          <w:rFonts w:hint="eastAsia" w:ascii="黑体" w:hAnsi="黑体" w:eastAsia="黑体" w:cs="黑体"/>
          <w:b/>
          <w:sz w:val="32"/>
          <w:szCs w:val="32"/>
        </w:rPr>
        <w:t>三、方案编制要求</w:t>
      </w:r>
      <w:bookmarkStart w:id="2" w:name="_GoBack"/>
      <w:bookmarkEnd w:id="2"/>
    </w:p>
    <w:p>
      <w:pPr>
        <w:spacing w:line="560" w:lineRule="exact"/>
        <w:ind w:firstLine="643" w:firstLineChars="200"/>
        <w:outlineLvl w:val="1"/>
        <w:rPr>
          <w:rFonts w:ascii="仿宋" w:hAnsi="仿宋" w:eastAsia="仿宋" w:cs="仿宋"/>
          <w:b/>
          <w:sz w:val="32"/>
          <w:szCs w:val="32"/>
        </w:rPr>
      </w:pPr>
      <w:r>
        <w:rPr>
          <w:rFonts w:hint="eastAsia" w:ascii="仿宋" w:hAnsi="仿宋" w:eastAsia="仿宋" w:cs="仿宋"/>
          <w:b/>
          <w:sz w:val="32"/>
          <w:szCs w:val="32"/>
        </w:rPr>
        <w:t>（一）编制主体</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石泉县人民政府是成片开发的责任主体，负责统筹本行政区成片开发的方案编制、申报和实施。石泉县自然资源局负责实施成片开发方案的编制、组织和管理工作，组织听取被征地农民和有关方面的意见，编制完成后报县人民政府。</w:t>
      </w:r>
    </w:p>
    <w:p>
      <w:pPr>
        <w:spacing w:line="560" w:lineRule="exact"/>
        <w:ind w:firstLine="643" w:firstLineChars="200"/>
        <w:outlineLvl w:val="1"/>
        <w:rPr>
          <w:rFonts w:ascii="仿宋" w:hAnsi="仿宋" w:eastAsia="仿宋" w:cs="仿宋"/>
          <w:b/>
          <w:sz w:val="32"/>
          <w:szCs w:val="32"/>
        </w:rPr>
      </w:pPr>
      <w:r>
        <w:rPr>
          <w:rFonts w:hint="eastAsia" w:ascii="仿宋" w:hAnsi="仿宋" w:eastAsia="仿宋" w:cs="仿宋"/>
          <w:b/>
          <w:sz w:val="32"/>
          <w:szCs w:val="32"/>
        </w:rPr>
        <w:t>（二）编制范围</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成片开发范围应综合考虑国民经济和社会发展规划、国土空间规划用地布局、国民经济与社会发展计划、产业发展需求、基础设施建设计划、土地市场供需、区块特征等因素，结合行政区划确定。成片开发范围必须在国土空间规划确定的城镇开发边界的集中建设区内，可包含相对集中的一个或多个成片开发征收区域。成片开发实施期限原则上为3年。</w:t>
      </w:r>
    </w:p>
    <w:p>
      <w:pPr>
        <w:spacing w:line="560" w:lineRule="exact"/>
        <w:ind w:firstLine="643"/>
        <w:outlineLvl w:val="0"/>
        <w:rPr>
          <w:rFonts w:ascii="黑体" w:hAnsi="黑体" w:eastAsia="黑体" w:cs="黑体"/>
          <w:b/>
          <w:sz w:val="32"/>
          <w:szCs w:val="32"/>
        </w:rPr>
      </w:pPr>
      <w:bookmarkStart w:id="0" w:name="_Toc202"/>
      <w:bookmarkStart w:id="1" w:name="_Toc100215286"/>
      <w:r>
        <w:rPr>
          <w:rFonts w:hint="eastAsia" w:ascii="黑体" w:hAnsi="黑体" w:eastAsia="黑体" w:cs="黑体"/>
          <w:b/>
          <w:sz w:val="32"/>
          <w:szCs w:val="32"/>
        </w:rPr>
        <w:t>四、主要内容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本《方案》包括：文本、图件、表格等，涉及成片开发范围</w:t>
      </w:r>
      <w:r>
        <w:rPr>
          <w:rFonts w:ascii="仿宋" w:hAnsi="仿宋" w:eastAsia="仿宋" w:cs="仿宋"/>
          <w:sz w:val="32"/>
          <w:szCs w:val="32"/>
        </w:rPr>
        <w:t>141</w:t>
      </w:r>
      <w:r>
        <w:rPr>
          <w:rFonts w:hint="eastAsia" w:ascii="仿宋" w:hAnsi="仿宋" w:eastAsia="仿宋" w:cs="仿宋"/>
          <w:sz w:val="32"/>
          <w:szCs w:val="32"/>
        </w:rPr>
        <w:t>个，面积</w:t>
      </w:r>
      <w:r>
        <w:rPr>
          <w:rFonts w:ascii="仿宋" w:hAnsi="仿宋" w:eastAsia="仿宋" w:cs="仿宋"/>
          <w:sz w:val="32"/>
          <w:szCs w:val="32"/>
        </w:rPr>
        <w:t>382.9152</w:t>
      </w:r>
      <w:r>
        <w:rPr>
          <w:rFonts w:hint="eastAsia" w:ascii="仿宋" w:hAnsi="仿宋" w:eastAsia="仿宋" w:cs="仿宋"/>
          <w:sz w:val="32"/>
          <w:szCs w:val="32"/>
        </w:rPr>
        <w:t>公顷，</w:t>
      </w:r>
      <w:r>
        <w:rPr>
          <w:rFonts w:ascii="仿宋" w:hAnsi="仿宋" w:eastAsia="仿宋" w:cs="仿宋"/>
          <w:sz w:val="32"/>
          <w:szCs w:val="32"/>
        </w:rPr>
        <w:t>农用地240.4995公顷，占成片开发范围面积的62.81%；建设用地132.1190公顷，占成片开发范围面积的34.50%；未利用地10.2966公顷，占成片开发范围面积的2.69%。</w:t>
      </w:r>
      <w:r>
        <w:rPr>
          <w:rFonts w:hint="eastAsia" w:ascii="仿宋" w:hAnsi="仿宋" w:eastAsia="仿宋" w:cs="仿宋"/>
          <w:sz w:val="32"/>
          <w:szCs w:val="32"/>
        </w:rPr>
        <w:t>拟征收区域</w:t>
      </w:r>
      <w:r>
        <w:rPr>
          <w:rFonts w:ascii="仿宋" w:hAnsi="仿宋" w:eastAsia="仿宋" w:cs="仿宋"/>
          <w:sz w:val="32"/>
          <w:szCs w:val="32"/>
        </w:rPr>
        <w:t>202</w:t>
      </w:r>
      <w:r>
        <w:rPr>
          <w:rFonts w:hint="eastAsia" w:ascii="仿宋" w:hAnsi="仿宋" w:eastAsia="仿宋" w:cs="仿宋"/>
          <w:sz w:val="32"/>
          <w:szCs w:val="32"/>
        </w:rPr>
        <w:t>个地块，面积110.9904公顷，其中耕地面积69.3896公顷。成片开发范围涉及城关镇、池河镇、</w:t>
      </w:r>
      <w:r>
        <w:rPr>
          <w:rFonts w:ascii="仿宋" w:hAnsi="仿宋" w:eastAsia="仿宋" w:cs="仿宋"/>
          <w:sz w:val="32"/>
          <w:szCs w:val="32"/>
        </w:rPr>
        <w:t>后柳镇、熨斗镇、两河镇、饶峰镇、喜河镇、中池镇、迎丰镇、云雾山镇、曾溪镇共11个镇50个村。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本《方案》</w:t>
      </w:r>
      <w:r>
        <w:rPr>
          <w:rFonts w:ascii="仿宋" w:hAnsi="仿宋" w:eastAsia="仿宋" w:cs="仿宋"/>
          <w:sz w:val="32"/>
          <w:szCs w:val="32"/>
        </w:rPr>
        <w:t>公益性用地面积199.5730公顷，占成片开发范围用地的52.12</w:t>
      </w:r>
      <w:r>
        <w:rPr>
          <w:rFonts w:hint="eastAsia" w:ascii="仿宋" w:hAnsi="仿宋" w:eastAsia="仿宋" w:cs="仿宋"/>
          <w:sz w:val="32"/>
          <w:szCs w:val="32"/>
        </w:rPr>
        <w:t>%</w:t>
      </w:r>
      <w:r>
        <w:rPr>
          <w:rFonts w:ascii="仿宋" w:hAnsi="仿宋" w:eastAsia="仿宋" w:cs="仿宋"/>
          <w:sz w:val="32"/>
          <w:szCs w:val="32"/>
        </w:rPr>
        <w:t>；非公益性用地面积183.3449公顷，占成片开发范围用地的47.88</w:t>
      </w:r>
      <w:r>
        <w:rPr>
          <w:rFonts w:hint="eastAsia" w:ascii="仿宋" w:hAnsi="仿宋" w:eastAsia="仿宋" w:cs="仿宋"/>
          <w:sz w:val="32"/>
          <w:szCs w:val="32"/>
        </w:rPr>
        <w:t>%</w:t>
      </w:r>
      <w:r>
        <w:rPr>
          <w:rFonts w:ascii="仿宋" w:hAnsi="仿宋" w:eastAsia="仿宋" w:cs="仿宋"/>
          <w:sz w:val="32"/>
          <w:szCs w:val="32"/>
        </w:rPr>
        <w:t>。</w:t>
      </w:r>
      <w:r>
        <w:rPr>
          <w:rFonts w:hint="eastAsia" w:ascii="仿宋" w:hAnsi="仿宋" w:eastAsia="仿宋" w:cs="仿宋"/>
          <w:sz w:val="32"/>
          <w:szCs w:val="32"/>
        </w:rPr>
        <w:t>其中：</w:t>
      </w:r>
      <w:r>
        <w:rPr>
          <w:rFonts w:ascii="仿宋" w:hAnsi="仿宋" w:eastAsia="仿宋" w:cs="仿宋"/>
          <w:sz w:val="32"/>
          <w:szCs w:val="32"/>
        </w:rPr>
        <w:t>规划公益性用地面积122.0108公顷，占</w:t>
      </w:r>
      <w:r>
        <w:rPr>
          <w:rFonts w:hint="eastAsia" w:ascii="仿宋" w:hAnsi="仿宋" w:eastAsia="仿宋" w:cs="仿宋"/>
          <w:sz w:val="32"/>
          <w:szCs w:val="32"/>
        </w:rPr>
        <w:t>成片开发范围总</w:t>
      </w:r>
      <w:r>
        <w:rPr>
          <w:rFonts w:ascii="仿宋" w:hAnsi="仿宋" w:eastAsia="仿宋" w:cs="仿宋"/>
          <w:sz w:val="32"/>
          <w:szCs w:val="32"/>
        </w:rPr>
        <w:t>面积的31.86%；现状公益性用地面积77.5595公顷，占</w:t>
      </w:r>
      <w:r>
        <w:rPr>
          <w:rFonts w:hint="eastAsia" w:ascii="仿宋" w:hAnsi="仿宋" w:eastAsia="仿宋" w:cs="仿宋"/>
          <w:sz w:val="32"/>
          <w:szCs w:val="32"/>
        </w:rPr>
        <w:t>成片开发范围总</w:t>
      </w:r>
      <w:r>
        <w:rPr>
          <w:rFonts w:ascii="仿宋" w:hAnsi="仿宋" w:eastAsia="仿宋" w:cs="仿宋"/>
          <w:sz w:val="32"/>
          <w:szCs w:val="32"/>
        </w:rPr>
        <w:t>面积的的20.26%。</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本《方案》计划实施周期为2022年-2024年，3年内实施完毕。其中：2022年计划实施项目</w:t>
      </w:r>
      <w:r>
        <w:rPr>
          <w:rFonts w:ascii="仿宋" w:hAnsi="仿宋" w:eastAsia="仿宋" w:cs="仿宋"/>
          <w:sz w:val="32"/>
          <w:szCs w:val="32"/>
        </w:rPr>
        <w:t>15</w:t>
      </w:r>
      <w:r>
        <w:rPr>
          <w:rFonts w:hint="eastAsia" w:ascii="仿宋" w:hAnsi="仿宋" w:eastAsia="仿宋" w:cs="仿宋"/>
          <w:sz w:val="32"/>
          <w:szCs w:val="32"/>
        </w:rPr>
        <w:t>个，用地面积</w:t>
      </w:r>
      <w:r>
        <w:rPr>
          <w:rFonts w:ascii="仿宋" w:hAnsi="仿宋" w:eastAsia="仿宋" w:cs="仿宋"/>
          <w:sz w:val="32"/>
          <w:szCs w:val="32"/>
        </w:rPr>
        <w:t>17.854</w:t>
      </w:r>
      <w:r>
        <w:rPr>
          <w:rFonts w:hint="eastAsia" w:ascii="仿宋" w:hAnsi="仿宋" w:eastAsia="仿宋" w:cs="仿宋"/>
          <w:sz w:val="32"/>
          <w:szCs w:val="32"/>
        </w:rPr>
        <w:t>0公顷，占成片开发范围拟用地总面积的</w:t>
      </w:r>
      <w:r>
        <w:rPr>
          <w:rFonts w:ascii="仿宋" w:hAnsi="仿宋" w:eastAsia="仿宋" w:cs="仿宋"/>
          <w:sz w:val="32"/>
          <w:szCs w:val="32"/>
        </w:rPr>
        <w:t>10.72</w:t>
      </w:r>
      <w:r>
        <w:rPr>
          <w:rFonts w:hint="eastAsia" w:ascii="仿宋" w:hAnsi="仿宋" w:eastAsia="仿宋" w:cs="仿宋"/>
          <w:sz w:val="32"/>
          <w:szCs w:val="32"/>
        </w:rPr>
        <w:t>%;2023年计划实施项目</w:t>
      </w:r>
      <w:r>
        <w:rPr>
          <w:rFonts w:ascii="仿宋" w:hAnsi="仿宋" w:eastAsia="仿宋" w:cs="仿宋"/>
          <w:sz w:val="32"/>
          <w:szCs w:val="32"/>
        </w:rPr>
        <w:t>72</w:t>
      </w:r>
      <w:r>
        <w:rPr>
          <w:rFonts w:hint="eastAsia" w:ascii="仿宋" w:hAnsi="仿宋" w:eastAsia="仿宋" w:cs="仿宋"/>
          <w:sz w:val="32"/>
          <w:szCs w:val="32"/>
        </w:rPr>
        <w:t>个，用地面积</w:t>
      </w:r>
      <w:r>
        <w:rPr>
          <w:rFonts w:ascii="仿宋" w:hAnsi="仿宋" w:eastAsia="仿宋" w:cs="仿宋"/>
          <w:sz w:val="32"/>
          <w:szCs w:val="32"/>
        </w:rPr>
        <w:t>103.6189</w:t>
      </w:r>
      <w:r>
        <w:rPr>
          <w:rFonts w:hint="eastAsia" w:ascii="仿宋" w:hAnsi="仿宋" w:eastAsia="仿宋" w:cs="仿宋"/>
          <w:sz w:val="32"/>
          <w:szCs w:val="32"/>
        </w:rPr>
        <w:t>公顷，占成片开发范围拟用地总面积的</w:t>
      </w:r>
      <w:r>
        <w:rPr>
          <w:rFonts w:ascii="仿宋" w:hAnsi="仿宋" w:eastAsia="仿宋" w:cs="仿宋"/>
          <w:sz w:val="32"/>
          <w:szCs w:val="32"/>
        </w:rPr>
        <w:t>62.20</w:t>
      </w:r>
      <w:r>
        <w:rPr>
          <w:rFonts w:hint="eastAsia" w:ascii="仿宋" w:hAnsi="仿宋" w:eastAsia="仿宋" w:cs="仿宋"/>
          <w:sz w:val="32"/>
          <w:szCs w:val="32"/>
        </w:rPr>
        <w:t>%;2024年计划实施项目</w:t>
      </w:r>
      <w:r>
        <w:rPr>
          <w:rFonts w:ascii="仿宋" w:hAnsi="仿宋" w:eastAsia="仿宋" w:cs="仿宋"/>
          <w:sz w:val="32"/>
          <w:szCs w:val="32"/>
        </w:rPr>
        <w:t>34</w:t>
      </w:r>
      <w:r>
        <w:rPr>
          <w:rFonts w:hint="eastAsia" w:ascii="仿宋" w:hAnsi="仿宋" w:eastAsia="仿宋" w:cs="仿宋"/>
          <w:sz w:val="32"/>
          <w:szCs w:val="32"/>
        </w:rPr>
        <w:t>个，用地面积</w:t>
      </w:r>
      <w:r>
        <w:rPr>
          <w:rFonts w:ascii="仿宋" w:hAnsi="仿宋" w:eastAsia="仿宋" w:cs="仿宋"/>
          <w:sz w:val="32"/>
          <w:szCs w:val="32"/>
        </w:rPr>
        <w:t>45.1137</w:t>
      </w:r>
      <w:r>
        <w:rPr>
          <w:rFonts w:hint="eastAsia" w:ascii="仿宋" w:hAnsi="仿宋" w:eastAsia="仿宋" w:cs="仿宋"/>
          <w:sz w:val="32"/>
          <w:szCs w:val="32"/>
        </w:rPr>
        <w:t>公顷，占成片开发范围拟用地总面积的</w:t>
      </w:r>
      <w:r>
        <w:rPr>
          <w:rFonts w:ascii="仿宋" w:hAnsi="仿宋" w:eastAsia="仿宋" w:cs="仿宋"/>
          <w:sz w:val="32"/>
          <w:szCs w:val="32"/>
        </w:rPr>
        <w:t>27.08</w:t>
      </w:r>
      <w:r>
        <w:rPr>
          <w:rFonts w:hint="eastAsia" w:ascii="仿宋" w:hAnsi="仿宋" w:eastAsia="仿宋" w:cs="仿宋"/>
          <w:sz w:val="32"/>
          <w:szCs w:val="32"/>
        </w:rPr>
        <w:t>%。</w:t>
      </w:r>
    </w:p>
    <w:bookmarkEnd w:id="0"/>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3YTlhZjRiMjc5OTNiMDcxYjg3YjAxNDEyMWUzNmYifQ=="/>
  </w:docVars>
  <w:rsids>
    <w:rsidRoot w:val="00787710"/>
    <w:rsid w:val="00016E9B"/>
    <w:rsid w:val="00150940"/>
    <w:rsid w:val="004D153A"/>
    <w:rsid w:val="00787710"/>
    <w:rsid w:val="007A3F9C"/>
    <w:rsid w:val="00822851"/>
    <w:rsid w:val="00A46520"/>
    <w:rsid w:val="00A47764"/>
    <w:rsid w:val="00C018B1"/>
    <w:rsid w:val="00C90481"/>
    <w:rsid w:val="00CB6F9A"/>
    <w:rsid w:val="02FB663F"/>
    <w:rsid w:val="33A65CE5"/>
    <w:rsid w:val="71F31B1A"/>
    <w:rsid w:val="74C31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1727</Words>
  <Characters>1957</Characters>
  <Lines>14</Lines>
  <Paragraphs>3</Paragraphs>
  <TotalTime>54</TotalTime>
  <ScaleCrop>false</ScaleCrop>
  <LinksUpToDate>false</LinksUpToDate>
  <CharactersWithSpaces>1957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2022-08-19T07:10:00Z</dcterms:created>
  <dc:creator>紫曦清湖</dc:creator>
  <cp:lastModifiedBy>wy</cp:lastModifiedBy>
  <dcterms:modified xsi:type="dcterms:W3CDTF">2022-08-23T00:49:40Z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8BB797F556D14D2D82495A0B632B97DA</vt:lpwstr>
  </property>
</Properties>
</file>