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仿宋_GB2312"/>
          <w:sz w:val="36"/>
          <w:szCs w:val="36"/>
        </w:rPr>
      </w:pPr>
      <w:bookmarkStart w:id="0" w:name="_Hlk108635598"/>
      <w:bookmarkStart w:id="7" w:name="_GoBack"/>
      <w:bookmarkEnd w:id="7"/>
    </w:p>
    <w:p>
      <w:pPr>
        <w:ind w:firstLine="0" w:firstLineChars="0"/>
        <w:jc w:val="center"/>
        <w:rPr>
          <w:rFonts w:eastAsia="仿宋_GB2312"/>
          <w:sz w:val="36"/>
          <w:szCs w:val="36"/>
        </w:rPr>
      </w:pPr>
    </w:p>
    <w:p>
      <w:pPr>
        <w:ind w:firstLine="0" w:firstLineChars="0"/>
        <w:jc w:val="center"/>
        <w:rPr>
          <w:rFonts w:eastAsia="仿宋_GB2312"/>
          <w:sz w:val="36"/>
          <w:szCs w:val="36"/>
        </w:rPr>
      </w:pPr>
    </w:p>
    <w:p>
      <w:pPr>
        <w:ind w:firstLine="0" w:firstLineChars="0"/>
        <w:jc w:val="center"/>
        <w:outlineLvl w:val="0"/>
        <w:rPr>
          <w:rFonts w:eastAsia="方正小标宋_GBK"/>
          <w:bCs/>
          <w:sz w:val="72"/>
          <w:szCs w:val="72"/>
        </w:rPr>
      </w:pPr>
      <w:r>
        <w:rPr>
          <w:rFonts w:eastAsia="方正小标宋_GBK"/>
          <w:bCs/>
          <w:sz w:val="72"/>
          <w:szCs w:val="72"/>
        </w:rPr>
        <w:t>建设项目环境影响报告表</w:t>
      </w:r>
    </w:p>
    <w:p>
      <w:pPr>
        <w:ind w:firstLine="0" w:firstLineChars="0"/>
        <w:jc w:val="center"/>
        <w:rPr>
          <w:rFonts w:eastAsia="楷体_GB2312"/>
          <w:bCs/>
          <w:sz w:val="48"/>
          <w:szCs w:val="48"/>
        </w:rPr>
      </w:pPr>
      <w:r>
        <w:rPr>
          <w:rFonts w:eastAsia="楷体_GB2312"/>
          <w:bCs/>
          <w:sz w:val="48"/>
          <w:szCs w:val="48"/>
        </w:rPr>
        <w:t>（污染影响类）</w:t>
      </w:r>
    </w:p>
    <w:p>
      <w:pPr>
        <w:spacing w:line="288" w:lineRule="auto"/>
        <w:ind w:firstLine="0" w:firstLineChars="0"/>
        <w:jc w:val="center"/>
        <w:outlineLvl w:val="0"/>
        <w:rPr>
          <w:rFonts w:eastAsia="华文仿宋"/>
          <w:kern w:val="44"/>
          <w:sz w:val="44"/>
          <w:szCs w:val="44"/>
        </w:rPr>
      </w:pPr>
    </w:p>
    <w:p>
      <w:pPr>
        <w:ind w:firstLine="0" w:firstLineChars="0"/>
        <w:jc w:val="center"/>
        <w:rPr>
          <w:rFonts w:eastAsia="仿宋"/>
          <w:sz w:val="52"/>
          <w:szCs w:val="52"/>
        </w:rPr>
      </w:pPr>
    </w:p>
    <w:p>
      <w:pPr>
        <w:ind w:firstLine="0" w:firstLineChars="0"/>
        <w:jc w:val="center"/>
        <w:rPr>
          <w:rFonts w:eastAsia="仿宋"/>
          <w:sz w:val="52"/>
          <w:szCs w:val="52"/>
        </w:rPr>
      </w:pPr>
    </w:p>
    <w:p>
      <w:pPr>
        <w:ind w:firstLine="880"/>
        <w:rPr>
          <w:rFonts w:eastAsia="仿宋"/>
          <w:sz w:val="44"/>
          <w:szCs w:val="44"/>
        </w:rPr>
      </w:pPr>
    </w:p>
    <w:p>
      <w:pPr>
        <w:ind w:firstLine="0" w:firstLineChars="0"/>
        <w:jc w:val="center"/>
        <w:rPr>
          <w:rFonts w:eastAsia="仿宋_GB2312"/>
          <w:sz w:val="36"/>
          <w:szCs w:val="36"/>
          <w:u w:val="single"/>
        </w:rPr>
      </w:pPr>
      <w:r>
        <w:rPr>
          <w:rFonts w:eastAsia="仿宋_GB2312"/>
          <w:sz w:val="36"/>
          <w:szCs w:val="36"/>
        </w:rPr>
        <w:t>项目名称：</w:t>
      </w:r>
      <w:r>
        <w:rPr>
          <w:rFonts w:hint="eastAsia" w:eastAsia="仿宋_GB2312"/>
          <w:sz w:val="36"/>
          <w:szCs w:val="36"/>
          <w:u w:val="single"/>
        </w:rPr>
        <w:t>石泉县再生资源回收利用建设项目</w:t>
      </w:r>
    </w:p>
    <w:p>
      <w:pPr>
        <w:ind w:right="25" w:rightChars="12" w:firstLine="0" w:firstLineChars="0"/>
        <w:jc w:val="center"/>
        <w:rPr>
          <w:rFonts w:eastAsia="仿宋_GB2312"/>
          <w:sz w:val="36"/>
          <w:szCs w:val="36"/>
          <w:u w:val="single"/>
        </w:rPr>
      </w:pPr>
      <w:r>
        <w:rPr>
          <w:rFonts w:eastAsia="仿宋_GB2312"/>
          <w:sz w:val="36"/>
          <w:szCs w:val="36"/>
        </w:rPr>
        <w:t>建设单位（盖章）：</w:t>
      </w:r>
      <w:r>
        <w:rPr>
          <w:rFonts w:hint="eastAsia" w:eastAsia="仿宋_GB2312"/>
          <w:sz w:val="36"/>
          <w:szCs w:val="36"/>
          <w:u w:val="single"/>
        </w:rPr>
        <w:t>安康爱博绿环保科技有限公司</w:t>
      </w:r>
    </w:p>
    <w:p>
      <w:pPr>
        <w:ind w:firstLine="720"/>
        <w:jc w:val="center"/>
        <w:rPr>
          <w:rFonts w:eastAsia="仿宋_GB2312"/>
          <w:sz w:val="36"/>
          <w:szCs w:val="36"/>
          <w:u w:val="single"/>
        </w:rPr>
      </w:pPr>
      <w:r>
        <w:rPr>
          <w:rFonts w:eastAsia="仿宋_GB2312"/>
          <w:sz w:val="36"/>
          <w:szCs w:val="36"/>
        </w:rPr>
        <w:t>编制日期：</w:t>
      </w:r>
      <w:r>
        <w:rPr>
          <w:rFonts w:eastAsia="仿宋_GB2312"/>
          <w:sz w:val="36"/>
          <w:szCs w:val="36"/>
          <w:u w:val="single"/>
        </w:rPr>
        <w:t>二</w:t>
      </w:r>
      <w:r>
        <w:rPr>
          <w:rFonts w:hAnsi="宋体"/>
          <w:sz w:val="36"/>
          <w:szCs w:val="36"/>
          <w:u w:val="single"/>
        </w:rPr>
        <w:t>〇</w:t>
      </w:r>
      <w:r>
        <w:rPr>
          <w:rFonts w:hAnsi="仿宋_GB2312" w:eastAsia="仿宋_GB2312"/>
          <w:sz w:val="36"/>
          <w:szCs w:val="36"/>
          <w:u w:val="single"/>
        </w:rPr>
        <w:t>二</w:t>
      </w:r>
      <w:r>
        <w:rPr>
          <w:rFonts w:hint="eastAsia" w:hAnsi="仿宋_GB2312" w:eastAsia="仿宋_GB2312"/>
          <w:sz w:val="36"/>
          <w:szCs w:val="36"/>
          <w:u w:val="single"/>
        </w:rPr>
        <w:t>二</w:t>
      </w:r>
      <w:r>
        <w:rPr>
          <w:rFonts w:hAnsi="仿宋_GB2312" w:eastAsia="仿宋_GB2312"/>
          <w:sz w:val="36"/>
          <w:szCs w:val="36"/>
          <w:u w:val="single"/>
        </w:rPr>
        <w:t>年</w:t>
      </w:r>
      <w:r>
        <w:rPr>
          <w:rFonts w:hint="eastAsia" w:hAnsi="仿宋_GB2312" w:eastAsia="仿宋_GB2312"/>
          <w:sz w:val="36"/>
          <w:szCs w:val="36"/>
          <w:u w:val="single"/>
        </w:rPr>
        <w:t>七</w:t>
      </w:r>
      <w:r>
        <w:rPr>
          <w:rFonts w:hAnsi="仿宋_GB2312" w:eastAsia="仿宋_GB2312"/>
          <w:sz w:val="36"/>
          <w:szCs w:val="36"/>
          <w:u w:val="single"/>
        </w:rPr>
        <w:t>月</w:t>
      </w:r>
    </w:p>
    <w:p>
      <w:pPr>
        <w:spacing w:line="288" w:lineRule="auto"/>
        <w:ind w:firstLine="720"/>
        <w:rPr>
          <w:rFonts w:eastAsia="仿宋_GB2312"/>
          <w:sz w:val="36"/>
          <w:szCs w:val="36"/>
          <w:u w:val="single"/>
        </w:rPr>
      </w:pPr>
      <w:bookmarkStart w:id="1" w:name="_Hlk57884087"/>
    </w:p>
    <w:p>
      <w:pPr>
        <w:spacing w:line="288" w:lineRule="auto"/>
        <w:ind w:firstLine="720"/>
        <w:rPr>
          <w:rFonts w:eastAsia="仿宋_GB2312"/>
          <w:sz w:val="36"/>
          <w:szCs w:val="36"/>
        </w:rPr>
      </w:pPr>
    </w:p>
    <w:p>
      <w:pPr>
        <w:spacing w:line="288" w:lineRule="auto"/>
        <w:ind w:firstLine="720"/>
        <w:rPr>
          <w:rFonts w:eastAsia="仿宋_GB2312"/>
          <w:sz w:val="36"/>
          <w:szCs w:val="36"/>
        </w:rPr>
      </w:pPr>
    </w:p>
    <w:p>
      <w:pPr>
        <w:spacing w:line="288" w:lineRule="auto"/>
        <w:ind w:firstLine="720"/>
        <w:rPr>
          <w:rFonts w:eastAsia="仿宋_GB2312"/>
          <w:sz w:val="36"/>
          <w:szCs w:val="36"/>
        </w:rPr>
      </w:pPr>
    </w:p>
    <w:bookmarkEnd w:id="1"/>
    <w:p>
      <w:pPr>
        <w:spacing w:line="288" w:lineRule="auto"/>
        <w:ind w:firstLine="0" w:firstLineChars="0"/>
        <w:jc w:val="center"/>
        <w:rPr>
          <w:rFonts w:eastAsia="楷体_GB2312"/>
          <w:sz w:val="36"/>
          <w:szCs w:val="36"/>
        </w:rPr>
      </w:pPr>
      <w:r>
        <w:rPr>
          <w:rFonts w:eastAsia="楷体_GB2312"/>
          <w:sz w:val="36"/>
          <w:szCs w:val="36"/>
        </w:rPr>
        <w:t>中华人民共和国生态环境部制</w:t>
      </w:r>
    </w:p>
    <w:p>
      <w:pPr>
        <w:ind w:firstLine="420"/>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992" w:gutter="0"/>
          <w:cols w:space="425" w:num="1"/>
          <w:docGrid w:type="lines" w:linePitch="312" w:charSpace="0"/>
        </w:sectPr>
      </w:pPr>
    </w:p>
    <w:p>
      <w:pPr>
        <w:pStyle w:val="2"/>
        <w:rPr>
          <w:b w:val="0"/>
        </w:rPr>
      </w:pPr>
      <w:r>
        <w:rPr>
          <w:rFonts w:hint="eastAsia"/>
          <w:b w:val="0"/>
        </w:rPr>
        <w:t>一、建设项目基本情况</w:t>
      </w: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2596"/>
        <w:gridCol w:w="149"/>
        <w:gridCol w:w="1843"/>
        <w:gridCol w:w="185"/>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899" w:type="dxa"/>
            <w:vAlign w:val="center"/>
          </w:tcPr>
          <w:p>
            <w:pPr>
              <w:spacing w:line="240" w:lineRule="auto"/>
              <w:ind w:firstLine="0" w:firstLineChars="0"/>
              <w:jc w:val="center"/>
              <w:rPr>
                <w:sz w:val="24"/>
                <w:szCs w:val="24"/>
              </w:rPr>
            </w:pPr>
            <w:r>
              <w:rPr>
                <w:sz w:val="24"/>
                <w:szCs w:val="24"/>
              </w:rPr>
              <w:t>建设项目名称</w:t>
            </w:r>
          </w:p>
        </w:tc>
        <w:tc>
          <w:tcPr>
            <w:tcW w:w="7387" w:type="dxa"/>
            <w:gridSpan w:val="5"/>
            <w:vAlign w:val="center"/>
          </w:tcPr>
          <w:p>
            <w:pPr>
              <w:spacing w:line="240" w:lineRule="auto"/>
              <w:ind w:firstLine="0" w:firstLineChars="0"/>
              <w:jc w:val="center"/>
              <w:rPr>
                <w:sz w:val="24"/>
                <w:szCs w:val="24"/>
              </w:rPr>
            </w:pPr>
            <w:r>
              <w:rPr>
                <w:rFonts w:hint="eastAsia"/>
                <w:sz w:val="24"/>
              </w:rPr>
              <w:t>石泉县再生资源回收利用建设项目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99" w:type="dxa"/>
            <w:vAlign w:val="center"/>
          </w:tcPr>
          <w:p>
            <w:pPr>
              <w:spacing w:line="240" w:lineRule="auto"/>
              <w:ind w:firstLine="0" w:firstLineChars="0"/>
              <w:jc w:val="center"/>
              <w:rPr>
                <w:sz w:val="24"/>
                <w:szCs w:val="24"/>
              </w:rPr>
            </w:pPr>
            <w:r>
              <w:rPr>
                <w:sz w:val="24"/>
                <w:szCs w:val="24"/>
              </w:rPr>
              <w:t>项目代码</w:t>
            </w:r>
          </w:p>
        </w:tc>
        <w:tc>
          <w:tcPr>
            <w:tcW w:w="7387" w:type="dxa"/>
            <w:gridSpan w:val="5"/>
            <w:vAlign w:val="center"/>
          </w:tcPr>
          <w:p>
            <w:pPr>
              <w:spacing w:line="240" w:lineRule="auto"/>
              <w:ind w:firstLine="0" w:firstLineChars="0"/>
              <w:jc w:val="center"/>
              <w:rPr>
                <w:sz w:val="24"/>
                <w:szCs w:val="24"/>
              </w:rPr>
            </w:pPr>
            <w:r>
              <w:rPr>
                <w:rFonts w:hint="eastAsia"/>
                <w:sz w:val="24"/>
              </w:rPr>
              <w:t>2207-610922-04-01-211292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99" w:type="dxa"/>
            <w:vAlign w:val="center"/>
          </w:tcPr>
          <w:p>
            <w:pPr>
              <w:spacing w:line="240" w:lineRule="auto"/>
              <w:ind w:firstLine="0" w:firstLineChars="0"/>
              <w:jc w:val="center"/>
              <w:rPr>
                <w:sz w:val="24"/>
                <w:szCs w:val="24"/>
              </w:rPr>
            </w:pPr>
            <w:r>
              <w:rPr>
                <w:sz w:val="24"/>
                <w:szCs w:val="24"/>
              </w:rPr>
              <w:t>建设单位联系人</w:t>
            </w:r>
          </w:p>
        </w:tc>
        <w:tc>
          <w:tcPr>
            <w:tcW w:w="2596" w:type="dxa"/>
            <w:vAlign w:val="center"/>
          </w:tcPr>
          <w:p>
            <w:pPr>
              <w:spacing w:line="240" w:lineRule="auto"/>
              <w:ind w:firstLine="0" w:firstLineChars="0"/>
              <w:jc w:val="center"/>
              <w:rPr>
                <w:sz w:val="24"/>
                <w:szCs w:val="24"/>
              </w:rPr>
            </w:pPr>
            <w:r>
              <w:rPr>
                <w:rFonts w:hint="eastAsia"/>
                <w:sz w:val="24"/>
                <w:szCs w:val="24"/>
              </w:rPr>
              <w:t>魏xx</w:t>
            </w:r>
          </w:p>
        </w:tc>
        <w:tc>
          <w:tcPr>
            <w:tcW w:w="2177" w:type="dxa"/>
            <w:gridSpan w:val="3"/>
            <w:vAlign w:val="center"/>
          </w:tcPr>
          <w:p>
            <w:pPr>
              <w:spacing w:line="240" w:lineRule="auto"/>
              <w:ind w:firstLine="0" w:firstLineChars="0"/>
              <w:jc w:val="center"/>
              <w:rPr>
                <w:sz w:val="24"/>
                <w:szCs w:val="24"/>
              </w:rPr>
            </w:pPr>
            <w:r>
              <w:rPr>
                <w:sz w:val="24"/>
                <w:szCs w:val="24"/>
              </w:rPr>
              <w:t>联系方式</w:t>
            </w:r>
          </w:p>
        </w:tc>
        <w:tc>
          <w:tcPr>
            <w:tcW w:w="2614" w:type="dxa"/>
            <w:vAlign w:val="center"/>
          </w:tcPr>
          <w:p>
            <w:pPr>
              <w:spacing w:line="240" w:lineRule="auto"/>
              <w:ind w:firstLine="0" w:firstLineChars="0"/>
              <w:jc w:val="center"/>
              <w:rPr>
                <w:sz w:val="24"/>
                <w:szCs w:val="24"/>
              </w:rPr>
            </w:pPr>
            <w:r>
              <w:rPr>
                <w:rFonts w:hint="eastAsia"/>
                <w:sz w:val="24"/>
                <w:szCs w:val="24"/>
              </w:rPr>
              <w:t>136xxxxxxxx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99" w:type="dxa"/>
            <w:vAlign w:val="center"/>
          </w:tcPr>
          <w:p>
            <w:pPr>
              <w:spacing w:line="240" w:lineRule="auto"/>
              <w:ind w:firstLine="0" w:firstLineChars="0"/>
              <w:jc w:val="center"/>
              <w:rPr>
                <w:sz w:val="24"/>
                <w:szCs w:val="24"/>
              </w:rPr>
            </w:pPr>
            <w:r>
              <w:rPr>
                <w:sz w:val="24"/>
                <w:szCs w:val="24"/>
              </w:rPr>
              <w:t>建设地点</w:t>
            </w:r>
          </w:p>
        </w:tc>
        <w:tc>
          <w:tcPr>
            <w:tcW w:w="7387" w:type="dxa"/>
            <w:gridSpan w:val="5"/>
            <w:vAlign w:val="center"/>
          </w:tcPr>
          <w:p>
            <w:pPr>
              <w:spacing w:line="240" w:lineRule="auto"/>
              <w:ind w:firstLine="0" w:firstLineChars="0"/>
              <w:jc w:val="center"/>
              <w:rPr>
                <w:sz w:val="24"/>
                <w:szCs w:val="24"/>
              </w:rPr>
            </w:pPr>
            <w:r>
              <w:rPr>
                <w:rFonts w:hint="eastAsia"/>
                <w:sz w:val="24"/>
              </w:rPr>
              <w:t>石泉县城关镇丝银坝村二组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99" w:type="dxa"/>
            <w:vAlign w:val="center"/>
          </w:tcPr>
          <w:p>
            <w:pPr>
              <w:spacing w:line="240" w:lineRule="auto"/>
              <w:ind w:firstLine="0" w:firstLineChars="0"/>
              <w:jc w:val="center"/>
              <w:rPr>
                <w:sz w:val="24"/>
                <w:szCs w:val="24"/>
              </w:rPr>
            </w:pPr>
            <w:r>
              <w:rPr>
                <w:sz w:val="24"/>
                <w:szCs w:val="24"/>
              </w:rPr>
              <w:t>地理坐标</w:t>
            </w:r>
          </w:p>
        </w:tc>
        <w:tc>
          <w:tcPr>
            <w:tcW w:w="7387" w:type="dxa"/>
            <w:gridSpan w:val="5"/>
            <w:vAlign w:val="center"/>
          </w:tcPr>
          <w:p>
            <w:pPr>
              <w:spacing w:line="240" w:lineRule="auto"/>
              <w:ind w:firstLine="0" w:firstLineChars="0"/>
              <w:jc w:val="center"/>
              <w:rPr>
                <w:sz w:val="24"/>
                <w:szCs w:val="24"/>
              </w:rPr>
            </w:pPr>
            <w:r>
              <w:rPr>
                <w:sz w:val="24"/>
              </w:rPr>
              <w:t>东经 108°12′29.095″</w:t>
            </w:r>
            <w:r>
              <w:rPr>
                <w:rFonts w:hint="eastAsia"/>
                <w:sz w:val="24"/>
              </w:rPr>
              <w:t xml:space="preserve"> </w:t>
            </w:r>
            <w:r>
              <w:rPr>
                <w:sz w:val="24"/>
              </w:rPr>
              <w:t>北纬33°05′40.99″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899" w:type="dxa"/>
            <w:vAlign w:val="center"/>
          </w:tcPr>
          <w:p>
            <w:pPr>
              <w:spacing w:line="240" w:lineRule="auto"/>
              <w:ind w:firstLine="0" w:firstLineChars="0"/>
              <w:jc w:val="center"/>
              <w:rPr>
                <w:sz w:val="24"/>
                <w:szCs w:val="24"/>
              </w:rPr>
            </w:pPr>
            <w:r>
              <w:rPr>
                <w:sz w:val="24"/>
                <w:szCs w:val="24"/>
              </w:rPr>
              <w:t>国民经济</w:t>
            </w:r>
          </w:p>
          <w:p>
            <w:pPr>
              <w:spacing w:line="240" w:lineRule="auto"/>
              <w:ind w:firstLine="0" w:firstLineChars="0"/>
              <w:jc w:val="center"/>
              <w:rPr>
                <w:sz w:val="24"/>
                <w:szCs w:val="24"/>
              </w:rPr>
            </w:pPr>
            <w:r>
              <w:rPr>
                <w:sz w:val="24"/>
                <w:szCs w:val="24"/>
              </w:rPr>
              <w:t>行业类别</w:t>
            </w:r>
          </w:p>
        </w:tc>
        <w:tc>
          <w:tcPr>
            <w:tcW w:w="2745" w:type="dxa"/>
            <w:gridSpan w:val="2"/>
            <w:vAlign w:val="center"/>
          </w:tcPr>
          <w:p>
            <w:pPr>
              <w:spacing w:line="240" w:lineRule="auto"/>
              <w:ind w:firstLine="0" w:firstLineChars="0"/>
              <w:jc w:val="center"/>
              <w:rPr>
                <w:sz w:val="24"/>
                <w:szCs w:val="24"/>
              </w:rPr>
            </w:pPr>
            <w:r>
              <w:rPr>
                <w:sz w:val="24"/>
              </w:rPr>
              <w:t>42</w:t>
            </w:r>
            <w:r>
              <w:rPr>
                <w:rFonts w:hint="eastAsia"/>
                <w:sz w:val="24"/>
              </w:rPr>
              <w:t xml:space="preserve"> 废弃资源综合利用业</w:t>
            </w:r>
          </w:p>
        </w:tc>
        <w:tc>
          <w:tcPr>
            <w:tcW w:w="1843" w:type="dxa"/>
            <w:vAlign w:val="center"/>
          </w:tcPr>
          <w:p>
            <w:pPr>
              <w:spacing w:line="240" w:lineRule="auto"/>
              <w:ind w:firstLine="0" w:firstLineChars="0"/>
              <w:jc w:val="center"/>
              <w:rPr>
                <w:sz w:val="24"/>
                <w:szCs w:val="24"/>
              </w:rPr>
            </w:pPr>
            <w:bookmarkStart w:id="2" w:name="_Hlk49843745"/>
            <w:r>
              <w:rPr>
                <w:sz w:val="24"/>
                <w:szCs w:val="24"/>
              </w:rPr>
              <w:t>建设项目</w:t>
            </w:r>
          </w:p>
          <w:p>
            <w:pPr>
              <w:spacing w:line="240" w:lineRule="auto"/>
              <w:ind w:firstLine="0" w:firstLineChars="0"/>
              <w:jc w:val="center"/>
              <w:rPr>
                <w:sz w:val="24"/>
                <w:szCs w:val="24"/>
              </w:rPr>
            </w:pPr>
            <w:r>
              <w:rPr>
                <w:sz w:val="24"/>
                <w:szCs w:val="24"/>
              </w:rPr>
              <w:t>行业类别</w:t>
            </w:r>
            <w:bookmarkEnd w:id="2"/>
          </w:p>
        </w:tc>
        <w:tc>
          <w:tcPr>
            <w:tcW w:w="2799" w:type="dxa"/>
            <w:gridSpan w:val="2"/>
            <w:vAlign w:val="center"/>
          </w:tcPr>
          <w:p>
            <w:pPr>
              <w:spacing w:line="240" w:lineRule="auto"/>
              <w:ind w:firstLine="0" w:firstLineChars="0"/>
              <w:jc w:val="center"/>
              <w:rPr>
                <w:sz w:val="24"/>
                <w:szCs w:val="24"/>
              </w:rPr>
            </w:pPr>
            <w:r>
              <w:rPr>
                <w:sz w:val="24"/>
              </w:rPr>
              <w:t>85</w:t>
            </w:r>
            <w:r>
              <w:rPr>
                <w:rFonts w:hint="eastAsia"/>
                <w:sz w:val="24"/>
              </w:rPr>
              <w:t>金属废料</w:t>
            </w:r>
            <w:r>
              <w:rPr>
                <w:sz w:val="24"/>
              </w:rPr>
              <w:t>和</w:t>
            </w:r>
            <w:r>
              <w:rPr>
                <w:rFonts w:hint="eastAsia"/>
                <w:sz w:val="24"/>
              </w:rPr>
              <w:t>碎屑</w:t>
            </w:r>
            <w:r>
              <w:rPr>
                <w:sz w:val="24"/>
              </w:rPr>
              <w:t>加工处理</w:t>
            </w:r>
            <w:r>
              <w:rPr>
                <w:rFonts w:hint="eastAsia"/>
                <w:sz w:val="24"/>
              </w:rPr>
              <w:t>；非金属废料和碎 屑加工处理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899" w:type="dxa"/>
            <w:vAlign w:val="center"/>
          </w:tcPr>
          <w:p>
            <w:pPr>
              <w:spacing w:line="240" w:lineRule="auto"/>
              <w:ind w:firstLine="0" w:firstLineChars="0"/>
              <w:jc w:val="center"/>
              <w:rPr>
                <w:sz w:val="24"/>
                <w:szCs w:val="24"/>
              </w:rPr>
            </w:pPr>
            <w:r>
              <w:rPr>
                <w:sz w:val="24"/>
                <w:szCs w:val="24"/>
              </w:rPr>
              <w:t>建设性质</w:t>
            </w:r>
          </w:p>
        </w:tc>
        <w:tc>
          <w:tcPr>
            <w:tcW w:w="2745" w:type="dxa"/>
            <w:gridSpan w:val="2"/>
            <w:vAlign w:val="center"/>
          </w:tcPr>
          <w:p>
            <w:pPr>
              <w:spacing w:line="240" w:lineRule="auto"/>
              <w:ind w:firstLine="0" w:firstLineChars="0"/>
              <w:rPr>
                <w:sz w:val="24"/>
                <w:szCs w:val="24"/>
              </w:rPr>
            </w:pPr>
            <w:r>
              <w:rPr>
                <w:sz w:val="24"/>
                <w:szCs w:val="24"/>
              </w:rPr>
              <w:sym w:font="Wingdings 2" w:char="0052"/>
            </w:r>
            <w:r>
              <w:rPr>
                <w:sz w:val="24"/>
                <w:szCs w:val="24"/>
              </w:rPr>
              <w:t>新建（迁建）</w:t>
            </w:r>
          </w:p>
          <w:p>
            <w:pPr>
              <w:spacing w:line="240" w:lineRule="auto"/>
              <w:ind w:firstLine="0" w:firstLineChars="0"/>
              <w:rPr>
                <w:sz w:val="24"/>
                <w:szCs w:val="24"/>
              </w:rPr>
            </w:pPr>
            <w:r>
              <w:rPr>
                <w:sz w:val="24"/>
                <w:szCs w:val="24"/>
              </w:rPr>
              <w:t>□改建</w:t>
            </w:r>
          </w:p>
          <w:p>
            <w:pPr>
              <w:spacing w:line="240" w:lineRule="auto"/>
              <w:ind w:firstLine="0" w:firstLineChars="0"/>
              <w:rPr>
                <w:sz w:val="24"/>
                <w:szCs w:val="24"/>
              </w:rPr>
            </w:pPr>
            <w:r>
              <w:rPr>
                <w:sz w:val="24"/>
                <w:szCs w:val="24"/>
              </w:rPr>
              <w:t>□扩建</w:t>
            </w:r>
          </w:p>
          <w:p>
            <w:pPr>
              <w:spacing w:line="240" w:lineRule="auto"/>
              <w:ind w:firstLine="0" w:firstLineChars="0"/>
              <w:rPr>
                <w:sz w:val="24"/>
                <w:szCs w:val="24"/>
              </w:rPr>
            </w:pPr>
            <w:r>
              <w:rPr>
                <w:sz w:val="24"/>
                <w:szCs w:val="24"/>
              </w:rPr>
              <w:t>□技术改造</w:t>
            </w:r>
          </w:p>
        </w:tc>
        <w:tc>
          <w:tcPr>
            <w:tcW w:w="1843" w:type="dxa"/>
            <w:vAlign w:val="center"/>
          </w:tcPr>
          <w:p>
            <w:pPr>
              <w:spacing w:line="240" w:lineRule="auto"/>
              <w:ind w:firstLine="0" w:firstLineChars="0"/>
              <w:jc w:val="center"/>
              <w:rPr>
                <w:sz w:val="24"/>
                <w:szCs w:val="24"/>
              </w:rPr>
            </w:pPr>
            <w:r>
              <w:rPr>
                <w:sz w:val="24"/>
                <w:szCs w:val="24"/>
              </w:rPr>
              <w:t>建设项目</w:t>
            </w:r>
          </w:p>
          <w:p>
            <w:pPr>
              <w:spacing w:line="240" w:lineRule="auto"/>
              <w:ind w:firstLine="0" w:firstLineChars="0"/>
              <w:jc w:val="center"/>
              <w:rPr>
                <w:sz w:val="24"/>
                <w:szCs w:val="24"/>
              </w:rPr>
            </w:pPr>
            <w:r>
              <w:rPr>
                <w:sz w:val="24"/>
                <w:szCs w:val="24"/>
              </w:rPr>
              <w:t>申报情形</w:t>
            </w:r>
          </w:p>
        </w:tc>
        <w:tc>
          <w:tcPr>
            <w:tcW w:w="2799" w:type="dxa"/>
            <w:gridSpan w:val="2"/>
            <w:vAlign w:val="center"/>
          </w:tcPr>
          <w:p>
            <w:pPr>
              <w:spacing w:line="240" w:lineRule="auto"/>
              <w:ind w:firstLine="0" w:firstLineChars="0"/>
              <w:rPr>
                <w:sz w:val="24"/>
                <w:szCs w:val="24"/>
              </w:rPr>
            </w:pPr>
            <w:r>
              <w:rPr>
                <w:sz w:val="24"/>
                <w:szCs w:val="24"/>
              </w:rPr>
              <w:sym w:font="Wingdings 2" w:char="0052"/>
            </w:r>
            <w:r>
              <w:rPr>
                <w:sz w:val="24"/>
                <w:szCs w:val="24"/>
              </w:rPr>
              <w:t>首次申报项目</w:t>
            </w:r>
          </w:p>
          <w:p>
            <w:pPr>
              <w:spacing w:line="240" w:lineRule="auto"/>
              <w:ind w:firstLine="0" w:firstLineChars="0"/>
              <w:rPr>
                <w:sz w:val="24"/>
                <w:szCs w:val="24"/>
              </w:rPr>
            </w:pPr>
            <w:r>
              <w:rPr>
                <w:sz w:val="24"/>
                <w:szCs w:val="24"/>
              </w:rPr>
              <w:t>□不予批准后再次申报项目</w:t>
            </w:r>
          </w:p>
          <w:p>
            <w:pPr>
              <w:spacing w:line="240" w:lineRule="auto"/>
              <w:ind w:firstLine="0" w:firstLineChars="0"/>
              <w:rPr>
                <w:sz w:val="24"/>
                <w:szCs w:val="24"/>
              </w:rPr>
            </w:pPr>
            <w:r>
              <w:rPr>
                <w:sz w:val="24"/>
                <w:szCs w:val="24"/>
              </w:rPr>
              <w:t>□超五年重新审核项目</w:t>
            </w:r>
          </w:p>
          <w:p>
            <w:pPr>
              <w:spacing w:line="240" w:lineRule="auto"/>
              <w:ind w:firstLine="0" w:firstLineChars="0"/>
              <w:rPr>
                <w:sz w:val="24"/>
                <w:szCs w:val="24"/>
              </w:rPr>
            </w:pPr>
            <w:r>
              <w:rPr>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899" w:type="dxa"/>
            <w:vAlign w:val="center"/>
          </w:tcPr>
          <w:p>
            <w:pPr>
              <w:spacing w:line="240" w:lineRule="auto"/>
              <w:ind w:firstLine="0" w:firstLineChars="0"/>
              <w:jc w:val="center"/>
              <w:rPr>
                <w:sz w:val="24"/>
                <w:szCs w:val="24"/>
              </w:rPr>
            </w:pPr>
            <w:r>
              <w:rPr>
                <w:sz w:val="24"/>
                <w:szCs w:val="24"/>
              </w:rPr>
              <w:t>项目审批（核准/</w:t>
            </w:r>
          </w:p>
          <w:p>
            <w:pPr>
              <w:spacing w:line="240" w:lineRule="auto"/>
              <w:ind w:firstLine="0" w:firstLineChars="0"/>
              <w:jc w:val="center"/>
              <w:rPr>
                <w:sz w:val="24"/>
                <w:szCs w:val="24"/>
              </w:rPr>
            </w:pPr>
            <w:r>
              <w:rPr>
                <w:sz w:val="24"/>
                <w:szCs w:val="24"/>
              </w:rPr>
              <w:t>备案）部门（选填）</w:t>
            </w:r>
          </w:p>
        </w:tc>
        <w:tc>
          <w:tcPr>
            <w:tcW w:w="2745" w:type="dxa"/>
            <w:gridSpan w:val="2"/>
            <w:vAlign w:val="center"/>
          </w:tcPr>
          <w:p>
            <w:pPr>
              <w:spacing w:line="240" w:lineRule="auto"/>
              <w:ind w:firstLine="0" w:firstLineChars="0"/>
              <w:jc w:val="center"/>
              <w:rPr>
                <w:sz w:val="24"/>
                <w:szCs w:val="24"/>
              </w:rPr>
            </w:pPr>
            <w:r>
              <w:rPr>
                <w:rFonts w:hint="eastAsia"/>
                <w:sz w:val="24"/>
              </w:rPr>
              <w:t>石泉县</w:t>
            </w:r>
            <w:r>
              <w:rPr>
                <w:sz w:val="24"/>
              </w:rPr>
              <w:t>发展和改革局</w:t>
            </w:r>
          </w:p>
        </w:tc>
        <w:tc>
          <w:tcPr>
            <w:tcW w:w="1843" w:type="dxa"/>
            <w:vAlign w:val="center"/>
          </w:tcPr>
          <w:p>
            <w:pPr>
              <w:spacing w:line="240" w:lineRule="auto"/>
              <w:ind w:firstLine="0" w:firstLineChars="0"/>
              <w:jc w:val="center"/>
              <w:rPr>
                <w:sz w:val="24"/>
                <w:szCs w:val="24"/>
              </w:rPr>
            </w:pPr>
            <w:r>
              <w:rPr>
                <w:sz w:val="24"/>
                <w:szCs w:val="24"/>
              </w:rPr>
              <w:t>项目审批（核准/备案）文号</w:t>
            </w:r>
          </w:p>
          <w:p>
            <w:pPr>
              <w:spacing w:line="240" w:lineRule="auto"/>
              <w:ind w:firstLine="0" w:firstLineChars="0"/>
              <w:jc w:val="center"/>
              <w:rPr>
                <w:sz w:val="24"/>
                <w:szCs w:val="24"/>
              </w:rPr>
            </w:pPr>
            <w:r>
              <w:rPr>
                <w:sz w:val="24"/>
                <w:szCs w:val="24"/>
              </w:rPr>
              <w:t>（选填）</w:t>
            </w:r>
          </w:p>
        </w:tc>
        <w:tc>
          <w:tcPr>
            <w:tcW w:w="2799" w:type="dxa"/>
            <w:gridSpan w:val="2"/>
            <w:vAlign w:val="center"/>
          </w:tcPr>
          <w:p>
            <w:pPr>
              <w:spacing w:line="240" w:lineRule="auto"/>
              <w:ind w:firstLine="0" w:firstLineChars="0"/>
              <w:jc w:val="center"/>
              <w:rPr>
                <w:sz w:val="24"/>
              </w:rPr>
            </w:pPr>
            <w:r>
              <w:rPr>
                <w:rFonts w:hint="eastAsia"/>
                <w:sz w:val="24"/>
              </w:rPr>
              <w:t>2207-610922-04-01</w:t>
            </w:r>
          </w:p>
          <w:p>
            <w:pPr>
              <w:spacing w:line="240" w:lineRule="auto"/>
              <w:ind w:firstLine="0" w:firstLineChars="0"/>
              <w:jc w:val="center"/>
              <w:rPr>
                <w:sz w:val="24"/>
                <w:szCs w:val="24"/>
              </w:rPr>
            </w:pPr>
            <w:r>
              <w:rPr>
                <w:rFonts w:hint="eastAsia"/>
                <w:sz w:val="24"/>
              </w:rPr>
              <w:t>-211292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899" w:type="dxa"/>
            <w:vAlign w:val="center"/>
          </w:tcPr>
          <w:p>
            <w:pPr>
              <w:spacing w:line="240" w:lineRule="auto"/>
              <w:ind w:firstLine="0" w:firstLineChars="0"/>
              <w:jc w:val="center"/>
              <w:rPr>
                <w:sz w:val="24"/>
                <w:szCs w:val="24"/>
              </w:rPr>
            </w:pPr>
            <w:r>
              <w:rPr>
                <w:sz w:val="24"/>
                <w:szCs w:val="24"/>
              </w:rPr>
              <w:t>总投资（万元）</w:t>
            </w:r>
          </w:p>
        </w:tc>
        <w:tc>
          <w:tcPr>
            <w:tcW w:w="2745" w:type="dxa"/>
            <w:gridSpan w:val="2"/>
            <w:vAlign w:val="center"/>
          </w:tcPr>
          <w:p>
            <w:pPr>
              <w:spacing w:line="240" w:lineRule="auto"/>
              <w:ind w:firstLine="0" w:firstLineChars="0"/>
              <w:jc w:val="center"/>
              <w:rPr>
                <w:sz w:val="24"/>
                <w:szCs w:val="24"/>
              </w:rPr>
            </w:pPr>
            <w:r>
              <w:rPr>
                <w:rFonts w:hint="eastAsia"/>
                <w:sz w:val="24"/>
                <w:szCs w:val="24"/>
              </w:rPr>
              <w:t>15000</w:t>
            </w:r>
          </w:p>
        </w:tc>
        <w:tc>
          <w:tcPr>
            <w:tcW w:w="1843" w:type="dxa"/>
            <w:vAlign w:val="center"/>
          </w:tcPr>
          <w:p>
            <w:pPr>
              <w:spacing w:line="240" w:lineRule="auto"/>
              <w:ind w:firstLine="0" w:firstLineChars="0"/>
              <w:jc w:val="center"/>
              <w:rPr>
                <w:sz w:val="24"/>
                <w:szCs w:val="24"/>
              </w:rPr>
            </w:pPr>
            <w:r>
              <w:rPr>
                <w:sz w:val="24"/>
                <w:szCs w:val="24"/>
              </w:rPr>
              <w:t>环保投资</w:t>
            </w:r>
          </w:p>
          <w:p>
            <w:pPr>
              <w:spacing w:line="240" w:lineRule="auto"/>
              <w:ind w:firstLine="0" w:firstLineChars="0"/>
              <w:jc w:val="center"/>
              <w:rPr>
                <w:sz w:val="24"/>
                <w:szCs w:val="24"/>
              </w:rPr>
            </w:pPr>
            <w:r>
              <w:rPr>
                <w:sz w:val="24"/>
                <w:szCs w:val="24"/>
              </w:rPr>
              <w:t>（万元）</w:t>
            </w:r>
          </w:p>
        </w:tc>
        <w:tc>
          <w:tcPr>
            <w:tcW w:w="2799" w:type="dxa"/>
            <w:gridSpan w:val="2"/>
            <w:vAlign w:val="center"/>
          </w:tcPr>
          <w:p>
            <w:pPr>
              <w:spacing w:line="240" w:lineRule="auto"/>
              <w:ind w:firstLine="0" w:firstLineChars="0"/>
              <w:jc w:val="center"/>
              <w:rPr>
                <w:sz w:val="24"/>
                <w:szCs w:val="24"/>
              </w:rPr>
            </w:pPr>
            <w:r>
              <w:rPr>
                <w:rFonts w:hint="eastAsia"/>
                <w:sz w:val="24"/>
                <w:szCs w:val="24"/>
              </w:rPr>
              <w:t>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899" w:type="dxa"/>
            <w:vAlign w:val="center"/>
          </w:tcPr>
          <w:p>
            <w:pPr>
              <w:spacing w:line="240" w:lineRule="auto"/>
              <w:ind w:firstLine="0" w:firstLineChars="0"/>
              <w:jc w:val="center"/>
              <w:rPr>
                <w:sz w:val="24"/>
                <w:szCs w:val="24"/>
              </w:rPr>
            </w:pPr>
            <w:r>
              <w:rPr>
                <w:sz w:val="24"/>
                <w:szCs w:val="24"/>
              </w:rPr>
              <w:t>环保投资占比（%）</w:t>
            </w:r>
          </w:p>
        </w:tc>
        <w:tc>
          <w:tcPr>
            <w:tcW w:w="2745" w:type="dxa"/>
            <w:gridSpan w:val="2"/>
            <w:vAlign w:val="center"/>
          </w:tcPr>
          <w:p>
            <w:pPr>
              <w:spacing w:line="240" w:lineRule="auto"/>
              <w:ind w:firstLine="0" w:firstLineChars="0"/>
              <w:jc w:val="center"/>
              <w:rPr>
                <w:sz w:val="24"/>
                <w:szCs w:val="24"/>
              </w:rPr>
            </w:pPr>
            <w:r>
              <w:rPr>
                <w:rFonts w:hint="eastAsia"/>
                <w:sz w:val="24"/>
                <w:szCs w:val="24"/>
              </w:rPr>
              <w:t>0.63</w:t>
            </w:r>
          </w:p>
        </w:tc>
        <w:tc>
          <w:tcPr>
            <w:tcW w:w="1843" w:type="dxa"/>
            <w:vAlign w:val="center"/>
          </w:tcPr>
          <w:p>
            <w:pPr>
              <w:spacing w:line="240" w:lineRule="auto"/>
              <w:ind w:firstLine="0" w:firstLineChars="0"/>
              <w:jc w:val="center"/>
              <w:rPr>
                <w:sz w:val="24"/>
                <w:szCs w:val="24"/>
              </w:rPr>
            </w:pPr>
            <w:r>
              <w:rPr>
                <w:sz w:val="24"/>
                <w:szCs w:val="24"/>
              </w:rPr>
              <w:t>施工工期</w:t>
            </w:r>
          </w:p>
        </w:tc>
        <w:tc>
          <w:tcPr>
            <w:tcW w:w="2799" w:type="dxa"/>
            <w:gridSpan w:val="2"/>
            <w:vAlign w:val="center"/>
          </w:tcPr>
          <w:p>
            <w:pPr>
              <w:spacing w:line="240" w:lineRule="auto"/>
              <w:ind w:firstLine="0" w:firstLineChars="0"/>
              <w:jc w:val="center"/>
              <w:rPr>
                <w:sz w:val="24"/>
                <w:szCs w:val="24"/>
              </w:rPr>
            </w:pPr>
            <w:r>
              <w:rPr>
                <w:rFonts w:hint="eastAsia"/>
                <w:sz w:val="24"/>
                <w:szCs w:val="24"/>
              </w:rPr>
              <w:t>10个月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899" w:type="dxa"/>
            <w:vAlign w:val="center"/>
          </w:tcPr>
          <w:p>
            <w:pPr>
              <w:spacing w:line="240" w:lineRule="auto"/>
              <w:ind w:firstLine="0" w:firstLineChars="0"/>
              <w:jc w:val="center"/>
              <w:rPr>
                <w:sz w:val="24"/>
                <w:szCs w:val="24"/>
              </w:rPr>
            </w:pPr>
            <w:r>
              <w:rPr>
                <w:sz w:val="24"/>
                <w:szCs w:val="24"/>
              </w:rPr>
              <w:t>是否开工建设</w:t>
            </w:r>
          </w:p>
        </w:tc>
        <w:tc>
          <w:tcPr>
            <w:tcW w:w="2745" w:type="dxa"/>
            <w:gridSpan w:val="2"/>
            <w:vAlign w:val="center"/>
          </w:tcPr>
          <w:p>
            <w:pPr>
              <w:spacing w:line="240" w:lineRule="auto"/>
              <w:ind w:firstLine="0" w:firstLineChars="0"/>
              <w:rPr>
                <w:sz w:val="24"/>
                <w:szCs w:val="24"/>
              </w:rPr>
            </w:pPr>
            <w:r>
              <w:rPr>
                <w:sz w:val="24"/>
                <w:szCs w:val="24"/>
              </w:rPr>
              <w:sym w:font="Wingdings 2" w:char="0052"/>
            </w:r>
            <w:r>
              <w:rPr>
                <w:sz w:val="24"/>
                <w:szCs w:val="24"/>
              </w:rPr>
              <w:t>否</w:t>
            </w:r>
          </w:p>
          <w:p>
            <w:pPr>
              <w:spacing w:line="240" w:lineRule="auto"/>
              <w:ind w:firstLine="0" w:firstLineChars="0"/>
              <w:rPr>
                <w:sz w:val="24"/>
                <w:szCs w:val="24"/>
              </w:rPr>
            </w:pPr>
            <w:r>
              <w:rPr>
                <w:sz w:val="24"/>
                <w:szCs w:val="24"/>
              </w:rPr>
              <w:sym w:font="Wingdings 2" w:char="00A3"/>
            </w:r>
            <w:r>
              <w:rPr>
                <w:sz w:val="24"/>
                <w:szCs w:val="24"/>
              </w:rPr>
              <w:t>是：</w:t>
            </w:r>
            <w:r>
              <w:rPr>
                <w:rFonts w:hint="eastAsia"/>
                <w:sz w:val="24"/>
                <w:szCs w:val="24"/>
              </w:rPr>
              <w:t>__________</w:t>
            </w:r>
          </w:p>
        </w:tc>
        <w:tc>
          <w:tcPr>
            <w:tcW w:w="1843" w:type="dxa"/>
            <w:vAlign w:val="center"/>
          </w:tcPr>
          <w:p>
            <w:pPr>
              <w:spacing w:line="240" w:lineRule="auto"/>
              <w:ind w:firstLine="0" w:firstLineChars="0"/>
              <w:jc w:val="center"/>
              <w:rPr>
                <w:sz w:val="24"/>
                <w:szCs w:val="24"/>
              </w:rPr>
            </w:pPr>
            <w:r>
              <w:rPr>
                <w:sz w:val="24"/>
                <w:szCs w:val="24"/>
              </w:rPr>
              <w:t>用地（用海）</w:t>
            </w:r>
          </w:p>
          <w:p>
            <w:pPr>
              <w:spacing w:line="240" w:lineRule="auto"/>
              <w:ind w:firstLine="0" w:firstLineChars="0"/>
              <w:jc w:val="center"/>
              <w:rPr>
                <w:sz w:val="24"/>
                <w:szCs w:val="24"/>
              </w:rPr>
            </w:pPr>
            <w:r>
              <w:rPr>
                <w:sz w:val="24"/>
                <w:szCs w:val="24"/>
              </w:rPr>
              <w:t>面积（m</w:t>
            </w:r>
            <w:r>
              <w:rPr>
                <w:sz w:val="24"/>
                <w:szCs w:val="24"/>
                <w:vertAlign w:val="superscript"/>
              </w:rPr>
              <w:t>2</w:t>
            </w:r>
            <w:r>
              <w:rPr>
                <w:sz w:val="24"/>
                <w:szCs w:val="24"/>
              </w:rPr>
              <w:t>）</w:t>
            </w:r>
          </w:p>
        </w:tc>
        <w:tc>
          <w:tcPr>
            <w:tcW w:w="2799" w:type="dxa"/>
            <w:gridSpan w:val="2"/>
            <w:vAlign w:val="center"/>
          </w:tcPr>
          <w:p>
            <w:pPr>
              <w:spacing w:line="240" w:lineRule="auto"/>
              <w:ind w:firstLine="0" w:firstLineChars="0"/>
              <w:jc w:val="center"/>
              <w:rPr>
                <w:sz w:val="24"/>
                <w:szCs w:val="24"/>
              </w:rPr>
            </w:pPr>
            <w:r>
              <w:rPr>
                <w:rFonts w:hint="eastAsia"/>
                <w:sz w:val="24"/>
                <w:szCs w:val="24"/>
              </w:rPr>
              <w:t>3</w:t>
            </w:r>
            <w:r>
              <w:rPr>
                <w:sz w:val="24"/>
                <w:szCs w:val="24"/>
              </w:rPr>
              <w:t>4632.94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4" w:hRule="atLeast"/>
        </w:trPr>
        <w:tc>
          <w:tcPr>
            <w:tcW w:w="1899" w:type="dxa"/>
            <w:vAlign w:val="center"/>
          </w:tcPr>
          <w:p>
            <w:pPr>
              <w:spacing w:line="240" w:lineRule="auto"/>
              <w:ind w:firstLine="0" w:firstLineChars="0"/>
              <w:jc w:val="center"/>
              <w:rPr>
                <w:sz w:val="24"/>
                <w:szCs w:val="24"/>
              </w:rPr>
            </w:pPr>
            <w:r>
              <w:rPr>
                <w:rFonts w:hint="eastAsia"/>
                <w:sz w:val="24"/>
                <w:szCs w:val="24"/>
              </w:rPr>
              <w:t>专项评价设置</w:t>
            </w:r>
          </w:p>
          <w:p>
            <w:pPr>
              <w:spacing w:line="240" w:lineRule="auto"/>
              <w:ind w:firstLine="0" w:firstLineChars="0"/>
              <w:jc w:val="center"/>
              <w:rPr>
                <w:sz w:val="24"/>
                <w:szCs w:val="24"/>
              </w:rPr>
            </w:pPr>
            <w:r>
              <w:rPr>
                <w:rFonts w:hint="eastAsia"/>
                <w:sz w:val="24"/>
                <w:szCs w:val="24"/>
              </w:rPr>
              <w:t>情况</w:t>
            </w:r>
          </w:p>
        </w:tc>
        <w:tc>
          <w:tcPr>
            <w:tcW w:w="7387" w:type="dxa"/>
            <w:gridSpan w:val="5"/>
            <w:vAlign w:val="center"/>
          </w:tcPr>
          <w:p>
            <w:pPr>
              <w:topLinePunct w:val="0"/>
              <w:autoSpaceDE w:val="0"/>
              <w:autoSpaceDN w:val="0"/>
              <w:ind w:firstLine="480"/>
              <w:jc w:val="both"/>
              <w:rPr>
                <w:sz w:val="24"/>
                <w:szCs w:val="24"/>
              </w:rPr>
            </w:pPr>
            <w:r>
              <w:rPr>
                <w:rFonts w:hint="eastAsia"/>
                <w:sz w:val="24"/>
                <w:szCs w:val="24"/>
              </w:rPr>
              <w:t>本项目不设置专项评价，具体分析见表1-1。</w:t>
            </w:r>
          </w:p>
          <w:p>
            <w:pPr>
              <w:pStyle w:val="11"/>
              <w:ind w:left="0" w:right="0"/>
              <w:jc w:val="center"/>
              <w:rPr>
                <w:b/>
                <w:bCs/>
                <w:sz w:val="24"/>
              </w:rPr>
            </w:pPr>
            <w:r>
              <w:rPr>
                <w:rFonts w:hint="eastAsia"/>
                <w:b/>
                <w:bCs/>
                <w:sz w:val="24"/>
              </w:rPr>
              <w:t>表1-1  专项设置情况一览表</w:t>
            </w:r>
          </w:p>
          <w:tbl>
            <w:tblPr>
              <w:tblStyle w:val="21"/>
              <w:tblW w:w="71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835"/>
              <w:gridCol w:w="2410"/>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1" w:type="dxa"/>
                  <w:shd w:val="pct10" w:color="auto" w:fill="auto"/>
                  <w:vAlign w:val="center"/>
                </w:tcPr>
                <w:p>
                  <w:pPr>
                    <w:topLinePunct w:val="0"/>
                    <w:snapToGrid/>
                    <w:spacing w:line="240" w:lineRule="auto"/>
                    <w:ind w:firstLine="0" w:firstLineChars="0"/>
                    <w:jc w:val="center"/>
                    <w:rPr>
                      <w:b/>
                      <w:bCs/>
                      <w:szCs w:val="21"/>
                    </w:rPr>
                  </w:pPr>
                  <w:r>
                    <w:rPr>
                      <w:rFonts w:hint="eastAsia"/>
                      <w:b/>
                      <w:bCs/>
                      <w:szCs w:val="21"/>
                    </w:rPr>
                    <w:t>类别</w:t>
                  </w:r>
                </w:p>
              </w:tc>
              <w:tc>
                <w:tcPr>
                  <w:tcW w:w="2835" w:type="dxa"/>
                  <w:shd w:val="pct10" w:color="auto" w:fill="auto"/>
                  <w:vAlign w:val="center"/>
                </w:tcPr>
                <w:p>
                  <w:pPr>
                    <w:topLinePunct w:val="0"/>
                    <w:snapToGrid/>
                    <w:spacing w:line="240" w:lineRule="auto"/>
                    <w:ind w:firstLine="0" w:firstLineChars="0"/>
                    <w:jc w:val="center"/>
                    <w:rPr>
                      <w:b/>
                      <w:bCs/>
                      <w:szCs w:val="21"/>
                    </w:rPr>
                  </w:pPr>
                  <w:r>
                    <w:rPr>
                      <w:rFonts w:hint="eastAsia"/>
                      <w:b/>
                      <w:bCs/>
                      <w:szCs w:val="21"/>
                    </w:rPr>
                    <w:t>设置原则</w:t>
                  </w:r>
                </w:p>
              </w:tc>
              <w:tc>
                <w:tcPr>
                  <w:tcW w:w="2410" w:type="dxa"/>
                  <w:shd w:val="pct10" w:color="auto" w:fill="auto"/>
                  <w:vAlign w:val="center"/>
                </w:tcPr>
                <w:p>
                  <w:pPr>
                    <w:topLinePunct w:val="0"/>
                    <w:snapToGrid/>
                    <w:spacing w:line="240" w:lineRule="auto"/>
                    <w:ind w:firstLine="0" w:firstLineChars="0"/>
                    <w:jc w:val="center"/>
                    <w:rPr>
                      <w:b/>
                      <w:bCs/>
                      <w:szCs w:val="21"/>
                    </w:rPr>
                  </w:pPr>
                  <w:r>
                    <w:rPr>
                      <w:rFonts w:hint="eastAsia"/>
                      <w:b/>
                      <w:bCs/>
                      <w:szCs w:val="21"/>
                    </w:rPr>
                    <w:t>本项目情况</w:t>
                  </w:r>
                </w:p>
              </w:tc>
              <w:tc>
                <w:tcPr>
                  <w:tcW w:w="835" w:type="dxa"/>
                  <w:shd w:val="pct10" w:color="auto" w:fill="auto"/>
                  <w:vAlign w:val="center"/>
                </w:tcPr>
                <w:p>
                  <w:pPr>
                    <w:topLinePunct w:val="0"/>
                    <w:snapToGrid/>
                    <w:spacing w:line="240" w:lineRule="auto"/>
                    <w:ind w:firstLine="0" w:firstLineChars="0"/>
                    <w:jc w:val="center"/>
                    <w:rPr>
                      <w:b/>
                      <w:bCs/>
                      <w:szCs w:val="21"/>
                    </w:rPr>
                  </w:pPr>
                  <w:r>
                    <w:rPr>
                      <w:rFonts w:hint="eastAsia"/>
                      <w:b/>
                      <w:bCs/>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1" w:type="dxa"/>
                  <w:vAlign w:val="center"/>
                </w:tcPr>
                <w:p>
                  <w:pPr>
                    <w:topLinePunct w:val="0"/>
                    <w:snapToGrid/>
                    <w:spacing w:line="240" w:lineRule="auto"/>
                    <w:ind w:firstLine="0" w:firstLineChars="0"/>
                    <w:jc w:val="center"/>
                    <w:rPr>
                      <w:szCs w:val="21"/>
                    </w:rPr>
                  </w:pPr>
                  <w:r>
                    <w:rPr>
                      <w:rFonts w:hint="eastAsia"/>
                      <w:szCs w:val="21"/>
                    </w:rPr>
                    <w:t>大气</w:t>
                  </w:r>
                </w:p>
              </w:tc>
              <w:tc>
                <w:tcPr>
                  <w:tcW w:w="2835" w:type="dxa"/>
                  <w:vAlign w:val="center"/>
                </w:tcPr>
                <w:p>
                  <w:pPr>
                    <w:widowControl/>
                    <w:topLinePunct w:val="0"/>
                    <w:snapToGrid/>
                    <w:spacing w:line="240" w:lineRule="auto"/>
                    <w:ind w:firstLine="0" w:firstLineChars="0"/>
                    <w:jc w:val="center"/>
                    <w:rPr>
                      <w:szCs w:val="21"/>
                    </w:rPr>
                  </w:pPr>
                  <w:r>
                    <w:rPr>
                      <w:szCs w:val="21"/>
                    </w:rPr>
                    <w:t>排放废气含有毒有害污染物、二嗯英、苯并[a]芘、氰化物、氯气厂界外500米范围内有环境空气保护目标的建设项目</w:t>
                  </w:r>
                </w:p>
              </w:tc>
              <w:tc>
                <w:tcPr>
                  <w:tcW w:w="2410" w:type="dxa"/>
                  <w:vAlign w:val="center"/>
                </w:tcPr>
                <w:p>
                  <w:pPr>
                    <w:topLinePunct w:val="0"/>
                    <w:snapToGrid/>
                    <w:spacing w:line="240" w:lineRule="auto"/>
                    <w:ind w:firstLine="0" w:firstLineChars="0"/>
                    <w:jc w:val="center"/>
                    <w:rPr>
                      <w:szCs w:val="21"/>
                    </w:rPr>
                  </w:pPr>
                  <w:r>
                    <w:rPr>
                      <w:szCs w:val="21"/>
                    </w:rPr>
                    <w:t>本项目废气不含</w:t>
                  </w:r>
                  <w:r>
                    <w:rPr>
                      <w:rFonts w:hint="eastAsia"/>
                      <w:szCs w:val="21"/>
                    </w:rPr>
                    <w:t>二嗯英、苯并[a]芘、氰化物、氯气</w:t>
                  </w:r>
                </w:p>
              </w:tc>
              <w:tc>
                <w:tcPr>
                  <w:tcW w:w="835" w:type="dxa"/>
                  <w:vAlign w:val="center"/>
                </w:tcPr>
                <w:p>
                  <w:pPr>
                    <w:topLinePunct w:val="0"/>
                    <w:snapToGrid/>
                    <w:spacing w:line="240" w:lineRule="auto"/>
                    <w:ind w:firstLine="0" w:firstLineChars="0"/>
                    <w:jc w:val="center"/>
                    <w:rPr>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1" w:type="dxa"/>
                  <w:vAlign w:val="center"/>
                </w:tcPr>
                <w:p>
                  <w:pPr>
                    <w:topLinePunct w:val="0"/>
                    <w:snapToGrid/>
                    <w:spacing w:line="240" w:lineRule="auto"/>
                    <w:ind w:firstLine="0" w:firstLineChars="0"/>
                    <w:jc w:val="center"/>
                    <w:rPr>
                      <w:szCs w:val="21"/>
                    </w:rPr>
                  </w:pPr>
                  <w:r>
                    <w:rPr>
                      <w:rFonts w:hint="eastAsia"/>
                      <w:szCs w:val="21"/>
                    </w:rPr>
                    <w:t>地表水</w:t>
                  </w:r>
                </w:p>
              </w:tc>
              <w:tc>
                <w:tcPr>
                  <w:tcW w:w="2835" w:type="dxa"/>
                  <w:vAlign w:val="center"/>
                </w:tcPr>
                <w:p>
                  <w:pPr>
                    <w:pStyle w:val="48"/>
                    <w:jc w:val="center"/>
                    <w:rPr>
                      <w:rFonts w:ascii="Times New Roman" w:cs="Times New Roman"/>
                      <w:color w:val="auto"/>
                      <w:sz w:val="21"/>
                      <w:szCs w:val="21"/>
                    </w:rPr>
                  </w:pPr>
                  <w:r>
                    <w:rPr>
                      <w:rFonts w:ascii="Times New Roman" w:cs="Times New Roman"/>
                      <w:color w:val="auto"/>
                      <w:sz w:val="21"/>
                      <w:szCs w:val="21"/>
                    </w:rPr>
                    <w:t xml:space="preserve">新增工业废水直排建设项目(槽罐车外送污水处理厂的除外) </w:t>
                  </w:r>
                  <w:r>
                    <w:rPr>
                      <w:rFonts w:hint="eastAsia" w:ascii="Times New Roman" w:cs="Times New Roman"/>
                      <w:color w:val="auto"/>
                      <w:sz w:val="21"/>
                      <w:szCs w:val="21"/>
                    </w:rPr>
                    <w:t>；</w:t>
                  </w:r>
                  <w:r>
                    <w:rPr>
                      <w:rFonts w:ascii="Times New Roman" w:cs="Times New Roman"/>
                      <w:color w:val="auto"/>
                      <w:sz w:val="21"/>
                      <w:szCs w:val="21"/>
                    </w:rPr>
                    <w:t>新增废水直排的污水集中处理厂</w:t>
                  </w:r>
                </w:p>
              </w:tc>
              <w:tc>
                <w:tcPr>
                  <w:tcW w:w="2410" w:type="dxa"/>
                  <w:vAlign w:val="center"/>
                </w:tcPr>
                <w:p>
                  <w:pPr>
                    <w:topLinePunct w:val="0"/>
                    <w:snapToGrid/>
                    <w:spacing w:line="240" w:lineRule="auto"/>
                    <w:ind w:firstLine="0" w:firstLineChars="0"/>
                    <w:jc w:val="center"/>
                    <w:rPr>
                      <w:szCs w:val="21"/>
                    </w:rPr>
                  </w:pPr>
                  <w:r>
                    <w:rPr>
                      <w:rFonts w:hint="eastAsia"/>
                      <w:szCs w:val="21"/>
                    </w:rPr>
                    <w:t>本项目车间冲洗废水处置后回用，生活污水经化粪池收集后经市政管网进入石泉县污水处理厂。</w:t>
                  </w:r>
                </w:p>
              </w:tc>
              <w:tc>
                <w:tcPr>
                  <w:tcW w:w="835" w:type="dxa"/>
                  <w:vAlign w:val="center"/>
                </w:tcPr>
                <w:p>
                  <w:pPr>
                    <w:topLinePunct w:val="0"/>
                    <w:snapToGrid/>
                    <w:spacing w:line="240" w:lineRule="auto"/>
                    <w:ind w:firstLine="0" w:firstLineChars="0"/>
                    <w:jc w:val="center"/>
                    <w:rPr>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1" w:type="dxa"/>
                  <w:vAlign w:val="center"/>
                </w:tcPr>
                <w:p>
                  <w:pPr>
                    <w:topLinePunct w:val="0"/>
                    <w:snapToGrid/>
                    <w:spacing w:line="240" w:lineRule="auto"/>
                    <w:ind w:firstLine="0" w:firstLineChars="0"/>
                    <w:jc w:val="center"/>
                    <w:rPr>
                      <w:szCs w:val="21"/>
                    </w:rPr>
                  </w:pPr>
                  <w:r>
                    <w:rPr>
                      <w:rFonts w:hint="eastAsia"/>
                      <w:szCs w:val="21"/>
                    </w:rPr>
                    <w:t>地下水</w:t>
                  </w:r>
                </w:p>
              </w:tc>
              <w:tc>
                <w:tcPr>
                  <w:tcW w:w="2835" w:type="dxa"/>
                  <w:vAlign w:val="center"/>
                </w:tcPr>
                <w:p>
                  <w:pPr>
                    <w:widowControl/>
                    <w:topLinePunct w:val="0"/>
                    <w:snapToGrid/>
                    <w:spacing w:line="240" w:lineRule="auto"/>
                    <w:ind w:firstLine="0" w:firstLineChars="0"/>
                    <w:jc w:val="center"/>
                    <w:rPr>
                      <w:szCs w:val="21"/>
                    </w:rPr>
                  </w:pPr>
                  <w:r>
                    <w:rPr>
                      <w:szCs w:val="21"/>
                    </w:rPr>
                    <w:t>地下水原则上不开展专项评价，涉及集中式饮用水水源和热水、矿泉水、温泉等特殊地下水资源保护区的开展地下水专项评价工作</w:t>
                  </w:r>
                </w:p>
              </w:tc>
              <w:tc>
                <w:tcPr>
                  <w:tcW w:w="2410" w:type="dxa"/>
                  <w:vAlign w:val="center"/>
                </w:tcPr>
                <w:p>
                  <w:pPr>
                    <w:topLinePunct w:val="0"/>
                    <w:snapToGrid/>
                    <w:spacing w:line="240" w:lineRule="auto"/>
                    <w:ind w:firstLine="0" w:firstLineChars="0"/>
                    <w:jc w:val="center"/>
                    <w:rPr>
                      <w:szCs w:val="21"/>
                    </w:rPr>
                  </w:pPr>
                  <w:r>
                    <w:rPr>
                      <w:rFonts w:hint="eastAsia"/>
                      <w:szCs w:val="21"/>
                    </w:rPr>
                    <w:t>本项目不涉及</w:t>
                  </w:r>
                  <w:r>
                    <w:rPr>
                      <w:szCs w:val="21"/>
                    </w:rPr>
                    <w:t>集中式饮用水水源和热水、矿泉水、温泉等特殊地下水资源保护区</w:t>
                  </w:r>
                </w:p>
              </w:tc>
              <w:tc>
                <w:tcPr>
                  <w:tcW w:w="835" w:type="dxa"/>
                  <w:vAlign w:val="center"/>
                </w:tcPr>
                <w:p>
                  <w:pPr>
                    <w:topLinePunct w:val="0"/>
                    <w:snapToGrid/>
                    <w:spacing w:line="240" w:lineRule="auto"/>
                    <w:ind w:firstLine="0" w:firstLineChars="0"/>
                    <w:jc w:val="center"/>
                    <w:rPr>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1" w:type="dxa"/>
                  <w:vAlign w:val="center"/>
                </w:tcPr>
                <w:p>
                  <w:pPr>
                    <w:topLinePunct w:val="0"/>
                    <w:snapToGrid/>
                    <w:spacing w:line="240" w:lineRule="auto"/>
                    <w:ind w:firstLine="0" w:firstLineChars="0"/>
                    <w:jc w:val="center"/>
                    <w:rPr>
                      <w:szCs w:val="21"/>
                    </w:rPr>
                  </w:pPr>
                  <w:r>
                    <w:rPr>
                      <w:rFonts w:hint="eastAsia"/>
                      <w:szCs w:val="21"/>
                    </w:rPr>
                    <w:t>环境</w:t>
                  </w:r>
                </w:p>
                <w:p>
                  <w:pPr>
                    <w:topLinePunct w:val="0"/>
                    <w:snapToGrid/>
                    <w:spacing w:line="240" w:lineRule="auto"/>
                    <w:ind w:firstLine="0" w:firstLineChars="0"/>
                    <w:jc w:val="center"/>
                    <w:rPr>
                      <w:szCs w:val="21"/>
                    </w:rPr>
                  </w:pPr>
                  <w:r>
                    <w:rPr>
                      <w:rFonts w:hint="eastAsia"/>
                      <w:szCs w:val="21"/>
                    </w:rPr>
                    <w:t>风险</w:t>
                  </w:r>
                </w:p>
              </w:tc>
              <w:tc>
                <w:tcPr>
                  <w:tcW w:w="2835" w:type="dxa"/>
                  <w:vAlign w:val="center"/>
                </w:tcPr>
                <w:p>
                  <w:pPr>
                    <w:pStyle w:val="48"/>
                    <w:jc w:val="center"/>
                    <w:rPr>
                      <w:rFonts w:ascii="Times New Roman" w:cs="Times New Roman"/>
                      <w:color w:val="auto"/>
                      <w:sz w:val="21"/>
                      <w:szCs w:val="21"/>
                    </w:rPr>
                  </w:pPr>
                  <w:r>
                    <w:rPr>
                      <w:rFonts w:ascii="Times New Roman" w:cs="Times New Roman"/>
                      <w:color w:val="auto"/>
                      <w:sz w:val="21"/>
                      <w:szCs w:val="21"/>
                    </w:rPr>
                    <w:t>有毒有害和易燃易爆危险物质存储量超过临界量的建设项目</w:t>
                  </w:r>
                </w:p>
              </w:tc>
              <w:tc>
                <w:tcPr>
                  <w:tcW w:w="2410" w:type="dxa"/>
                  <w:vAlign w:val="center"/>
                </w:tcPr>
                <w:p>
                  <w:pPr>
                    <w:topLinePunct w:val="0"/>
                    <w:snapToGrid/>
                    <w:spacing w:line="240" w:lineRule="auto"/>
                    <w:ind w:firstLine="0" w:firstLineChars="0"/>
                    <w:jc w:val="center"/>
                    <w:rPr>
                      <w:szCs w:val="21"/>
                    </w:rPr>
                  </w:pPr>
                  <w:r>
                    <w:rPr>
                      <w:rFonts w:hint="eastAsia"/>
                      <w:szCs w:val="21"/>
                    </w:rPr>
                    <w:t>本项目</w:t>
                  </w:r>
                  <w:r>
                    <w:rPr>
                      <w:szCs w:val="21"/>
                    </w:rPr>
                    <w:t>有毒有害和易燃易爆危险物质</w:t>
                  </w:r>
                  <w:r>
                    <w:rPr>
                      <w:rFonts w:hint="eastAsia"/>
                      <w:szCs w:val="21"/>
                    </w:rPr>
                    <w:t>存储量较小</w:t>
                  </w:r>
                </w:p>
              </w:tc>
              <w:tc>
                <w:tcPr>
                  <w:tcW w:w="835" w:type="dxa"/>
                  <w:vAlign w:val="center"/>
                </w:tcPr>
                <w:p>
                  <w:pPr>
                    <w:topLinePunct w:val="0"/>
                    <w:snapToGrid/>
                    <w:spacing w:line="240" w:lineRule="auto"/>
                    <w:ind w:firstLine="0" w:firstLineChars="0"/>
                    <w:jc w:val="center"/>
                    <w:rPr>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1" w:type="dxa"/>
                  <w:vAlign w:val="center"/>
                </w:tcPr>
                <w:p>
                  <w:pPr>
                    <w:topLinePunct w:val="0"/>
                    <w:snapToGrid/>
                    <w:spacing w:line="240" w:lineRule="auto"/>
                    <w:ind w:firstLine="0" w:firstLineChars="0"/>
                    <w:jc w:val="center"/>
                    <w:rPr>
                      <w:szCs w:val="21"/>
                    </w:rPr>
                  </w:pPr>
                  <w:r>
                    <w:rPr>
                      <w:rFonts w:hint="eastAsia"/>
                      <w:szCs w:val="21"/>
                    </w:rPr>
                    <w:t>生态</w:t>
                  </w:r>
                </w:p>
              </w:tc>
              <w:tc>
                <w:tcPr>
                  <w:tcW w:w="2835" w:type="dxa"/>
                  <w:vAlign w:val="center"/>
                </w:tcPr>
                <w:p>
                  <w:pPr>
                    <w:pStyle w:val="48"/>
                    <w:jc w:val="center"/>
                    <w:rPr>
                      <w:rFonts w:ascii="Times New Roman" w:cs="Times New Roman"/>
                      <w:color w:val="auto"/>
                      <w:sz w:val="21"/>
                      <w:szCs w:val="21"/>
                    </w:rPr>
                  </w:pPr>
                  <w:r>
                    <w:rPr>
                      <w:rFonts w:ascii="Times New Roman" w:cs="Times New Roman"/>
                      <w:color w:val="auto"/>
                      <w:sz w:val="21"/>
                      <w:szCs w:val="21"/>
                    </w:rPr>
                    <w:t>取水口下游500米范围内有重要水生生物的自然产卵场、索饵场、越冬场和洄游通道的新增河道取水的污染类建设项目</w:t>
                  </w:r>
                </w:p>
              </w:tc>
              <w:tc>
                <w:tcPr>
                  <w:tcW w:w="2410" w:type="dxa"/>
                  <w:vAlign w:val="center"/>
                </w:tcPr>
                <w:p>
                  <w:pPr>
                    <w:topLinePunct w:val="0"/>
                    <w:snapToGrid/>
                    <w:spacing w:line="240" w:lineRule="auto"/>
                    <w:ind w:firstLine="0" w:firstLineChars="0"/>
                    <w:jc w:val="center"/>
                    <w:rPr>
                      <w:szCs w:val="21"/>
                    </w:rPr>
                  </w:pPr>
                  <w:r>
                    <w:rPr>
                      <w:rFonts w:hint="eastAsia"/>
                      <w:szCs w:val="21"/>
                    </w:rPr>
                    <w:t>本项目不涉及取水口</w:t>
                  </w:r>
                </w:p>
              </w:tc>
              <w:tc>
                <w:tcPr>
                  <w:tcW w:w="835" w:type="dxa"/>
                  <w:vAlign w:val="center"/>
                </w:tcPr>
                <w:p>
                  <w:pPr>
                    <w:topLinePunct w:val="0"/>
                    <w:snapToGrid/>
                    <w:spacing w:line="240" w:lineRule="auto"/>
                    <w:ind w:firstLine="0" w:firstLineChars="0"/>
                    <w:jc w:val="center"/>
                    <w:rPr>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81" w:type="dxa"/>
                  <w:vAlign w:val="center"/>
                </w:tcPr>
                <w:p>
                  <w:pPr>
                    <w:topLinePunct w:val="0"/>
                    <w:snapToGrid/>
                    <w:spacing w:line="240" w:lineRule="auto"/>
                    <w:ind w:firstLine="0" w:firstLineChars="0"/>
                    <w:jc w:val="center"/>
                    <w:rPr>
                      <w:szCs w:val="21"/>
                    </w:rPr>
                  </w:pPr>
                  <w:r>
                    <w:rPr>
                      <w:rFonts w:hint="eastAsia"/>
                      <w:szCs w:val="21"/>
                    </w:rPr>
                    <w:t>海洋</w:t>
                  </w:r>
                </w:p>
              </w:tc>
              <w:tc>
                <w:tcPr>
                  <w:tcW w:w="2835" w:type="dxa"/>
                  <w:vAlign w:val="center"/>
                </w:tcPr>
                <w:p>
                  <w:pPr>
                    <w:pStyle w:val="48"/>
                    <w:jc w:val="center"/>
                    <w:rPr>
                      <w:rFonts w:ascii="Times New Roman" w:cs="Times New Roman"/>
                      <w:color w:val="auto"/>
                      <w:sz w:val="21"/>
                      <w:szCs w:val="21"/>
                    </w:rPr>
                  </w:pPr>
                  <w:r>
                    <w:rPr>
                      <w:rFonts w:ascii="Times New Roman" w:cs="Times New Roman"/>
                      <w:color w:val="auto"/>
                      <w:sz w:val="21"/>
                      <w:szCs w:val="21"/>
                    </w:rPr>
                    <w:t>直接向海排放污染物的海洋工程建设项目</w:t>
                  </w:r>
                </w:p>
              </w:tc>
              <w:tc>
                <w:tcPr>
                  <w:tcW w:w="2410" w:type="dxa"/>
                  <w:vAlign w:val="center"/>
                </w:tcPr>
                <w:p>
                  <w:pPr>
                    <w:topLinePunct w:val="0"/>
                    <w:snapToGrid/>
                    <w:spacing w:line="240" w:lineRule="auto"/>
                    <w:ind w:firstLine="0" w:firstLineChars="0"/>
                    <w:jc w:val="center"/>
                    <w:rPr>
                      <w:szCs w:val="21"/>
                    </w:rPr>
                  </w:pPr>
                  <w:r>
                    <w:rPr>
                      <w:rFonts w:hint="eastAsia"/>
                      <w:szCs w:val="21"/>
                    </w:rPr>
                    <w:t>本项目不属于海洋</w:t>
                  </w:r>
                  <w:r>
                    <w:rPr>
                      <w:szCs w:val="21"/>
                    </w:rPr>
                    <w:t>工程建设项目</w:t>
                  </w:r>
                </w:p>
              </w:tc>
              <w:tc>
                <w:tcPr>
                  <w:tcW w:w="835" w:type="dxa"/>
                  <w:vAlign w:val="center"/>
                </w:tcPr>
                <w:p>
                  <w:pPr>
                    <w:topLinePunct w:val="0"/>
                    <w:snapToGrid/>
                    <w:spacing w:line="240" w:lineRule="auto"/>
                    <w:ind w:firstLine="0" w:firstLineChars="0"/>
                    <w:jc w:val="center"/>
                    <w:rPr>
                      <w:szCs w:val="21"/>
                    </w:rPr>
                  </w:pPr>
                  <w:r>
                    <w:rPr>
                      <w:rFonts w:hint="eastAsia"/>
                      <w:szCs w:val="21"/>
                    </w:rPr>
                    <w:t>不涉及</w:t>
                  </w:r>
                </w:p>
              </w:tc>
            </w:tr>
          </w:tbl>
          <w:p>
            <w:pPr>
              <w:spacing w:line="240" w:lineRule="auto"/>
              <w:ind w:firstLine="480"/>
              <w:rPr>
                <w:sz w:val="24"/>
                <w:szCs w:val="24"/>
              </w:rPr>
            </w:pPr>
            <w:r>
              <w:rPr>
                <w:rFonts w:hint="eastAsia"/>
                <w:sz w:val="24"/>
                <w:szCs w:val="24"/>
              </w:rPr>
              <w:t>综上，本项目无需设置专项评价。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899" w:type="dxa"/>
            <w:vAlign w:val="center"/>
          </w:tcPr>
          <w:p>
            <w:pPr>
              <w:spacing w:line="240" w:lineRule="auto"/>
              <w:ind w:firstLine="0" w:firstLineChars="0"/>
              <w:jc w:val="center"/>
              <w:rPr>
                <w:sz w:val="24"/>
                <w:szCs w:val="24"/>
              </w:rPr>
            </w:pPr>
            <w:r>
              <w:rPr>
                <w:sz w:val="24"/>
                <w:szCs w:val="24"/>
              </w:rPr>
              <w:t>规划情况</w:t>
            </w:r>
          </w:p>
        </w:tc>
        <w:tc>
          <w:tcPr>
            <w:tcW w:w="7387" w:type="dxa"/>
            <w:gridSpan w:val="5"/>
            <w:vAlign w:val="center"/>
          </w:tcPr>
          <w:p>
            <w:pPr>
              <w:spacing w:line="240" w:lineRule="auto"/>
              <w:ind w:firstLine="480"/>
              <w:rPr>
                <w:sz w:val="24"/>
                <w:szCs w:val="24"/>
              </w:rPr>
            </w:pPr>
            <w:r>
              <w:rPr>
                <w:rFonts w:hint="eastAsia"/>
                <w:sz w:val="24"/>
                <w:szCs w:val="24"/>
              </w:rPr>
              <w:t>《石泉省级经济技术开发区总体发展规划（2015-2030）》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899" w:type="dxa"/>
            <w:vAlign w:val="center"/>
          </w:tcPr>
          <w:p>
            <w:pPr>
              <w:spacing w:line="240" w:lineRule="auto"/>
              <w:ind w:firstLine="0" w:firstLineChars="0"/>
              <w:jc w:val="center"/>
              <w:rPr>
                <w:sz w:val="24"/>
                <w:szCs w:val="24"/>
              </w:rPr>
            </w:pPr>
            <w:r>
              <w:rPr>
                <w:sz w:val="24"/>
                <w:szCs w:val="24"/>
              </w:rPr>
              <w:t>规划环境影响评价情况</w:t>
            </w:r>
          </w:p>
        </w:tc>
        <w:tc>
          <w:tcPr>
            <w:tcW w:w="7387" w:type="dxa"/>
            <w:gridSpan w:val="5"/>
            <w:vAlign w:val="center"/>
          </w:tcPr>
          <w:p>
            <w:pPr>
              <w:ind w:firstLine="480"/>
              <w:rPr>
                <w:sz w:val="24"/>
                <w:szCs w:val="24"/>
              </w:rPr>
            </w:pPr>
            <w:r>
              <w:rPr>
                <w:rFonts w:hint="eastAsia"/>
                <w:sz w:val="24"/>
                <w:szCs w:val="24"/>
              </w:rPr>
              <w:t>规划环境影响评价文件名称：《石泉省级经济技术开发区总体发展规划环境影响报告书》</w:t>
            </w:r>
          </w:p>
          <w:p>
            <w:pPr>
              <w:ind w:firstLine="480"/>
              <w:rPr>
                <w:sz w:val="24"/>
                <w:szCs w:val="24"/>
              </w:rPr>
            </w:pPr>
            <w:r>
              <w:rPr>
                <w:rFonts w:hint="eastAsia"/>
                <w:sz w:val="24"/>
                <w:szCs w:val="24"/>
              </w:rPr>
              <w:t>审查机关：陕西省环境保护厅</w:t>
            </w:r>
          </w:p>
          <w:p>
            <w:pPr>
              <w:ind w:firstLine="480"/>
              <w:rPr>
                <w:sz w:val="24"/>
                <w:szCs w:val="24"/>
              </w:rPr>
            </w:pPr>
            <w:r>
              <w:rPr>
                <w:rFonts w:hint="eastAsia"/>
                <w:sz w:val="24"/>
                <w:szCs w:val="24"/>
              </w:rPr>
              <w:t>审查文件名称及文号：《陕西省环境保护厅关于石泉省级经济技术开发区总体发展规划环境影响报告书审查意见的函》（陕环环评函[2018]215号）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899" w:type="dxa"/>
            <w:vAlign w:val="center"/>
          </w:tcPr>
          <w:p>
            <w:pPr>
              <w:spacing w:line="240" w:lineRule="auto"/>
              <w:ind w:firstLine="0" w:firstLineChars="0"/>
              <w:jc w:val="center"/>
              <w:rPr>
                <w:sz w:val="24"/>
                <w:szCs w:val="24"/>
              </w:rPr>
            </w:pPr>
            <w:r>
              <w:rPr>
                <w:rFonts w:hint="eastAsia"/>
                <w:sz w:val="24"/>
                <w:szCs w:val="24"/>
              </w:rPr>
              <w:t>规划及规划环境影响评价符合性分析</w:t>
            </w:r>
          </w:p>
        </w:tc>
        <w:tc>
          <w:tcPr>
            <w:tcW w:w="7387" w:type="dxa"/>
            <w:gridSpan w:val="5"/>
            <w:vAlign w:val="center"/>
          </w:tcPr>
          <w:p>
            <w:pPr>
              <w:ind w:firstLine="480"/>
              <w:rPr>
                <w:sz w:val="24"/>
                <w:szCs w:val="24"/>
              </w:rPr>
            </w:pPr>
            <w:r>
              <w:rPr>
                <w:rFonts w:hint="eastAsia"/>
                <w:sz w:val="24"/>
                <w:szCs w:val="24"/>
              </w:rPr>
              <w:t>本项目租用石泉县万泉劳务有限责任公司厂房，位于石泉县城关镇丝银坝村2组，隶属于石泉省级经济技术开发区古堰工业园区。本项目与规划及规划环评符合性分析见表1-2。</w:t>
            </w:r>
          </w:p>
          <w:p>
            <w:pPr>
              <w:pStyle w:val="34"/>
              <w:ind w:firstLine="482"/>
              <w:rPr>
                <w:b/>
                <w:sz w:val="24"/>
              </w:rPr>
            </w:pPr>
            <w:r>
              <w:rPr>
                <w:b/>
                <w:sz w:val="24"/>
              </w:rPr>
              <w:t>表1-</w:t>
            </w:r>
            <w:r>
              <w:rPr>
                <w:rFonts w:hint="eastAsia"/>
                <w:b/>
                <w:sz w:val="24"/>
              </w:rPr>
              <w:t>2</w:t>
            </w:r>
            <w:r>
              <w:rPr>
                <w:b/>
                <w:sz w:val="24"/>
              </w:rPr>
              <w:t xml:space="preserve">  </w:t>
            </w:r>
            <w:r>
              <w:rPr>
                <w:rFonts w:hint="eastAsia"/>
                <w:b/>
                <w:sz w:val="24"/>
              </w:rPr>
              <w:t>本项目与规划及规划环评相符性</w:t>
            </w:r>
            <w:r>
              <w:rPr>
                <w:b/>
                <w:sz w:val="24"/>
              </w:rPr>
              <w:t>分析表</w:t>
            </w:r>
          </w:p>
          <w:tbl>
            <w:tblPr>
              <w:tblStyle w:val="22"/>
              <w:tblW w:w="71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2259"/>
              <w:gridCol w:w="2809"/>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7" w:hRule="atLeast"/>
              </w:trPr>
              <w:tc>
                <w:tcPr>
                  <w:tcW w:w="1367" w:type="dxa"/>
                  <w:shd w:val="pct10" w:color="auto" w:fill="auto"/>
                  <w:vAlign w:val="center"/>
                </w:tcPr>
                <w:p>
                  <w:pPr>
                    <w:pStyle w:val="48"/>
                    <w:snapToGrid w:val="0"/>
                    <w:jc w:val="center"/>
                    <w:rPr>
                      <w:rFonts w:ascii="Times New Roman" w:cs="Times New Roman"/>
                      <w:b/>
                      <w:bCs/>
                      <w:color w:val="auto"/>
                      <w:sz w:val="21"/>
                      <w:szCs w:val="21"/>
                    </w:rPr>
                  </w:pPr>
                  <w:r>
                    <w:rPr>
                      <w:rFonts w:ascii="Times New Roman" w:cs="Times New Roman"/>
                      <w:b/>
                      <w:bCs/>
                      <w:color w:val="auto"/>
                      <w:sz w:val="21"/>
                      <w:szCs w:val="21"/>
                    </w:rPr>
                    <w:t>文件名称</w:t>
                  </w:r>
                </w:p>
              </w:tc>
              <w:tc>
                <w:tcPr>
                  <w:tcW w:w="2259" w:type="dxa"/>
                  <w:shd w:val="pct10" w:color="auto" w:fill="auto"/>
                  <w:vAlign w:val="center"/>
                </w:tcPr>
                <w:p>
                  <w:pPr>
                    <w:pStyle w:val="48"/>
                    <w:snapToGrid w:val="0"/>
                    <w:jc w:val="center"/>
                    <w:rPr>
                      <w:rFonts w:ascii="Times New Roman" w:cs="Times New Roman"/>
                      <w:b/>
                      <w:bCs/>
                      <w:color w:val="auto"/>
                      <w:sz w:val="21"/>
                      <w:szCs w:val="21"/>
                    </w:rPr>
                  </w:pPr>
                  <w:r>
                    <w:rPr>
                      <w:rFonts w:ascii="Times New Roman" w:cs="Times New Roman"/>
                      <w:b/>
                      <w:bCs/>
                      <w:color w:val="auto"/>
                      <w:sz w:val="21"/>
                      <w:szCs w:val="21"/>
                    </w:rPr>
                    <w:t>文件要求</w:t>
                  </w:r>
                </w:p>
              </w:tc>
              <w:tc>
                <w:tcPr>
                  <w:tcW w:w="2809" w:type="dxa"/>
                  <w:shd w:val="pct10" w:color="auto" w:fill="auto"/>
                  <w:vAlign w:val="center"/>
                </w:tcPr>
                <w:p>
                  <w:pPr>
                    <w:pStyle w:val="48"/>
                    <w:snapToGrid w:val="0"/>
                    <w:jc w:val="center"/>
                    <w:rPr>
                      <w:rFonts w:ascii="Times New Roman" w:cs="Times New Roman"/>
                      <w:b/>
                      <w:bCs/>
                      <w:color w:val="auto"/>
                      <w:sz w:val="21"/>
                      <w:szCs w:val="21"/>
                    </w:rPr>
                  </w:pPr>
                  <w:r>
                    <w:rPr>
                      <w:rFonts w:ascii="Times New Roman" w:cs="Times New Roman"/>
                      <w:b/>
                      <w:bCs/>
                      <w:color w:val="auto"/>
                      <w:sz w:val="21"/>
                      <w:szCs w:val="21"/>
                    </w:rPr>
                    <w:t>项目情况</w:t>
                  </w:r>
                </w:p>
              </w:tc>
              <w:tc>
                <w:tcPr>
                  <w:tcW w:w="717" w:type="dxa"/>
                  <w:shd w:val="pct10" w:color="auto" w:fill="auto"/>
                  <w:vAlign w:val="center"/>
                </w:tcPr>
                <w:p>
                  <w:pPr>
                    <w:pStyle w:val="48"/>
                    <w:snapToGrid w:val="0"/>
                    <w:jc w:val="center"/>
                    <w:rPr>
                      <w:rFonts w:ascii="Times New Roman" w:cs="Times New Roman"/>
                      <w:b/>
                      <w:bCs/>
                      <w:color w:val="auto"/>
                      <w:sz w:val="21"/>
                      <w:szCs w:val="21"/>
                    </w:rPr>
                  </w:pPr>
                  <w:r>
                    <w:rPr>
                      <w:rFonts w:ascii="Times New Roman"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trPr>
              <w:tc>
                <w:tcPr>
                  <w:tcW w:w="1367" w:type="dxa"/>
                  <w:vMerge w:val="restart"/>
                  <w:vAlign w:val="center"/>
                </w:tcPr>
                <w:p>
                  <w:pPr>
                    <w:widowControl/>
                    <w:topLinePunct w:val="0"/>
                    <w:spacing w:line="240" w:lineRule="auto"/>
                    <w:ind w:firstLine="0" w:firstLineChars="0"/>
                    <w:jc w:val="center"/>
                    <w:rPr>
                      <w:kern w:val="2"/>
                      <w:szCs w:val="21"/>
                    </w:rPr>
                  </w:pPr>
                  <w:r>
                    <w:rPr>
                      <w:kern w:val="2"/>
                      <w:szCs w:val="21"/>
                    </w:rPr>
                    <w:t>石泉省级经济技术开发区规划</w:t>
                  </w:r>
                </w:p>
              </w:tc>
              <w:tc>
                <w:tcPr>
                  <w:tcW w:w="2259" w:type="dxa"/>
                  <w:vAlign w:val="center"/>
                </w:tcPr>
                <w:p>
                  <w:pPr>
                    <w:widowControl/>
                    <w:spacing w:line="240" w:lineRule="auto"/>
                    <w:ind w:firstLine="0" w:firstLineChars="0"/>
                    <w:jc w:val="center"/>
                    <w:rPr>
                      <w:szCs w:val="21"/>
                    </w:rPr>
                  </w:pPr>
                  <w:r>
                    <w:rPr>
                      <w:szCs w:val="21"/>
                    </w:rPr>
                    <w:t>以丝绸</w:t>
                  </w:r>
                  <w:r>
                    <w:rPr>
                      <w:rFonts w:hint="eastAsia"/>
                      <w:szCs w:val="21"/>
                    </w:rPr>
                    <w:t>、</w:t>
                  </w:r>
                  <w:r>
                    <w:rPr>
                      <w:szCs w:val="21"/>
                    </w:rPr>
                    <w:t>富硒食品</w:t>
                  </w:r>
                  <w:r>
                    <w:rPr>
                      <w:rFonts w:hint="eastAsia"/>
                      <w:szCs w:val="21"/>
                    </w:rPr>
                    <w:t>、</w:t>
                  </w:r>
                  <w:r>
                    <w:rPr>
                      <w:szCs w:val="21"/>
                    </w:rPr>
                    <w:t>装备制造</w:t>
                  </w:r>
                  <w:r>
                    <w:rPr>
                      <w:rFonts w:hint="eastAsia"/>
                      <w:szCs w:val="21"/>
                    </w:rPr>
                    <w:t>、</w:t>
                  </w:r>
                  <w:r>
                    <w:rPr>
                      <w:szCs w:val="21"/>
                    </w:rPr>
                    <w:t>新型建材等产业为主</w:t>
                  </w:r>
                </w:p>
              </w:tc>
              <w:tc>
                <w:tcPr>
                  <w:tcW w:w="2809" w:type="dxa"/>
                  <w:vAlign w:val="center"/>
                </w:tcPr>
                <w:p>
                  <w:pPr>
                    <w:widowControl/>
                    <w:topLinePunct w:val="0"/>
                    <w:spacing w:line="240" w:lineRule="auto"/>
                    <w:ind w:firstLine="0" w:firstLineChars="0"/>
                    <w:jc w:val="center"/>
                    <w:rPr>
                      <w:szCs w:val="21"/>
                    </w:rPr>
                  </w:pPr>
                  <w:r>
                    <w:rPr>
                      <w:szCs w:val="21"/>
                    </w:rPr>
                    <w:t>本项目为废弃家电及废弃机动车拆解项目</w:t>
                  </w:r>
                  <w:r>
                    <w:rPr>
                      <w:rFonts w:hint="eastAsia"/>
                      <w:szCs w:val="21"/>
                    </w:rPr>
                    <w:t>，</w:t>
                  </w:r>
                  <w:r>
                    <w:rPr>
                      <w:szCs w:val="21"/>
                    </w:rPr>
                    <w:t>属于废弃资源综合整治</w:t>
                  </w:r>
                  <w:r>
                    <w:rPr>
                      <w:rFonts w:hint="eastAsia"/>
                      <w:szCs w:val="21"/>
                    </w:rPr>
                    <w:t>，</w:t>
                  </w:r>
                  <w:r>
                    <w:rPr>
                      <w:szCs w:val="21"/>
                    </w:rPr>
                    <w:t>为循环经济产业</w:t>
                  </w:r>
                  <w:r>
                    <w:rPr>
                      <w:rFonts w:hint="eastAsia"/>
                      <w:szCs w:val="21"/>
                    </w:rPr>
                    <w:t>。本项目已取得石泉经济技术开发区管理委员会相关证明，见附件。</w:t>
                  </w:r>
                </w:p>
              </w:tc>
              <w:tc>
                <w:tcPr>
                  <w:tcW w:w="717"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67" w:type="dxa"/>
                  <w:vAlign w:val="center"/>
                </w:tcPr>
                <w:p>
                  <w:pPr>
                    <w:widowControl/>
                    <w:topLinePunct w:val="0"/>
                    <w:spacing w:line="240" w:lineRule="auto"/>
                    <w:ind w:firstLine="0" w:firstLineChars="0"/>
                    <w:jc w:val="center"/>
                    <w:rPr>
                      <w:kern w:val="2"/>
                      <w:szCs w:val="21"/>
                    </w:rPr>
                  </w:pPr>
                  <w:r>
                    <w:rPr>
                      <w:kern w:val="2"/>
                      <w:szCs w:val="21"/>
                    </w:rPr>
                    <w:t>规划环评及其审查意见</w:t>
                  </w:r>
                </w:p>
              </w:tc>
              <w:tc>
                <w:tcPr>
                  <w:tcW w:w="2259" w:type="dxa"/>
                  <w:vAlign w:val="center"/>
                </w:tcPr>
                <w:p>
                  <w:pPr>
                    <w:widowControl/>
                    <w:spacing w:line="240" w:lineRule="auto"/>
                    <w:ind w:firstLine="0" w:firstLineChars="0"/>
                    <w:jc w:val="center"/>
                    <w:rPr>
                      <w:szCs w:val="21"/>
                    </w:rPr>
                  </w:pPr>
                  <w:r>
                    <w:rPr>
                      <w:szCs w:val="21"/>
                    </w:rPr>
                    <w:t>落实</w:t>
                  </w:r>
                  <w:r>
                    <w:rPr>
                      <w:rFonts w:hint="eastAsia"/>
                      <w:szCs w:val="21"/>
                    </w:rPr>
                    <w:t>“三线一单”要求，严格入区项目的环境准入管理，禁止引进有发酵工艺、排水量大且污染物复杂等项目入园。落实《报告书》提出的环境要求，引进项目的生产工艺、设备、污染治理技术，以及单位产品能耗、物耗、污染物排放和资源利用率均需达到同行业国内先进水平。</w:t>
                  </w:r>
                </w:p>
              </w:tc>
              <w:tc>
                <w:tcPr>
                  <w:tcW w:w="2809" w:type="dxa"/>
                  <w:vAlign w:val="center"/>
                </w:tcPr>
                <w:p>
                  <w:pPr>
                    <w:widowControl/>
                    <w:topLinePunct w:val="0"/>
                    <w:spacing w:line="240" w:lineRule="auto"/>
                    <w:ind w:firstLine="0" w:firstLineChars="0"/>
                    <w:jc w:val="center"/>
                    <w:rPr>
                      <w:szCs w:val="21"/>
                    </w:rPr>
                  </w:pPr>
                  <w:r>
                    <w:rPr>
                      <w:szCs w:val="21"/>
                    </w:rPr>
                    <w:t>本项目符合</w:t>
                  </w:r>
                  <w:r>
                    <w:rPr>
                      <w:rFonts w:hint="eastAsia"/>
                      <w:szCs w:val="21"/>
                    </w:rPr>
                    <w:t>“三线一单”管控要求。不涉及发酵工艺，运营期车间冲洗废水采取“隔油+絮凝沉淀”的方式处置后回用于厂内绿化、道路洒水，生活污水处置达标后进入城镇污水处理厂，大气污染物为颗粒物及非甲烷总烃，采取环保措施后均可达标排放。本项目采用成熟的生产工艺，选用先进的设备及成熟的污染治理技术，确保各类污染物达标排放。</w:t>
                  </w:r>
                </w:p>
              </w:tc>
              <w:tc>
                <w:tcPr>
                  <w:tcW w:w="717"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bl>
          <w:p>
            <w:pPr>
              <w:ind w:firstLine="48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899" w:type="dxa"/>
            <w:vAlign w:val="center"/>
          </w:tcPr>
          <w:p>
            <w:pPr>
              <w:spacing w:line="240" w:lineRule="auto"/>
              <w:ind w:firstLine="0" w:firstLineChars="0"/>
              <w:jc w:val="center"/>
              <w:rPr>
                <w:sz w:val="24"/>
                <w:szCs w:val="24"/>
              </w:rPr>
            </w:pPr>
            <w:r>
              <w:rPr>
                <w:rFonts w:hint="eastAsia"/>
                <w:sz w:val="24"/>
                <w:szCs w:val="24"/>
              </w:rPr>
              <w:t>其他符合性分析</w:t>
            </w:r>
          </w:p>
        </w:tc>
        <w:tc>
          <w:tcPr>
            <w:tcW w:w="7387" w:type="dxa"/>
            <w:gridSpan w:val="5"/>
            <w:vAlign w:val="center"/>
          </w:tcPr>
          <w:p>
            <w:pPr>
              <w:ind w:firstLine="480"/>
              <w:rPr>
                <w:sz w:val="24"/>
                <w:szCs w:val="24"/>
              </w:rPr>
            </w:pPr>
            <w:r>
              <w:rPr>
                <w:sz w:val="24"/>
                <w:szCs w:val="24"/>
              </w:rPr>
              <w:t>1、项目于国家产业政策的符合性</w:t>
            </w:r>
          </w:p>
          <w:p>
            <w:pPr>
              <w:ind w:firstLine="480"/>
              <w:rPr>
                <w:sz w:val="24"/>
                <w:szCs w:val="24"/>
              </w:rPr>
            </w:pPr>
            <w:r>
              <w:rPr>
                <w:sz w:val="24"/>
              </w:rPr>
              <w:t>本项目为</w:t>
            </w:r>
            <w:r>
              <w:rPr>
                <w:rFonts w:hint="eastAsia"/>
                <w:sz w:val="24"/>
              </w:rPr>
              <w:t>废弃电器及机动车辆回收拆解</w:t>
            </w:r>
            <w:r>
              <w:rPr>
                <w:sz w:val="24"/>
              </w:rPr>
              <w:t>项目</w:t>
            </w:r>
            <w:r>
              <w:rPr>
                <w:rFonts w:hint="eastAsia"/>
                <w:sz w:val="24"/>
              </w:rPr>
              <w:t>，</w:t>
            </w:r>
            <w:r>
              <w:rPr>
                <w:sz w:val="24"/>
                <w:szCs w:val="24"/>
              </w:rPr>
              <w:t>依据国家发改委[2019]第29号令《产业结构调整指导目录（2019年本）》分析，本项目不属于鼓励类</w:t>
            </w:r>
            <w:r>
              <w:rPr>
                <w:rFonts w:hint="eastAsia"/>
                <w:sz w:val="24"/>
                <w:szCs w:val="24"/>
              </w:rPr>
              <w:t>、</w:t>
            </w:r>
            <w:r>
              <w:rPr>
                <w:sz w:val="24"/>
                <w:szCs w:val="24"/>
              </w:rPr>
              <w:t>限制类</w:t>
            </w:r>
            <w:r>
              <w:rPr>
                <w:rFonts w:hint="eastAsia"/>
                <w:sz w:val="24"/>
                <w:szCs w:val="24"/>
              </w:rPr>
              <w:t>、</w:t>
            </w:r>
            <w:r>
              <w:rPr>
                <w:sz w:val="24"/>
                <w:szCs w:val="24"/>
              </w:rPr>
              <w:t>淘汰类项目</w:t>
            </w:r>
            <w:r>
              <w:rPr>
                <w:rFonts w:hint="eastAsia"/>
                <w:sz w:val="24"/>
                <w:szCs w:val="24"/>
              </w:rPr>
              <w:t>类别，属于允许类项目。</w:t>
            </w:r>
            <w:r>
              <w:rPr>
                <w:sz w:val="24"/>
                <w:szCs w:val="24"/>
              </w:rPr>
              <w:t>本项目已</w:t>
            </w:r>
            <w:r>
              <w:rPr>
                <w:rFonts w:hint="eastAsia"/>
                <w:sz w:val="24"/>
                <w:szCs w:val="24"/>
              </w:rPr>
              <w:t>在</w:t>
            </w:r>
            <w:r>
              <w:rPr>
                <w:sz w:val="24"/>
                <w:szCs w:val="24"/>
              </w:rPr>
              <w:t>石泉县发展和改革局驻政务中心备案</w:t>
            </w:r>
            <w:r>
              <w:rPr>
                <w:rFonts w:hint="eastAsia"/>
                <w:sz w:val="24"/>
                <w:szCs w:val="24"/>
              </w:rPr>
              <w:t>，并取得《</w:t>
            </w:r>
            <w:r>
              <w:rPr>
                <w:sz w:val="24"/>
                <w:szCs w:val="24"/>
              </w:rPr>
              <w:t>陕西省企业投资项目备案确认书</w:t>
            </w:r>
            <w:r>
              <w:rPr>
                <w:rFonts w:hint="eastAsia"/>
                <w:sz w:val="24"/>
                <w:szCs w:val="24"/>
              </w:rPr>
              <w:t>》，</w:t>
            </w:r>
            <w:r>
              <w:rPr>
                <w:sz w:val="24"/>
                <w:szCs w:val="24"/>
              </w:rPr>
              <w:t>项目代码</w:t>
            </w:r>
            <w:r>
              <w:rPr>
                <w:rFonts w:hint="eastAsia"/>
                <w:sz w:val="24"/>
                <w:szCs w:val="24"/>
              </w:rPr>
              <w:t>2207-610922-04-01-211292，本项目</w:t>
            </w:r>
            <w:r>
              <w:rPr>
                <w:sz w:val="24"/>
                <w:szCs w:val="24"/>
              </w:rPr>
              <w:t>符合国家和地方产业政策。</w:t>
            </w:r>
          </w:p>
          <w:p>
            <w:pPr>
              <w:ind w:firstLine="480"/>
              <w:rPr>
                <w:sz w:val="24"/>
                <w:szCs w:val="24"/>
              </w:rPr>
            </w:pPr>
            <w:r>
              <w:rPr>
                <w:sz w:val="24"/>
                <w:szCs w:val="24"/>
              </w:rPr>
              <w:t>2、与“三线一单”符合性分析</w:t>
            </w:r>
          </w:p>
          <w:p>
            <w:pPr>
              <w:autoSpaceDE w:val="0"/>
              <w:autoSpaceDN w:val="0"/>
              <w:ind w:firstLine="480"/>
              <w:rPr>
                <w:sz w:val="24"/>
              </w:rPr>
            </w:pPr>
            <w:r>
              <w:rPr>
                <w:rFonts w:hint="eastAsia"/>
                <w:sz w:val="24"/>
              </w:rPr>
              <w:t>2021年11月26日，安康市人民政府发布《安康市人民政府关于印发安康市“三线一单”生态环境分区管控方案的通知》（市政发〔2021〕18 号），就落实生态保护红线、环境质量底线、资源利用上线和生态环境准入清单（以下简称“三线一单”）生态环境分区管控制度，建立健全生态环境分区管控体系，制定实施方案。方案要求按照保护优先、衔接整合、有效管理的原则，将全市统筹划定为优先保护、重点管控、一般管控三类环境管控单元共150个，实施生态环境分区管控。</w:t>
            </w:r>
          </w:p>
          <w:p>
            <w:pPr>
              <w:autoSpaceDE w:val="0"/>
              <w:autoSpaceDN w:val="0"/>
              <w:ind w:firstLine="480"/>
              <w:rPr>
                <w:sz w:val="24"/>
              </w:rPr>
            </w:pPr>
            <w:r>
              <w:rPr>
                <w:rFonts w:hint="eastAsia"/>
                <w:sz w:val="24"/>
              </w:rPr>
              <w:t>优先保护单元：指以生态环境保护为主的区域，主要包括各类自然保护地、饮用水水源保护区、环境空气一类功能区等。全市划分优先保护单元98个，面积12060.30km</w:t>
            </w:r>
            <w:r>
              <w:rPr>
                <w:rFonts w:hint="eastAsia"/>
                <w:sz w:val="24"/>
                <w:vertAlign w:val="superscript"/>
              </w:rPr>
              <w:t>2</w:t>
            </w:r>
            <w:r>
              <w:rPr>
                <w:rFonts w:hint="eastAsia"/>
                <w:sz w:val="24"/>
              </w:rPr>
              <w:t>，占全市国土面积的51.23%。</w:t>
            </w:r>
          </w:p>
          <w:p>
            <w:pPr>
              <w:autoSpaceDE w:val="0"/>
              <w:autoSpaceDN w:val="0"/>
              <w:ind w:firstLine="480"/>
              <w:rPr>
                <w:sz w:val="24"/>
              </w:rPr>
            </w:pPr>
            <w:r>
              <w:rPr>
                <w:rFonts w:hint="eastAsia"/>
                <w:sz w:val="24"/>
              </w:rPr>
              <w:t>重点管控单元：指涉及水、大气、土壤、自然资源等资源环境要素重点管控的区域，主要包括城镇规划区、产业园区和开发强度大、污染物排放强度高的区域等。全市划定重点管控单元42个，面积2942.20km</w:t>
            </w:r>
            <w:r>
              <w:rPr>
                <w:rFonts w:hint="eastAsia"/>
                <w:sz w:val="24"/>
                <w:vertAlign w:val="superscript"/>
              </w:rPr>
              <w:t>2</w:t>
            </w:r>
            <w:r>
              <w:rPr>
                <w:rFonts w:hint="eastAsia"/>
                <w:sz w:val="24"/>
              </w:rPr>
              <w:t>，占全市国土面积的12.50%。</w:t>
            </w:r>
          </w:p>
          <w:p>
            <w:pPr>
              <w:autoSpaceDE w:val="0"/>
              <w:autoSpaceDN w:val="0"/>
              <w:ind w:firstLine="480"/>
              <w:rPr>
                <w:sz w:val="24"/>
              </w:rPr>
            </w:pPr>
            <w:r>
              <w:rPr>
                <w:rFonts w:hint="eastAsia"/>
                <w:sz w:val="24"/>
              </w:rPr>
              <w:t>一般管控单元：指优先保护单元和重点管控单元之外的其他区域。全市划分一般管控单元10个，面积8539.71km</w:t>
            </w:r>
            <w:r>
              <w:rPr>
                <w:rFonts w:hint="eastAsia"/>
                <w:sz w:val="24"/>
                <w:vertAlign w:val="superscript"/>
              </w:rPr>
              <w:t>2</w:t>
            </w:r>
            <w:r>
              <w:rPr>
                <w:rFonts w:hint="eastAsia"/>
                <w:sz w:val="24"/>
              </w:rPr>
              <w:t>，占全市国土面积的36.27%。</w:t>
            </w:r>
          </w:p>
          <w:p>
            <w:pPr>
              <w:autoSpaceDE w:val="0"/>
              <w:autoSpaceDN w:val="0"/>
              <w:ind w:firstLine="480"/>
              <w:rPr>
                <w:sz w:val="24"/>
              </w:rPr>
            </w:pPr>
            <w:r>
              <w:rPr>
                <w:rFonts w:hint="eastAsia"/>
                <w:sz w:val="24"/>
              </w:rPr>
              <w:t>（1）生态保护红线</w:t>
            </w:r>
          </w:p>
          <w:p>
            <w:pPr>
              <w:autoSpaceDE w:val="0"/>
              <w:autoSpaceDN w:val="0"/>
              <w:ind w:firstLine="480"/>
              <w:rPr>
                <w:sz w:val="24"/>
              </w:rPr>
            </w:pPr>
            <w:r>
              <w:rPr>
                <w:rFonts w:hint="eastAsia"/>
                <w:sz w:val="24"/>
              </w:rPr>
              <w:t>本项目位于石泉县城关镇，根据《安康市人民政府关于印发安康市“三线一单”生态环境分区管控方案的通知》，项目所在区域为一般管控单元，不涉及安康市生态保护红线，无生态保护目标。</w:t>
            </w:r>
          </w:p>
          <w:p>
            <w:pPr>
              <w:autoSpaceDE w:val="0"/>
              <w:autoSpaceDN w:val="0"/>
              <w:ind w:firstLine="480"/>
              <w:rPr>
                <w:sz w:val="24"/>
              </w:rPr>
            </w:pPr>
            <w:r>
              <w:rPr>
                <w:rFonts w:hint="eastAsia"/>
                <w:sz w:val="24"/>
              </w:rPr>
              <w:t>（2）环境质量底线</w:t>
            </w:r>
          </w:p>
          <w:p>
            <w:pPr>
              <w:autoSpaceDE w:val="0"/>
              <w:autoSpaceDN w:val="0"/>
              <w:ind w:firstLine="480"/>
              <w:rPr>
                <w:sz w:val="24"/>
              </w:rPr>
            </w:pPr>
            <w:r>
              <w:rPr>
                <w:sz w:val="24"/>
              </w:rPr>
              <w:t>通过环境影响分析，本项目</w:t>
            </w:r>
            <w:r>
              <w:rPr>
                <w:rFonts w:hint="eastAsia"/>
                <w:sz w:val="24"/>
              </w:rPr>
              <w:t>配备完善的环保设施，污染物均可达标排放，不会对区域环境质量产生明显影响</w:t>
            </w:r>
            <w:r>
              <w:rPr>
                <w:sz w:val="24"/>
              </w:rPr>
              <w:t>，不触及环境质量底线。</w:t>
            </w:r>
          </w:p>
          <w:p>
            <w:pPr>
              <w:autoSpaceDE w:val="0"/>
              <w:autoSpaceDN w:val="0"/>
              <w:ind w:firstLine="480"/>
              <w:rPr>
                <w:sz w:val="24"/>
              </w:rPr>
            </w:pPr>
            <w:r>
              <w:rPr>
                <w:rFonts w:hint="eastAsia"/>
                <w:sz w:val="24"/>
              </w:rPr>
              <w:t>（3）资源利用上线</w:t>
            </w:r>
          </w:p>
          <w:p>
            <w:pPr>
              <w:autoSpaceDE w:val="0"/>
              <w:autoSpaceDN w:val="0"/>
              <w:ind w:firstLine="480"/>
              <w:rPr>
                <w:sz w:val="24"/>
              </w:rPr>
            </w:pPr>
            <w:r>
              <w:rPr>
                <w:sz w:val="24"/>
              </w:rPr>
              <w:t>本项目为</w:t>
            </w:r>
            <w:r>
              <w:rPr>
                <w:rFonts w:hint="eastAsia"/>
                <w:sz w:val="24"/>
              </w:rPr>
              <w:t>废弃电器及机动车辆回收拆解</w:t>
            </w:r>
            <w:r>
              <w:rPr>
                <w:sz w:val="24"/>
              </w:rPr>
              <w:t>项目，不涉及</w:t>
            </w:r>
            <w:r>
              <w:rPr>
                <w:rFonts w:hint="eastAsia"/>
                <w:sz w:val="24"/>
              </w:rPr>
              <w:t>自然</w:t>
            </w:r>
            <w:r>
              <w:rPr>
                <w:sz w:val="24"/>
              </w:rPr>
              <w:t>资源利用问题。</w:t>
            </w:r>
          </w:p>
          <w:p>
            <w:pPr>
              <w:autoSpaceDE w:val="0"/>
              <w:autoSpaceDN w:val="0"/>
              <w:ind w:firstLine="480"/>
              <w:rPr>
                <w:sz w:val="24"/>
              </w:rPr>
            </w:pPr>
            <w:r>
              <w:rPr>
                <w:rFonts w:hint="eastAsia"/>
                <w:sz w:val="24"/>
              </w:rPr>
              <w:t>（4）生态环境准入清单</w:t>
            </w:r>
          </w:p>
          <w:p>
            <w:pPr>
              <w:autoSpaceDE w:val="0"/>
              <w:autoSpaceDN w:val="0"/>
              <w:ind w:firstLine="480"/>
              <w:rPr>
                <w:sz w:val="24"/>
              </w:rPr>
            </w:pPr>
            <w:r>
              <w:rPr>
                <w:sz w:val="24"/>
              </w:rPr>
              <w:t>本</w:t>
            </w:r>
            <w:r>
              <w:rPr>
                <w:rFonts w:hint="eastAsia"/>
                <w:sz w:val="24"/>
              </w:rPr>
              <w:t>项目建设符合国家产业政策，布局选线、资源利用效率、资源配置等均不触及负面清单，且项目不在《陕西省国家重点生态功能区产业准入负面清单（试行）》范围内。对照《安康市人民政府关于印发安康市“三线一单”生态环境分区管控方案的通知》中“安康市生态环境准入清单”，本项目处于安康市生态环境分区管控的一般管控单元，项目符合一般管控区的空间布局约束要求，满足环境风险管控要求。</w:t>
            </w:r>
          </w:p>
          <w:p>
            <w:pPr>
              <w:autoSpaceDE w:val="0"/>
              <w:autoSpaceDN w:val="0"/>
              <w:ind w:firstLine="480"/>
              <w:rPr>
                <w:sz w:val="24"/>
              </w:rPr>
            </w:pPr>
          </w:p>
          <w:p>
            <w:pPr>
              <w:autoSpaceDE w:val="0"/>
              <w:autoSpaceDN w:val="0"/>
              <w:ind w:firstLine="480"/>
              <w:rPr>
                <w:sz w:val="24"/>
              </w:rPr>
            </w:pPr>
          </w:p>
          <w:p>
            <w:pPr>
              <w:autoSpaceDE w:val="0"/>
              <w:autoSpaceDN w:val="0"/>
              <w:ind w:firstLine="480"/>
              <w:rPr>
                <w:sz w:val="24"/>
              </w:rPr>
            </w:pPr>
          </w:p>
          <w:p>
            <w:pPr>
              <w:autoSpaceDE w:val="0"/>
              <w:autoSpaceDN w:val="0"/>
              <w:ind w:firstLine="480"/>
              <w:rPr>
                <w:sz w:val="24"/>
              </w:rPr>
            </w:pPr>
          </w:p>
          <w:p>
            <w:pPr>
              <w:autoSpaceDE w:val="0"/>
              <w:autoSpaceDN w:val="0"/>
              <w:ind w:firstLine="480"/>
              <w:rPr>
                <w:sz w:val="24"/>
              </w:rPr>
            </w:pPr>
          </w:p>
          <w:p>
            <w:pPr>
              <w:autoSpaceDE w:val="0"/>
              <w:autoSpaceDN w:val="0"/>
              <w:ind w:firstLine="480"/>
              <w:rPr>
                <w:sz w:val="24"/>
              </w:rPr>
            </w:pPr>
          </w:p>
          <w:p>
            <w:pPr>
              <w:autoSpaceDE w:val="0"/>
              <w:autoSpaceDN w:val="0"/>
              <w:ind w:firstLine="480"/>
              <w:rPr>
                <w:sz w:val="24"/>
              </w:rPr>
            </w:pPr>
          </w:p>
          <w:p>
            <w:pPr>
              <w:autoSpaceDE w:val="0"/>
              <w:autoSpaceDN w:val="0"/>
              <w:ind w:firstLine="480"/>
              <w:rPr>
                <w:sz w:val="24"/>
              </w:rPr>
            </w:pPr>
          </w:p>
          <w:p>
            <w:pPr>
              <w:autoSpaceDE w:val="0"/>
              <w:autoSpaceDN w:val="0"/>
              <w:ind w:firstLine="480"/>
              <w:rPr>
                <w:sz w:val="24"/>
              </w:rPr>
            </w:pPr>
          </w:p>
          <w:p>
            <w:pPr>
              <w:autoSpaceDE w:val="0"/>
              <w:autoSpaceDN w:val="0"/>
              <w:ind w:firstLine="480"/>
              <w:rPr>
                <w:sz w:val="24"/>
              </w:rPr>
            </w:pPr>
          </w:p>
          <w:p>
            <w:pPr>
              <w:autoSpaceDE w:val="0"/>
              <w:autoSpaceDN w:val="0"/>
              <w:ind w:firstLine="480"/>
              <w:rPr>
                <w:sz w:val="24"/>
              </w:rPr>
            </w:pPr>
          </w:p>
          <w:p>
            <w:pPr>
              <w:autoSpaceDE w:val="0"/>
              <w:autoSpaceDN w:val="0"/>
              <w:ind w:firstLine="480"/>
              <w:rPr>
                <w:sz w:val="24"/>
                <w:szCs w:val="24"/>
              </w:rPr>
            </w:pPr>
          </w:p>
        </w:tc>
      </w:tr>
    </w:tbl>
    <w:p>
      <w:pPr>
        <w:ind w:firstLine="420"/>
        <w:sectPr>
          <w:footerReference r:id="rId9" w:type="default"/>
          <w:pgSz w:w="11906" w:h="16838"/>
          <w:pgMar w:top="1418" w:right="1418" w:bottom="1418" w:left="1418" w:header="851" w:footer="992" w:gutter="0"/>
          <w:pgNumType w:fmt="numberInDash" w:start="1"/>
          <w:cols w:space="425" w:num="1"/>
          <w:docGrid w:type="lines" w:linePitch="312" w:charSpace="0"/>
        </w:sectPr>
      </w:pPr>
    </w:p>
    <w:tbl>
      <w:tblPr>
        <w:tblStyle w:val="21"/>
        <w:tblW w:w="1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Align w:val="center"/>
          </w:tcPr>
          <w:p>
            <w:pPr>
              <w:spacing w:line="240" w:lineRule="auto"/>
              <w:ind w:firstLine="0" w:firstLineChars="0"/>
              <w:jc w:val="center"/>
              <w:outlineLvl w:val="0"/>
              <w:rPr>
                <w:rFonts w:eastAsia="黑体"/>
                <w:sz w:val="30"/>
              </w:rPr>
            </w:pPr>
            <w:r>
              <w:rPr>
                <w:sz w:val="24"/>
              </w:rPr>
              <w:t>其他符合性分析</w:t>
            </w:r>
          </w:p>
        </w:tc>
        <w:tc>
          <w:tcPr>
            <w:tcW w:w="11276" w:type="dxa"/>
          </w:tcPr>
          <w:p>
            <w:pPr>
              <w:pStyle w:val="37"/>
              <w:rPr>
                <w:szCs w:val="24"/>
              </w:rPr>
            </w:pPr>
            <w:r>
              <w:rPr>
                <w:szCs w:val="24"/>
              </w:rPr>
              <w:t>表1-</w:t>
            </w:r>
            <w:r>
              <w:rPr>
                <w:rFonts w:hint="eastAsia"/>
                <w:szCs w:val="24"/>
              </w:rPr>
              <w:t>3</w:t>
            </w:r>
            <w:r>
              <w:rPr>
                <w:szCs w:val="24"/>
              </w:rPr>
              <w:t xml:space="preserve">  本项目与</w:t>
            </w:r>
            <w:r>
              <w:rPr>
                <w:rFonts w:hint="eastAsia"/>
              </w:rPr>
              <w:t>安康市“三线一单”生态环境分区管控方案</w:t>
            </w:r>
            <w:r>
              <w:rPr>
                <w:szCs w:val="24"/>
              </w:rPr>
              <w:t>符合性分析表</w:t>
            </w:r>
          </w:p>
          <w:tbl>
            <w:tblPr>
              <w:tblStyle w:val="21"/>
              <w:tblW w:w="110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127"/>
              <w:gridCol w:w="1003"/>
              <w:gridCol w:w="4687"/>
              <w:gridCol w:w="2544"/>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874" w:type="dxa"/>
                  <w:shd w:val="clear" w:color="auto" w:fill="E7E6E6"/>
                  <w:vAlign w:val="center"/>
                </w:tcPr>
                <w:p>
                  <w:pPr>
                    <w:pStyle w:val="34"/>
                    <w:rPr>
                      <w:b/>
                      <w:szCs w:val="21"/>
                    </w:rPr>
                  </w:pPr>
                  <w:r>
                    <w:rPr>
                      <w:rFonts w:hint="eastAsia"/>
                      <w:b/>
                      <w:szCs w:val="21"/>
                    </w:rPr>
                    <w:t>适用</w:t>
                  </w:r>
                </w:p>
                <w:p>
                  <w:pPr>
                    <w:pStyle w:val="34"/>
                    <w:rPr>
                      <w:b/>
                      <w:szCs w:val="21"/>
                    </w:rPr>
                  </w:pPr>
                  <w:r>
                    <w:rPr>
                      <w:rFonts w:hint="eastAsia"/>
                      <w:b/>
                      <w:szCs w:val="21"/>
                    </w:rPr>
                    <w:t>范围</w:t>
                  </w:r>
                </w:p>
              </w:tc>
              <w:tc>
                <w:tcPr>
                  <w:tcW w:w="1127" w:type="dxa"/>
                  <w:shd w:val="clear" w:color="auto" w:fill="E7E6E6"/>
                  <w:vAlign w:val="center"/>
                </w:tcPr>
                <w:p>
                  <w:pPr>
                    <w:pStyle w:val="34"/>
                    <w:rPr>
                      <w:b/>
                      <w:szCs w:val="21"/>
                    </w:rPr>
                  </w:pPr>
                  <w:r>
                    <w:rPr>
                      <w:b/>
                      <w:szCs w:val="21"/>
                    </w:rPr>
                    <w:t>管控</w:t>
                  </w:r>
                </w:p>
                <w:p>
                  <w:pPr>
                    <w:pStyle w:val="34"/>
                    <w:rPr>
                      <w:b/>
                      <w:szCs w:val="21"/>
                    </w:rPr>
                  </w:pPr>
                  <w:r>
                    <w:rPr>
                      <w:b/>
                      <w:szCs w:val="21"/>
                    </w:rPr>
                    <w:t>维度</w:t>
                  </w:r>
                </w:p>
              </w:tc>
              <w:tc>
                <w:tcPr>
                  <w:tcW w:w="5690" w:type="dxa"/>
                  <w:gridSpan w:val="2"/>
                  <w:shd w:val="clear" w:color="auto" w:fill="E7E6E6"/>
                  <w:vAlign w:val="center"/>
                </w:tcPr>
                <w:p>
                  <w:pPr>
                    <w:pStyle w:val="34"/>
                    <w:rPr>
                      <w:b/>
                      <w:szCs w:val="21"/>
                    </w:rPr>
                  </w:pPr>
                  <w:r>
                    <w:rPr>
                      <w:b/>
                      <w:szCs w:val="21"/>
                    </w:rPr>
                    <w:t>管控要求</w:t>
                  </w:r>
                </w:p>
              </w:tc>
              <w:tc>
                <w:tcPr>
                  <w:tcW w:w="2544" w:type="dxa"/>
                  <w:shd w:val="clear" w:color="auto" w:fill="E7E6E6"/>
                  <w:vAlign w:val="center"/>
                </w:tcPr>
                <w:p>
                  <w:pPr>
                    <w:pStyle w:val="34"/>
                    <w:rPr>
                      <w:b/>
                      <w:szCs w:val="21"/>
                    </w:rPr>
                  </w:pPr>
                  <w:r>
                    <w:rPr>
                      <w:b/>
                      <w:szCs w:val="21"/>
                    </w:rPr>
                    <w:t>本项目情况</w:t>
                  </w:r>
                </w:p>
              </w:tc>
              <w:tc>
                <w:tcPr>
                  <w:tcW w:w="815" w:type="dxa"/>
                  <w:shd w:val="clear" w:color="auto" w:fill="E7E6E6"/>
                  <w:vAlign w:val="center"/>
                </w:tcPr>
                <w:p>
                  <w:pPr>
                    <w:pStyle w:val="34"/>
                    <w:rPr>
                      <w:b/>
                      <w:szCs w:val="21"/>
                    </w:rPr>
                  </w:pPr>
                  <w:r>
                    <w:rPr>
                      <w:b/>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restart"/>
                  <w:vAlign w:val="center"/>
                </w:tcPr>
                <w:p>
                  <w:pPr>
                    <w:pStyle w:val="34"/>
                    <w:rPr>
                      <w:szCs w:val="21"/>
                      <w:lang w:val="zh-CN"/>
                    </w:rPr>
                  </w:pPr>
                  <w:r>
                    <w:rPr>
                      <w:rFonts w:hint="eastAsia"/>
                      <w:szCs w:val="21"/>
                      <w:lang w:val="zh-CN"/>
                    </w:rPr>
                    <w:t>总体</w:t>
                  </w:r>
                </w:p>
                <w:p>
                  <w:pPr>
                    <w:pStyle w:val="34"/>
                    <w:rPr>
                      <w:szCs w:val="21"/>
                      <w:lang w:val="zh-CN"/>
                    </w:rPr>
                  </w:pPr>
                  <w:r>
                    <w:rPr>
                      <w:rFonts w:hint="eastAsia"/>
                      <w:szCs w:val="21"/>
                      <w:lang w:val="zh-CN"/>
                    </w:rPr>
                    <w:t>要求</w:t>
                  </w:r>
                </w:p>
              </w:tc>
              <w:tc>
                <w:tcPr>
                  <w:tcW w:w="1127" w:type="dxa"/>
                  <w:vAlign w:val="center"/>
                </w:tcPr>
                <w:p>
                  <w:pPr>
                    <w:pStyle w:val="34"/>
                    <w:rPr>
                      <w:bCs/>
                      <w:szCs w:val="21"/>
                    </w:rPr>
                  </w:pPr>
                  <w:r>
                    <w:rPr>
                      <w:bCs/>
                      <w:szCs w:val="21"/>
                    </w:rPr>
                    <w:t>空间布局约束</w:t>
                  </w:r>
                </w:p>
              </w:tc>
              <w:tc>
                <w:tcPr>
                  <w:tcW w:w="5690" w:type="dxa"/>
                  <w:gridSpan w:val="2"/>
                  <w:vAlign w:val="center"/>
                </w:tcPr>
                <w:p>
                  <w:pPr>
                    <w:pStyle w:val="34"/>
                    <w:jc w:val="both"/>
                    <w:rPr>
                      <w:szCs w:val="21"/>
                    </w:rPr>
                  </w:pPr>
                  <w:r>
                    <w:rPr>
                      <w:rFonts w:hint="eastAsia"/>
                      <w:szCs w:val="21"/>
                    </w:rPr>
                    <w:t>1.本行政区域内的自然保护区、风景名胜区、森林公园、地质公园、世界自然和文化遗产、饮用水水源保护区等区域的禁止性和限制性准入要求依照国家相关法律法规执行。</w:t>
                  </w:r>
                </w:p>
                <w:p>
                  <w:pPr>
                    <w:pStyle w:val="34"/>
                    <w:jc w:val="both"/>
                    <w:rPr>
                      <w:szCs w:val="21"/>
                    </w:rPr>
                  </w:pPr>
                  <w:r>
                    <w:rPr>
                      <w:rFonts w:hint="eastAsia"/>
                      <w:szCs w:val="21"/>
                    </w:rPr>
                    <w:t>2.禁止在优先保护耕地内新建有色金属采选、冶炼、化工、医药、电镀、铅蓄电池制造、煤炭开采等行业企业，现有相关行业企业要采用新技术、新工艺，加快提标升级改造步伐。</w:t>
                  </w:r>
                </w:p>
                <w:p>
                  <w:pPr>
                    <w:pStyle w:val="34"/>
                    <w:jc w:val="both"/>
                    <w:rPr>
                      <w:szCs w:val="21"/>
                    </w:rPr>
                  </w:pPr>
                  <w:r>
                    <w:rPr>
                      <w:rFonts w:hint="eastAsia"/>
                      <w:szCs w:val="21"/>
                    </w:rPr>
                    <w:t>3.禁止在居民区、学校、医院和养老机构等周边新建、扩建有色金属采选、冶炼、化工等行业企业。</w:t>
                  </w:r>
                </w:p>
                <w:p>
                  <w:pPr>
                    <w:pStyle w:val="34"/>
                    <w:jc w:val="both"/>
                    <w:rPr>
                      <w:szCs w:val="21"/>
                    </w:rPr>
                  </w:pPr>
                  <w:r>
                    <w:rPr>
                      <w:rFonts w:hint="eastAsia"/>
                      <w:szCs w:val="21"/>
                    </w:rPr>
                    <w:t>4.淘汰涉重金属重点行业落后产能，严格执行重金属相关行业准入条件，禁止新建落后产能或者产能严重过剩行业的建设项目。</w:t>
                  </w:r>
                </w:p>
                <w:p>
                  <w:pPr>
                    <w:pStyle w:val="34"/>
                    <w:jc w:val="both"/>
                    <w:rPr>
                      <w:szCs w:val="21"/>
                    </w:rPr>
                  </w:pPr>
                  <w:r>
                    <w:rPr>
                      <w:rFonts w:hint="eastAsia"/>
                      <w:szCs w:val="21"/>
                    </w:rPr>
                    <w:t>5.在汉江流域新设、改设或者扩大排污口，应当符合水功能区划、水资源保护规划和防洪要求，未经许可不得设置入河排污口。</w:t>
                  </w:r>
                </w:p>
                <w:p>
                  <w:pPr>
                    <w:pStyle w:val="34"/>
                    <w:jc w:val="both"/>
                    <w:rPr>
                      <w:szCs w:val="21"/>
                    </w:rPr>
                  </w:pPr>
                  <w:r>
                    <w:rPr>
                      <w:rFonts w:hint="eastAsia"/>
                      <w:szCs w:val="21"/>
                    </w:rPr>
                    <w:t>6.限制新建、扩建原生汞矿开采项目；现有汞矿开采按原有规模开采至2032年8月16日前淘汰关闭。</w:t>
                  </w:r>
                </w:p>
                <w:p>
                  <w:pPr>
                    <w:pStyle w:val="34"/>
                    <w:jc w:val="both"/>
                    <w:rPr>
                      <w:szCs w:val="21"/>
                    </w:rPr>
                  </w:pPr>
                  <w:r>
                    <w:rPr>
                      <w:rFonts w:hint="eastAsia"/>
                      <w:szCs w:val="21"/>
                    </w:rPr>
                    <w:t>7.在长江流域江河两岸的禁止和限制性准入要求按照《长江保护法》执行。</w:t>
                  </w:r>
                </w:p>
                <w:p>
                  <w:pPr>
                    <w:pStyle w:val="34"/>
                    <w:jc w:val="both"/>
                    <w:rPr>
                      <w:szCs w:val="21"/>
                    </w:rPr>
                  </w:pPr>
                  <w:r>
                    <w:rPr>
                      <w:rFonts w:hint="eastAsia"/>
                      <w:szCs w:val="21"/>
                    </w:rPr>
                    <w:t>8.蒿坪河流域禁止新建、扩建矿山开采项目。</w:t>
                  </w:r>
                </w:p>
              </w:tc>
              <w:tc>
                <w:tcPr>
                  <w:tcW w:w="2544" w:type="dxa"/>
                  <w:vAlign w:val="center"/>
                </w:tcPr>
                <w:p>
                  <w:pPr>
                    <w:pStyle w:val="34"/>
                    <w:rPr>
                      <w:szCs w:val="21"/>
                    </w:rPr>
                  </w:pPr>
                  <w:r>
                    <w:rPr>
                      <w:szCs w:val="21"/>
                    </w:rPr>
                    <w:t>本项目位于石泉县</w:t>
                  </w:r>
                  <w:r>
                    <w:rPr>
                      <w:rFonts w:hint="eastAsia"/>
                      <w:szCs w:val="21"/>
                    </w:rPr>
                    <w:t>城关</w:t>
                  </w:r>
                  <w:r>
                    <w:rPr>
                      <w:szCs w:val="21"/>
                    </w:rPr>
                    <w:t>镇</w:t>
                  </w:r>
                  <w:r>
                    <w:rPr>
                      <w:rFonts w:hint="eastAsia"/>
                      <w:szCs w:val="21"/>
                    </w:rPr>
                    <w:t>，</w:t>
                  </w:r>
                  <w:r>
                    <w:rPr>
                      <w:szCs w:val="21"/>
                    </w:rPr>
                    <w:t>为</w:t>
                  </w:r>
                  <w:r>
                    <w:rPr>
                      <w:rFonts w:hint="eastAsia"/>
                      <w:szCs w:val="21"/>
                    </w:rPr>
                    <w:t>废弃电器及机动车辆回收拆解</w:t>
                  </w:r>
                  <w:r>
                    <w:rPr>
                      <w:szCs w:val="21"/>
                    </w:rPr>
                    <w:t>项目</w:t>
                  </w:r>
                  <w:r>
                    <w:rPr>
                      <w:rFonts w:hint="eastAsia"/>
                      <w:szCs w:val="21"/>
                    </w:rPr>
                    <w:t>。</w:t>
                  </w:r>
                  <w:r>
                    <w:rPr>
                      <w:szCs w:val="21"/>
                    </w:rPr>
                    <w:t>不涉及</w:t>
                  </w:r>
                  <w:r>
                    <w:rPr>
                      <w:rFonts w:hint="eastAsia"/>
                      <w:szCs w:val="21"/>
                    </w:rPr>
                    <w:t>域内的自然保护区、风景名胜区、森林公园、地质公园、世界自然和文化遗产、饮用水水源保护区等区域；不属于在优先保护耕地内新建有色金属采选、冶炼、化工、医药、电镀、铅蓄电池制造、煤炭开采等行业企业；不属于在居民区、学校、医院和养老机构等周边新建、扩建有色金属采选、冶炼、化工等行业企业；不属于淘汰类项目；不设置排污口；不涉及资源开采。</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bCs/>
                      <w:szCs w:val="21"/>
                    </w:rPr>
                    <w:t>污染排放管控</w:t>
                  </w:r>
                </w:p>
              </w:tc>
              <w:tc>
                <w:tcPr>
                  <w:tcW w:w="5690" w:type="dxa"/>
                  <w:gridSpan w:val="2"/>
                  <w:vAlign w:val="center"/>
                </w:tcPr>
                <w:p>
                  <w:pPr>
                    <w:pStyle w:val="34"/>
                    <w:jc w:val="both"/>
                    <w:rPr>
                      <w:szCs w:val="21"/>
                    </w:rPr>
                  </w:pPr>
                  <w:r>
                    <w:rPr>
                      <w:rFonts w:hint="eastAsia"/>
                      <w:szCs w:val="21"/>
                    </w:rPr>
                    <w:t>1.新建“两高”项目应按照《关于加强重点行业建设项目区域削减措施监督管理的通知》要求，依据区域环境质量改善目标，制定配套区域污染物削减方案，采取有效的污染物区域削减措施，腾出足够的环境容量。</w:t>
                  </w:r>
                </w:p>
                <w:p>
                  <w:pPr>
                    <w:pStyle w:val="34"/>
                    <w:jc w:val="both"/>
                    <w:rPr>
                      <w:szCs w:val="21"/>
                    </w:rPr>
                  </w:pPr>
                  <w:r>
                    <w:rPr>
                      <w:rFonts w:hint="eastAsia"/>
                      <w:szCs w:val="21"/>
                    </w:rPr>
                    <w:t>2.禁止工矿企业在废水、废气和废渣处置过程中将污染物向土壤环境转移。</w:t>
                  </w:r>
                </w:p>
                <w:p>
                  <w:pPr>
                    <w:pStyle w:val="34"/>
                    <w:jc w:val="both"/>
                    <w:rPr>
                      <w:szCs w:val="21"/>
                    </w:rPr>
                  </w:pPr>
                  <w:r>
                    <w:rPr>
                      <w:rFonts w:hint="eastAsia"/>
                      <w:szCs w:val="21"/>
                    </w:rPr>
                    <w:t>3.鼓励尾矿渣综合利用，无主尾矿库应由当地人民政府依法闭库或封场绿化，防止水土流失和环境损害。</w:t>
                  </w:r>
                </w:p>
              </w:tc>
              <w:tc>
                <w:tcPr>
                  <w:tcW w:w="2544" w:type="dxa"/>
                  <w:vAlign w:val="center"/>
                </w:tcPr>
                <w:p>
                  <w:pPr>
                    <w:pStyle w:val="34"/>
                    <w:rPr>
                      <w:szCs w:val="21"/>
                    </w:rPr>
                  </w:pPr>
                  <w:r>
                    <w:rPr>
                      <w:szCs w:val="21"/>
                    </w:rPr>
                    <w:t>本项目</w:t>
                  </w:r>
                  <w:r>
                    <w:rPr>
                      <w:rFonts w:hint="eastAsia"/>
                      <w:szCs w:val="21"/>
                    </w:rPr>
                    <w:t>不属于“两高”项目，项目建成后不排放废气、废水均配套建设环保设施，污染物可达标排放，固体废物处理利用率达1</w:t>
                  </w:r>
                  <w:r>
                    <w:rPr>
                      <w:szCs w:val="21"/>
                    </w:rPr>
                    <w:t>00%</w:t>
                  </w:r>
                  <w:r>
                    <w:rPr>
                      <w:rFonts w:hint="eastAsia"/>
                      <w:szCs w:val="21"/>
                    </w:rPr>
                    <w:t>。本项目不涉及尾矿渣利用。</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bCs/>
                      <w:szCs w:val="21"/>
                    </w:rPr>
                    <w:t>环境风险防控</w:t>
                  </w:r>
                </w:p>
              </w:tc>
              <w:tc>
                <w:tcPr>
                  <w:tcW w:w="5690" w:type="dxa"/>
                  <w:gridSpan w:val="2"/>
                  <w:vAlign w:val="center"/>
                </w:tcPr>
                <w:p>
                  <w:pPr>
                    <w:pStyle w:val="34"/>
                    <w:jc w:val="both"/>
                    <w:rPr>
                      <w:szCs w:val="21"/>
                    </w:rPr>
                  </w:pPr>
                  <w:r>
                    <w:rPr>
                      <w:rFonts w:hint="eastAsia"/>
                      <w:szCs w:val="21"/>
                    </w:rPr>
                    <w:t>做好危险化学品运输和尾矿库环境风险防控。</w:t>
                  </w:r>
                </w:p>
              </w:tc>
              <w:tc>
                <w:tcPr>
                  <w:tcW w:w="2544" w:type="dxa"/>
                  <w:vAlign w:val="center"/>
                </w:tcPr>
                <w:p>
                  <w:pPr>
                    <w:pStyle w:val="34"/>
                    <w:rPr>
                      <w:szCs w:val="21"/>
                    </w:rPr>
                  </w:pPr>
                  <w:r>
                    <w:rPr>
                      <w:szCs w:val="21"/>
                    </w:rPr>
                    <w:t>本项目不涉及危险化学品</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资源利用效率要求</w:t>
                  </w:r>
                </w:p>
              </w:tc>
              <w:tc>
                <w:tcPr>
                  <w:tcW w:w="5690" w:type="dxa"/>
                  <w:gridSpan w:val="2"/>
                  <w:vAlign w:val="center"/>
                </w:tcPr>
                <w:p>
                  <w:pPr>
                    <w:pStyle w:val="34"/>
                    <w:jc w:val="both"/>
                    <w:rPr>
                      <w:szCs w:val="21"/>
                    </w:rPr>
                  </w:pPr>
                  <w:r>
                    <w:rPr>
                      <w:rFonts w:hint="eastAsia"/>
                      <w:szCs w:val="21"/>
                    </w:rPr>
                    <w:t>推动高耗能行业技术创新和改造升级，新建、改（扩）建项目必须达到强制性能耗限额标准先进值和污染物排放标准。</w:t>
                  </w:r>
                </w:p>
              </w:tc>
              <w:tc>
                <w:tcPr>
                  <w:tcW w:w="2544" w:type="dxa"/>
                  <w:vAlign w:val="center"/>
                </w:tcPr>
                <w:p>
                  <w:pPr>
                    <w:pStyle w:val="34"/>
                    <w:rPr>
                      <w:szCs w:val="21"/>
                    </w:rPr>
                  </w:pPr>
                  <w:r>
                    <w:rPr>
                      <w:szCs w:val="21"/>
                    </w:rPr>
                    <w:t>本项目为</w:t>
                  </w:r>
                  <w:r>
                    <w:rPr>
                      <w:rFonts w:hint="eastAsia"/>
                      <w:szCs w:val="21"/>
                    </w:rPr>
                    <w:t>主要设备为压缩机、撕碎机等，</w:t>
                  </w:r>
                  <w:r>
                    <w:rPr>
                      <w:szCs w:val="21"/>
                    </w:rPr>
                    <w:t>不涉及高耗能设备或工艺</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restart"/>
                  <w:vAlign w:val="center"/>
                </w:tcPr>
                <w:p>
                  <w:pPr>
                    <w:pStyle w:val="34"/>
                    <w:rPr>
                      <w:szCs w:val="21"/>
                      <w:lang w:val="zh-CN"/>
                    </w:rPr>
                  </w:pPr>
                  <w:r>
                    <w:rPr>
                      <w:rFonts w:hint="eastAsia"/>
                      <w:szCs w:val="21"/>
                      <w:lang w:val="zh-CN"/>
                    </w:rPr>
                    <w:t>生态保护红线</w:t>
                  </w:r>
                </w:p>
              </w:tc>
              <w:tc>
                <w:tcPr>
                  <w:tcW w:w="1127" w:type="dxa"/>
                  <w:vAlign w:val="center"/>
                </w:tcPr>
                <w:p>
                  <w:pPr>
                    <w:pStyle w:val="34"/>
                    <w:rPr>
                      <w:bCs/>
                      <w:szCs w:val="21"/>
                    </w:rPr>
                  </w:pPr>
                  <w:r>
                    <w:rPr>
                      <w:rFonts w:hint="eastAsia"/>
                      <w:bCs/>
                      <w:szCs w:val="21"/>
                    </w:rPr>
                    <w:t>总体</w:t>
                  </w:r>
                </w:p>
                <w:p>
                  <w:pPr>
                    <w:pStyle w:val="34"/>
                    <w:rPr>
                      <w:bCs/>
                      <w:szCs w:val="21"/>
                    </w:rPr>
                  </w:pPr>
                  <w:r>
                    <w:rPr>
                      <w:rFonts w:hint="eastAsia"/>
                      <w:bCs/>
                      <w:szCs w:val="21"/>
                    </w:rPr>
                    <w:t>要求</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rFonts w:hint="eastAsia"/>
                      <w:szCs w:val="21"/>
                    </w:rPr>
                    <w:t>原则上按禁止开发区的要求进行管理。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2544" w:type="dxa"/>
                  <w:vAlign w:val="center"/>
                </w:tcPr>
                <w:p>
                  <w:pPr>
                    <w:pStyle w:val="34"/>
                    <w:rPr>
                      <w:szCs w:val="21"/>
                    </w:rPr>
                  </w:pPr>
                  <w:r>
                    <w:rPr>
                      <w:szCs w:val="21"/>
                    </w:rPr>
                    <w:t>本项目位于城市建成区</w:t>
                  </w:r>
                  <w:r>
                    <w:rPr>
                      <w:rFonts w:hint="eastAsia"/>
                      <w:szCs w:val="21"/>
                    </w:rPr>
                    <w:t>，</w:t>
                  </w:r>
                  <w:r>
                    <w:rPr>
                      <w:szCs w:val="21"/>
                    </w:rPr>
                    <w:t>不涉及生态保护红线</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水源涵养生态保护</w:t>
                  </w:r>
                </w:p>
                <w:p>
                  <w:pPr>
                    <w:pStyle w:val="34"/>
                    <w:rPr>
                      <w:bCs/>
                      <w:szCs w:val="21"/>
                    </w:rPr>
                  </w:pPr>
                  <w:r>
                    <w:rPr>
                      <w:rFonts w:hint="eastAsia"/>
                      <w:bCs/>
                      <w:szCs w:val="21"/>
                    </w:rPr>
                    <w:t>红线区</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rFonts w:hint="eastAsia"/>
                      <w:szCs w:val="21"/>
                    </w:rPr>
                    <w:t>1.限制或禁止各种损害生态系统水源涵养功能的经济社会活动和生产方式，如无序采矿、毁林开荒、湿地和草地开垦、过度放牧等。</w:t>
                  </w:r>
                </w:p>
                <w:p>
                  <w:pPr>
                    <w:pStyle w:val="34"/>
                    <w:jc w:val="both"/>
                    <w:rPr>
                      <w:szCs w:val="21"/>
                    </w:rPr>
                  </w:pPr>
                  <w:r>
                    <w:rPr>
                      <w:rFonts w:hint="eastAsia"/>
                      <w:szCs w:val="21"/>
                    </w:rPr>
                    <w:t>2.控制水污染，减轻水污染负荷。</w:t>
                  </w:r>
                </w:p>
                <w:p>
                  <w:pPr>
                    <w:pStyle w:val="34"/>
                    <w:jc w:val="both"/>
                    <w:rPr>
                      <w:szCs w:val="21"/>
                    </w:rPr>
                  </w:pPr>
                  <w:r>
                    <w:rPr>
                      <w:rFonts w:hint="eastAsia"/>
                      <w:szCs w:val="21"/>
                    </w:rPr>
                    <w:t>3.严格控制载畜量，实行以草定畜，减轻区内畜牧业对水源和生态系统的压力。</w:t>
                  </w:r>
                </w:p>
              </w:tc>
              <w:tc>
                <w:tcPr>
                  <w:tcW w:w="2544" w:type="dxa"/>
                  <w:vAlign w:val="center"/>
                </w:tcPr>
                <w:p>
                  <w:pPr>
                    <w:pStyle w:val="34"/>
                    <w:rPr>
                      <w:szCs w:val="21"/>
                    </w:rPr>
                  </w:pPr>
                  <w:r>
                    <w:rPr>
                      <w:szCs w:val="21"/>
                    </w:rPr>
                    <w:t>本项目</w:t>
                  </w:r>
                  <w:r>
                    <w:rPr>
                      <w:rFonts w:hint="eastAsia"/>
                      <w:szCs w:val="21"/>
                    </w:rPr>
                    <w:t>不涉及水源涵养生态保护红线区。</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生物多样性维护生态保护</w:t>
                  </w:r>
                </w:p>
                <w:p>
                  <w:pPr>
                    <w:pStyle w:val="34"/>
                    <w:rPr>
                      <w:bCs/>
                      <w:szCs w:val="21"/>
                    </w:rPr>
                  </w:pPr>
                  <w:r>
                    <w:rPr>
                      <w:rFonts w:hint="eastAsia"/>
                      <w:bCs/>
                      <w:szCs w:val="21"/>
                    </w:rPr>
                    <w:t>红线区</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rFonts w:hint="eastAsia"/>
                      <w:szCs w:val="21"/>
                    </w:rPr>
                    <w:t>1.减少林木采伐，恢复山地植被，保护野生物种；</w:t>
                  </w:r>
                </w:p>
                <w:p>
                  <w:pPr>
                    <w:pStyle w:val="34"/>
                    <w:jc w:val="both"/>
                    <w:rPr>
                      <w:szCs w:val="21"/>
                    </w:rPr>
                  </w:pPr>
                  <w:r>
                    <w:rPr>
                      <w:rFonts w:hint="eastAsia"/>
                      <w:szCs w:val="21"/>
                    </w:rPr>
                    <w:t>2.禁止大规模水电开发和林纸一体化产业发展。</w:t>
                  </w:r>
                </w:p>
              </w:tc>
              <w:tc>
                <w:tcPr>
                  <w:tcW w:w="2544" w:type="dxa"/>
                  <w:vAlign w:val="center"/>
                </w:tcPr>
                <w:p>
                  <w:pPr>
                    <w:pStyle w:val="34"/>
                    <w:rPr>
                      <w:szCs w:val="21"/>
                    </w:rPr>
                  </w:pPr>
                  <w:r>
                    <w:rPr>
                      <w:szCs w:val="21"/>
                    </w:rPr>
                    <w:t>本项目</w:t>
                  </w:r>
                  <w:r>
                    <w:rPr>
                      <w:rFonts w:hint="eastAsia"/>
                      <w:szCs w:val="21"/>
                    </w:rPr>
                    <w:t>不涉及生物多样性维护生态保护红线区。</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水土保持生态保护</w:t>
                  </w:r>
                </w:p>
                <w:p>
                  <w:pPr>
                    <w:pStyle w:val="34"/>
                    <w:rPr>
                      <w:bCs/>
                      <w:szCs w:val="21"/>
                    </w:rPr>
                  </w:pPr>
                  <w:r>
                    <w:rPr>
                      <w:rFonts w:hint="eastAsia"/>
                      <w:bCs/>
                      <w:szCs w:val="21"/>
                    </w:rPr>
                    <w:t>红线区</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rFonts w:hint="eastAsia"/>
                      <w:szCs w:val="21"/>
                    </w:rPr>
                    <w:t>1.严格资源开发和建设项目的生态监管，重点突出重要水源地、重要江河源头区、水蚀风蚀交错区水土流失预防，控制新的人为水土流失。</w:t>
                  </w:r>
                </w:p>
                <w:p>
                  <w:pPr>
                    <w:pStyle w:val="34"/>
                    <w:jc w:val="both"/>
                    <w:rPr>
                      <w:szCs w:val="21"/>
                    </w:rPr>
                  </w:pPr>
                  <w:r>
                    <w:rPr>
                      <w:rFonts w:hint="eastAsia"/>
                      <w:szCs w:val="21"/>
                    </w:rPr>
                    <w:t>2.在水土流失地区，开展以小流域为单元的山水田林路综合治理，加强坡耕地、侵蚀沟及崩岗的综合整治。</w:t>
                  </w:r>
                </w:p>
              </w:tc>
              <w:tc>
                <w:tcPr>
                  <w:tcW w:w="2544" w:type="dxa"/>
                  <w:vAlign w:val="center"/>
                </w:tcPr>
                <w:p>
                  <w:pPr>
                    <w:pStyle w:val="34"/>
                    <w:rPr>
                      <w:szCs w:val="21"/>
                    </w:rPr>
                  </w:pPr>
                  <w:r>
                    <w:rPr>
                      <w:szCs w:val="21"/>
                    </w:rPr>
                    <w:t>本项目不涉及水土保持生态保护红线区</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水土流失生态保护</w:t>
                  </w:r>
                </w:p>
                <w:p>
                  <w:pPr>
                    <w:pStyle w:val="34"/>
                    <w:rPr>
                      <w:bCs/>
                      <w:szCs w:val="21"/>
                    </w:rPr>
                  </w:pPr>
                  <w:r>
                    <w:rPr>
                      <w:rFonts w:hint="eastAsia"/>
                      <w:bCs/>
                      <w:szCs w:val="21"/>
                    </w:rPr>
                    <w:t>红线区</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rFonts w:hint="eastAsia"/>
                      <w:szCs w:val="21"/>
                    </w:rPr>
                    <w:t>1.禁止在崩塌、滑坡危险区和泥石流易发区从事取土、挖砂、采石等可能造成水土流失的活动。</w:t>
                  </w:r>
                </w:p>
                <w:p>
                  <w:pPr>
                    <w:pStyle w:val="34"/>
                    <w:jc w:val="both"/>
                    <w:rPr>
                      <w:szCs w:val="21"/>
                    </w:rPr>
                  </w:pPr>
                  <w:r>
                    <w:rPr>
                      <w:rFonts w:hint="eastAsia"/>
                      <w:szCs w:val="21"/>
                    </w:rPr>
                    <w:t>2.水土流失严重、生态脆弱的地区，应当限制或者禁止可能造成水土流失的生产建设活动，严格保护植物、沙壳、结皮、地衣等。</w:t>
                  </w:r>
                </w:p>
                <w:p>
                  <w:pPr>
                    <w:pStyle w:val="34"/>
                    <w:jc w:val="both"/>
                    <w:rPr>
                      <w:szCs w:val="21"/>
                    </w:rPr>
                  </w:pPr>
                  <w:r>
                    <w:rPr>
                      <w:rFonts w:hint="eastAsia"/>
                      <w:szCs w:val="21"/>
                    </w:rPr>
                    <w:t>3.禁止毁林、毁草开垦。</w:t>
                  </w:r>
                </w:p>
              </w:tc>
              <w:tc>
                <w:tcPr>
                  <w:tcW w:w="2544" w:type="dxa"/>
                  <w:vAlign w:val="center"/>
                </w:tcPr>
                <w:p>
                  <w:pPr>
                    <w:pStyle w:val="34"/>
                    <w:rPr>
                      <w:szCs w:val="21"/>
                    </w:rPr>
                  </w:pPr>
                  <w:r>
                    <w:rPr>
                      <w:szCs w:val="21"/>
                    </w:rPr>
                    <w:t>本项目不涉及水土流失生态保护红线区</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restart"/>
                  <w:vAlign w:val="center"/>
                </w:tcPr>
                <w:p>
                  <w:pPr>
                    <w:pStyle w:val="34"/>
                    <w:rPr>
                      <w:szCs w:val="21"/>
                      <w:lang w:val="zh-CN"/>
                    </w:rPr>
                  </w:pPr>
                  <w:r>
                    <w:rPr>
                      <w:rFonts w:hint="eastAsia"/>
                      <w:szCs w:val="21"/>
                      <w:lang w:val="zh-CN"/>
                    </w:rPr>
                    <w:t>各类保护地</w:t>
                  </w:r>
                </w:p>
              </w:tc>
              <w:tc>
                <w:tcPr>
                  <w:tcW w:w="1127" w:type="dxa"/>
                  <w:vAlign w:val="center"/>
                </w:tcPr>
                <w:p>
                  <w:pPr>
                    <w:pStyle w:val="34"/>
                    <w:rPr>
                      <w:bCs/>
                      <w:szCs w:val="21"/>
                    </w:rPr>
                  </w:pPr>
                  <w:r>
                    <w:rPr>
                      <w:rFonts w:hint="eastAsia"/>
                      <w:bCs/>
                      <w:szCs w:val="21"/>
                    </w:rPr>
                    <w:t>国家</w:t>
                  </w:r>
                </w:p>
                <w:p>
                  <w:pPr>
                    <w:pStyle w:val="34"/>
                    <w:rPr>
                      <w:bCs/>
                      <w:szCs w:val="21"/>
                    </w:rPr>
                  </w:pPr>
                  <w:r>
                    <w:rPr>
                      <w:rFonts w:hint="eastAsia"/>
                      <w:bCs/>
                      <w:szCs w:val="21"/>
                    </w:rPr>
                    <w:t>公园</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rFonts w:hint="eastAsia"/>
                      <w:szCs w:val="21"/>
                    </w:rPr>
                    <w:t>按照《大熊猫国家公园产业准入负面清单（试行）》《大熊猫国家公园管理办法（试行）》《大熊猫国家公园自然资源管理办法（试行）》等要求进行管理。</w:t>
                  </w:r>
                </w:p>
              </w:tc>
              <w:tc>
                <w:tcPr>
                  <w:tcW w:w="2544" w:type="dxa"/>
                  <w:vAlign w:val="center"/>
                </w:tcPr>
                <w:p>
                  <w:pPr>
                    <w:pStyle w:val="34"/>
                    <w:rPr>
                      <w:szCs w:val="21"/>
                    </w:rPr>
                  </w:pPr>
                  <w:r>
                    <w:rPr>
                      <w:szCs w:val="21"/>
                    </w:rPr>
                    <w:t>本项目不涉及国家公园</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自然保护区</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rFonts w:hint="eastAsia"/>
                      <w:szCs w:val="21"/>
                    </w:rPr>
                    <w:t>按照《中华人民共和国自然保护区条例（2017 年）》《陕西省实施〈中华人民共和国自然保护区条例〉办法（2001 年）》《关于做好自然保护区范围及功能分区优化调整前期有关工作的函》（自然资函[2020]71号）等要求进行管理。</w:t>
                  </w:r>
                </w:p>
              </w:tc>
              <w:tc>
                <w:tcPr>
                  <w:tcW w:w="2544" w:type="dxa"/>
                  <w:vAlign w:val="center"/>
                </w:tcPr>
                <w:p>
                  <w:pPr>
                    <w:pStyle w:val="34"/>
                    <w:rPr>
                      <w:szCs w:val="21"/>
                    </w:rPr>
                  </w:pPr>
                  <w:r>
                    <w:rPr>
                      <w:szCs w:val="21"/>
                    </w:rPr>
                    <w:t>本项目不涉及自然保护区</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风景名胜区</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szCs w:val="21"/>
                    </w:rPr>
                    <w:t>按照《风景名胜区条例》《陕西省风景名胜区管理条例》等要求进行管理。</w:t>
                  </w:r>
                </w:p>
              </w:tc>
              <w:tc>
                <w:tcPr>
                  <w:tcW w:w="2544" w:type="dxa"/>
                  <w:vAlign w:val="center"/>
                </w:tcPr>
                <w:p>
                  <w:pPr>
                    <w:pStyle w:val="34"/>
                    <w:rPr>
                      <w:szCs w:val="21"/>
                    </w:rPr>
                  </w:pPr>
                  <w:r>
                    <w:rPr>
                      <w:szCs w:val="21"/>
                    </w:rPr>
                    <w:t>本项目不涉及风景名胜区</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森林</w:t>
                  </w:r>
                </w:p>
                <w:p>
                  <w:pPr>
                    <w:pStyle w:val="34"/>
                    <w:rPr>
                      <w:bCs/>
                      <w:szCs w:val="21"/>
                    </w:rPr>
                  </w:pPr>
                  <w:r>
                    <w:rPr>
                      <w:rFonts w:hint="eastAsia"/>
                      <w:bCs/>
                      <w:szCs w:val="21"/>
                    </w:rPr>
                    <w:t>公园</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szCs w:val="21"/>
                    </w:rPr>
                    <w:t>按照《森林公园管理办法》《国家级森林公园管理办法》《陕西省主体功能区规划》《陕西省森林公园 条例》等要求进行管理。</w:t>
                  </w:r>
                </w:p>
              </w:tc>
              <w:tc>
                <w:tcPr>
                  <w:tcW w:w="2544" w:type="dxa"/>
                  <w:vAlign w:val="center"/>
                </w:tcPr>
                <w:p>
                  <w:pPr>
                    <w:pStyle w:val="34"/>
                    <w:rPr>
                      <w:szCs w:val="21"/>
                    </w:rPr>
                  </w:pPr>
                  <w:r>
                    <w:rPr>
                      <w:szCs w:val="21"/>
                    </w:rPr>
                    <w:t>本项目不涉及森林公园</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地质</w:t>
                  </w:r>
                </w:p>
                <w:p>
                  <w:pPr>
                    <w:pStyle w:val="34"/>
                    <w:rPr>
                      <w:bCs/>
                      <w:szCs w:val="21"/>
                    </w:rPr>
                  </w:pPr>
                  <w:r>
                    <w:rPr>
                      <w:rFonts w:hint="eastAsia"/>
                      <w:bCs/>
                      <w:szCs w:val="21"/>
                    </w:rPr>
                    <w:t>公园</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szCs w:val="21"/>
                    </w:rPr>
                    <w:t>按照《地质遗迹保护管理规定》《陕西省主体功能区规划》等要求进行管理。</w:t>
                  </w:r>
                </w:p>
              </w:tc>
              <w:tc>
                <w:tcPr>
                  <w:tcW w:w="2544" w:type="dxa"/>
                  <w:vAlign w:val="center"/>
                </w:tcPr>
                <w:p>
                  <w:pPr>
                    <w:pStyle w:val="34"/>
                    <w:rPr>
                      <w:szCs w:val="21"/>
                    </w:rPr>
                  </w:pPr>
                  <w:r>
                    <w:rPr>
                      <w:szCs w:val="21"/>
                    </w:rPr>
                    <w:t>本项目不涉及地质公园</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饮用</w:t>
                  </w:r>
                </w:p>
                <w:p>
                  <w:pPr>
                    <w:pStyle w:val="34"/>
                    <w:rPr>
                      <w:bCs/>
                      <w:szCs w:val="21"/>
                    </w:rPr>
                  </w:pPr>
                  <w:r>
                    <w:rPr>
                      <w:rFonts w:hint="eastAsia"/>
                      <w:bCs/>
                      <w:szCs w:val="21"/>
                    </w:rPr>
                    <w:t>水源</w:t>
                  </w:r>
                </w:p>
                <w:p>
                  <w:pPr>
                    <w:pStyle w:val="34"/>
                    <w:rPr>
                      <w:bCs/>
                      <w:szCs w:val="21"/>
                    </w:rPr>
                  </w:pPr>
                  <w:r>
                    <w:rPr>
                      <w:rFonts w:hint="eastAsia"/>
                      <w:bCs/>
                      <w:szCs w:val="21"/>
                    </w:rPr>
                    <w:t>保护区</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szCs w:val="21"/>
                    </w:rPr>
                    <w:t>按照《中华人民共和国水污染防治法》《陕西省饮用水水源保护条例》《陕西省主体功能区规划》以 及重要水源地规划等要求进行管理。</w:t>
                  </w:r>
                </w:p>
              </w:tc>
              <w:tc>
                <w:tcPr>
                  <w:tcW w:w="2544" w:type="dxa"/>
                  <w:vAlign w:val="center"/>
                </w:tcPr>
                <w:p>
                  <w:pPr>
                    <w:pStyle w:val="34"/>
                    <w:rPr>
                      <w:szCs w:val="21"/>
                    </w:rPr>
                  </w:pPr>
                  <w:r>
                    <w:rPr>
                      <w:szCs w:val="21"/>
                    </w:rPr>
                    <w:t>本项目不涉及饮用水源保护区</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湿地</w:t>
                  </w:r>
                </w:p>
                <w:p>
                  <w:pPr>
                    <w:pStyle w:val="34"/>
                    <w:rPr>
                      <w:bCs/>
                      <w:szCs w:val="21"/>
                    </w:rPr>
                  </w:pPr>
                  <w:r>
                    <w:rPr>
                      <w:rFonts w:hint="eastAsia"/>
                      <w:bCs/>
                      <w:szCs w:val="21"/>
                    </w:rPr>
                    <w:t>公园</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szCs w:val="21"/>
                    </w:rPr>
                    <w:t>按照《国家湿地公园管理办法》《陕西省湿地保护条例》《陕西省省级湿地公园管理办法》等要求进行管 理。</w:t>
                  </w:r>
                </w:p>
              </w:tc>
              <w:tc>
                <w:tcPr>
                  <w:tcW w:w="2544" w:type="dxa"/>
                  <w:vAlign w:val="center"/>
                </w:tcPr>
                <w:p>
                  <w:pPr>
                    <w:pStyle w:val="34"/>
                    <w:rPr>
                      <w:szCs w:val="21"/>
                    </w:rPr>
                  </w:pPr>
                  <w:r>
                    <w:rPr>
                      <w:szCs w:val="21"/>
                    </w:rPr>
                    <w:t>本项目不涉及湿地公园</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水产种质资源保护区</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szCs w:val="21"/>
                    </w:rPr>
                    <w:t>按照《水产种质资源保护区管理暂行办法》《陕西省主体功能区规划》等相关要求进行管理。</w:t>
                  </w:r>
                </w:p>
              </w:tc>
              <w:tc>
                <w:tcPr>
                  <w:tcW w:w="2544" w:type="dxa"/>
                  <w:vAlign w:val="center"/>
                </w:tcPr>
                <w:p>
                  <w:pPr>
                    <w:pStyle w:val="34"/>
                    <w:rPr>
                      <w:szCs w:val="21"/>
                    </w:rPr>
                  </w:pPr>
                  <w:r>
                    <w:rPr>
                      <w:szCs w:val="21"/>
                    </w:rPr>
                    <w:t>本项目不涉及水产种质资源保护区</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国家公益林</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szCs w:val="21"/>
                    </w:rPr>
                    <w:t>按照《国家级公益林管理办法》等相关要求进行管理。</w:t>
                  </w:r>
                </w:p>
              </w:tc>
              <w:tc>
                <w:tcPr>
                  <w:tcW w:w="2544" w:type="dxa"/>
                  <w:vAlign w:val="center"/>
                </w:tcPr>
                <w:p>
                  <w:pPr>
                    <w:pStyle w:val="34"/>
                    <w:rPr>
                      <w:szCs w:val="21"/>
                    </w:rPr>
                  </w:pPr>
                  <w:r>
                    <w:rPr>
                      <w:szCs w:val="21"/>
                    </w:rPr>
                    <w:t>本项目不涉及国家公益林</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秦岭</w:t>
                  </w:r>
                </w:p>
                <w:p>
                  <w:pPr>
                    <w:pStyle w:val="34"/>
                    <w:rPr>
                      <w:bCs/>
                      <w:szCs w:val="21"/>
                    </w:rPr>
                  </w:pPr>
                  <w:r>
                    <w:rPr>
                      <w:rFonts w:hint="eastAsia"/>
                      <w:bCs/>
                      <w:szCs w:val="21"/>
                    </w:rPr>
                    <w:t>核心</w:t>
                  </w:r>
                </w:p>
                <w:p>
                  <w:pPr>
                    <w:pStyle w:val="34"/>
                    <w:rPr>
                      <w:bCs/>
                      <w:szCs w:val="21"/>
                    </w:rPr>
                  </w:pPr>
                  <w:r>
                    <w:rPr>
                      <w:rFonts w:hint="eastAsia"/>
                      <w:bCs/>
                      <w:szCs w:val="21"/>
                    </w:rPr>
                    <w:t>保护区</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szCs w:val="21"/>
                    </w:rPr>
                    <w:t>在行政区域内的秦岭核心保护区的禁止性和限制性准入要求执行《陕西省秦岭生态环境保护条例》《陕 西省秦岭生态环境保护总体规划》《安康市秦岭生态环境保护规划》。</w:t>
                  </w:r>
                </w:p>
              </w:tc>
              <w:tc>
                <w:tcPr>
                  <w:tcW w:w="2544" w:type="dxa"/>
                  <w:vAlign w:val="center"/>
                </w:tcPr>
                <w:p>
                  <w:pPr>
                    <w:pStyle w:val="34"/>
                    <w:rPr>
                      <w:szCs w:val="21"/>
                    </w:rPr>
                  </w:pPr>
                  <w:r>
                    <w:rPr>
                      <w:szCs w:val="21"/>
                    </w:rPr>
                    <w:t>本项目不涉及秦岭核心保护区</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秦岭</w:t>
                  </w:r>
                </w:p>
                <w:p>
                  <w:pPr>
                    <w:pStyle w:val="34"/>
                    <w:rPr>
                      <w:bCs/>
                      <w:szCs w:val="21"/>
                    </w:rPr>
                  </w:pPr>
                  <w:r>
                    <w:rPr>
                      <w:rFonts w:hint="eastAsia"/>
                      <w:bCs/>
                      <w:szCs w:val="21"/>
                    </w:rPr>
                    <w:t>重点</w:t>
                  </w:r>
                </w:p>
                <w:p>
                  <w:pPr>
                    <w:pStyle w:val="34"/>
                    <w:rPr>
                      <w:bCs/>
                      <w:szCs w:val="21"/>
                    </w:rPr>
                  </w:pPr>
                  <w:r>
                    <w:rPr>
                      <w:rFonts w:hint="eastAsia"/>
                      <w:bCs/>
                      <w:szCs w:val="21"/>
                    </w:rPr>
                    <w:t>保护区</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szCs w:val="21"/>
                    </w:rPr>
                    <w:t>在行政区域内的重点保护区的禁止性和限制性准入要求执行《陕西省秦岭生态环境保护条例》《陕西省 秦岭生态环境保护总体规划》《陕西省秦岭重点保护区 一般保护区产业准入清单（试行）》《安康市 秦岭生态环境保护规划》。</w:t>
                  </w:r>
                </w:p>
              </w:tc>
              <w:tc>
                <w:tcPr>
                  <w:tcW w:w="2544" w:type="dxa"/>
                  <w:vAlign w:val="center"/>
                </w:tcPr>
                <w:p>
                  <w:pPr>
                    <w:pStyle w:val="34"/>
                    <w:rPr>
                      <w:szCs w:val="21"/>
                    </w:rPr>
                  </w:pPr>
                  <w:r>
                    <w:rPr>
                      <w:szCs w:val="21"/>
                    </w:rPr>
                    <w:t>本项目不涉及秦岭重点保护区</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Merge w:val="continue"/>
                  <w:vAlign w:val="center"/>
                </w:tcPr>
                <w:p>
                  <w:pPr>
                    <w:pStyle w:val="34"/>
                    <w:rPr>
                      <w:szCs w:val="21"/>
                      <w:lang w:val="zh-CN"/>
                    </w:rPr>
                  </w:pPr>
                </w:p>
              </w:tc>
              <w:tc>
                <w:tcPr>
                  <w:tcW w:w="1127" w:type="dxa"/>
                  <w:vAlign w:val="center"/>
                </w:tcPr>
                <w:p>
                  <w:pPr>
                    <w:pStyle w:val="34"/>
                    <w:rPr>
                      <w:bCs/>
                      <w:szCs w:val="21"/>
                    </w:rPr>
                  </w:pPr>
                  <w:r>
                    <w:rPr>
                      <w:rFonts w:hint="eastAsia"/>
                      <w:bCs/>
                      <w:szCs w:val="21"/>
                    </w:rPr>
                    <w:t>湿地</w:t>
                  </w:r>
                </w:p>
                <w:p>
                  <w:pPr>
                    <w:pStyle w:val="34"/>
                    <w:rPr>
                      <w:bCs/>
                      <w:szCs w:val="21"/>
                    </w:rPr>
                  </w:pPr>
                  <w:r>
                    <w:rPr>
                      <w:rFonts w:hint="eastAsia"/>
                      <w:bCs/>
                      <w:szCs w:val="21"/>
                    </w:rPr>
                    <w:t>资源</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szCs w:val="21"/>
                    </w:rPr>
                    <w:t>按照《陕西省湿地保护条例》等相关要求进行管理。</w:t>
                  </w:r>
                </w:p>
              </w:tc>
              <w:tc>
                <w:tcPr>
                  <w:tcW w:w="2544" w:type="dxa"/>
                  <w:vAlign w:val="center"/>
                </w:tcPr>
                <w:p>
                  <w:pPr>
                    <w:pStyle w:val="34"/>
                    <w:rPr>
                      <w:szCs w:val="21"/>
                    </w:rPr>
                  </w:pPr>
                  <w:r>
                    <w:rPr>
                      <w:szCs w:val="21"/>
                    </w:rPr>
                    <w:t>本项目不涉及湿地资源</w:t>
                  </w:r>
                  <w:r>
                    <w:rPr>
                      <w:rFonts w:hint="eastAsia"/>
                      <w:szCs w:val="21"/>
                    </w:rPr>
                    <w:t>。</w:t>
                  </w:r>
                </w:p>
              </w:tc>
              <w:tc>
                <w:tcPr>
                  <w:tcW w:w="815" w:type="dxa"/>
                  <w:vAlign w:val="center"/>
                </w:tcPr>
                <w:p>
                  <w:pPr>
                    <w:pStyle w:val="34"/>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 w:type="dxa"/>
                  <w:vAlign w:val="center"/>
                </w:tcPr>
                <w:p>
                  <w:pPr>
                    <w:pStyle w:val="34"/>
                    <w:rPr>
                      <w:szCs w:val="21"/>
                      <w:lang w:val="zh-CN"/>
                    </w:rPr>
                  </w:pPr>
                  <w:r>
                    <w:rPr>
                      <w:rFonts w:hint="eastAsia"/>
                      <w:szCs w:val="21"/>
                      <w:lang w:val="zh-CN"/>
                    </w:rPr>
                    <w:t>一般管控单元</w:t>
                  </w:r>
                </w:p>
              </w:tc>
              <w:tc>
                <w:tcPr>
                  <w:tcW w:w="1127" w:type="dxa"/>
                  <w:vAlign w:val="center"/>
                </w:tcPr>
                <w:p>
                  <w:pPr>
                    <w:pStyle w:val="34"/>
                    <w:rPr>
                      <w:bCs/>
                      <w:szCs w:val="21"/>
                    </w:rPr>
                  </w:pPr>
                  <w:r>
                    <w:rPr>
                      <w:bCs/>
                      <w:szCs w:val="21"/>
                    </w:rPr>
                    <w:t>总体</w:t>
                  </w:r>
                </w:p>
                <w:p>
                  <w:pPr>
                    <w:pStyle w:val="34"/>
                    <w:rPr>
                      <w:bCs/>
                      <w:szCs w:val="21"/>
                    </w:rPr>
                  </w:pPr>
                  <w:r>
                    <w:rPr>
                      <w:bCs/>
                      <w:szCs w:val="21"/>
                    </w:rPr>
                    <w:t>要求</w:t>
                  </w:r>
                </w:p>
              </w:tc>
              <w:tc>
                <w:tcPr>
                  <w:tcW w:w="1003" w:type="dxa"/>
                  <w:vAlign w:val="center"/>
                </w:tcPr>
                <w:p>
                  <w:pPr>
                    <w:pStyle w:val="34"/>
                    <w:rPr>
                      <w:szCs w:val="21"/>
                    </w:rPr>
                  </w:pPr>
                  <w:r>
                    <w:rPr>
                      <w:szCs w:val="21"/>
                    </w:rPr>
                    <w:t>空间布局约束</w:t>
                  </w:r>
                </w:p>
              </w:tc>
              <w:tc>
                <w:tcPr>
                  <w:tcW w:w="4687" w:type="dxa"/>
                  <w:vAlign w:val="center"/>
                </w:tcPr>
                <w:p>
                  <w:pPr>
                    <w:pStyle w:val="34"/>
                    <w:jc w:val="both"/>
                    <w:rPr>
                      <w:szCs w:val="21"/>
                    </w:rPr>
                  </w:pPr>
                  <w:r>
                    <w:rPr>
                      <w:rFonts w:hint="eastAsia"/>
                      <w:szCs w:val="21"/>
                    </w:rPr>
                    <w:t>执行安康市生态环境总体准入清单，并落实其他相关生态环境保护要求。</w:t>
                  </w:r>
                </w:p>
              </w:tc>
              <w:tc>
                <w:tcPr>
                  <w:tcW w:w="2544" w:type="dxa"/>
                  <w:vAlign w:val="center"/>
                </w:tcPr>
                <w:p>
                  <w:pPr>
                    <w:pStyle w:val="34"/>
                    <w:rPr>
                      <w:szCs w:val="21"/>
                    </w:rPr>
                  </w:pPr>
                  <w:r>
                    <w:rPr>
                      <w:szCs w:val="21"/>
                    </w:rPr>
                    <w:t>本项目为</w:t>
                  </w:r>
                  <w:r>
                    <w:rPr>
                      <w:rFonts w:hint="eastAsia"/>
                      <w:szCs w:val="21"/>
                    </w:rPr>
                    <w:t>废弃电器及机动车辆回收拆解</w:t>
                  </w:r>
                  <w:r>
                    <w:rPr>
                      <w:szCs w:val="21"/>
                    </w:rPr>
                    <w:t>项目</w:t>
                  </w:r>
                  <w:r>
                    <w:rPr>
                      <w:rFonts w:hint="eastAsia"/>
                      <w:szCs w:val="21"/>
                    </w:rPr>
                    <w:t>，</w:t>
                  </w:r>
                  <w:r>
                    <w:rPr>
                      <w:szCs w:val="21"/>
                    </w:rPr>
                    <w:t>不涉及生态红线</w:t>
                  </w:r>
                  <w:r>
                    <w:rPr>
                      <w:rFonts w:hint="eastAsia"/>
                      <w:szCs w:val="21"/>
                    </w:rPr>
                    <w:t>、</w:t>
                  </w:r>
                  <w:r>
                    <w:rPr>
                      <w:szCs w:val="21"/>
                    </w:rPr>
                    <w:t>资源开发</w:t>
                  </w:r>
                  <w:r>
                    <w:rPr>
                      <w:rFonts w:hint="eastAsia"/>
                      <w:szCs w:val="21"/>
                    </w:rPr>
                    <w:t>，</w:t>
                  </w:r>
                  <w:r>
                    <w:rPr>
                      <w:szCs w:val="21"/>
                    </w:rPr>
                    <w:t>不属于</w:t>
                  </w:r>
                  <w:r>
                    <w:rPr>
                      <w:rFonts w:hint="eastAsia"/>
                      <w:szCs w:val="21"/>
                    </w:rPr>
                    <w:t>“两高”类项目。</w:t>
                  </w:r>
                </w:p>
              </w:tc>
              <w:tc>
                <w:tcPr>
                  <w:tcW w:w="815" w:type="dxa"/>
                  <w:vAlign w:val="center"/>
                </w:tcPr>
                <w:p>
                  <w:pPr>
                    <w:pStyle w:val="34"/>
                    <w:rPr>
                      <w:szCs w:val="21"/>
                    </w:rPr>
                  </w:pPr>
                  <w:r>
                    <w:rPr>
                      <w:szCs w:val="21"/>
                    </w:rPr>
                    <w:t>符合</w:t>
                  </w:r>
                </w:p>
              </w:tc>
            </w:tr>
          </w:tbl>
          <w:p>
            <w:pPr>
              <w:autoSpaceDE w:val="0"/>
              <w:autoSpaceDN w:val="0"/>
              <w:ind w:firstLine="480"/>
              <w:rPr>
                <w:sz w:val="24"/>
                <w:szCs w:val="24"/>
              </w:rPr>
            </w:pPr>
            <w:r>
              <w:rPr>
                <w:rFonts w:hint="eastAsia"/>
                <w:sz w:val="24"/>
                <w:szCs w:val="24"/>
              </w:rPr>
              <w:t>3、与相关管理政策符合性分析</w:t>
            </w:r>
          </w:p>
          <w:p>
            <w:pPr>
              <w:pStyle w:val="34"/>
              <w:ind w:firstLine="482"/>
              <w:rPr>
                <w:b/>
                <w:sz w:val="24"/>
              </w:rPr>
            </w:pPr>
            <w:r>
              <w:rPr>
                <w:b/>
                <w:sz w:val="24"/>
              </w:rPr>
              <w:t xml:space="preserve">表1-3  </w:t>
            </w:r>
            <w:r>
              <w:rPr>
                <w:rFonts w:hint="eastAsia"/>
                <w:b/>
                <w:sz w:val="24"/>
              </w:rPr>
              <w:t>本项目与相关管理政策</w:t>
            </w:r>
            <w:r>
              <w:rPr>
                <w:b/>
                <w:sz w:val="24"/>
              </w:rPr>
              <w:t>符合性分析表</w:t>
            </w:r>
          </w:p>
          <w:tbl>
            <w:tblPr>
              <w:tblStyle w:val="22"/>
              <w:tblW w:w="11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4145"/>
              <w:gridCol w:w="3842"/>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shd w:val="pct10" w:color="auto" w:fill="auto"/>
                  <w:vAlign w:val="center"/>
                </w:tcPr>
                <w:p>
                  <w:pPr>
                    <w:pStyle w:val="48"/>
                    <w:snapToGrid w:val="0"/>
                    <w:jc w:val="center"/>
                    <w:rPr>
                      <w:rFonts w:ascii="Times New Roman" w:cs="Times New Roman"/>
                      <w:b/>
                      <w:bCs/>
                      <w:color w:val="auto"/>
                      <w:sz w:val="21"/>
                      <w:szCs w:val="21"/>
                    </w:rPr>
                  </w:pPr>
                  <w:r>
                    <w:rPr>
                      <w:rFonts w:ascii="Times New Roman" w:cs="Times New Roman"/>
                      <w:b/>
                      <w:bCs/>
                      <w:color w:val="auto"/>
                      <w:sz w:val="21"/>
                      <w:szCs w:val="21"/>
                    </w:rPr>
                    <w:t>文件名称</w:t>
                  </w:r>
                </w:p>
              </w:tc>
              <w:tc>
                <w:tcPr>
                  <w:tcW w:w="4145" w:type="dxa"/>
                  <w:shd w:val="pct10" w:color="auto" w:fill="auto"/>
                  <w:vAlign w:val="center"/>
                </w:tcPr>
                <w:p>
                  <w:pPr>
                    <w:pStyle w:val="48"/>
                    <w:snapToGrid w:val="0"/>
                    <w:jc w:val="center"/>
                    <w:rPr>
                      <w:rFonts w:ascii="Times New Roman" w:cs="Times New Roman"/>
                      <w:b/>
                      <w:bCs/>
                      <w:color w:val="auto"/>
                      <w:sz w:val="21"/>
                      <w:szCs w:val="21"/>
                    </w:rPr>
                  </w:pPr>
                  <w:r>
                    <w:rPr>
                      <w:rFonts w:ascii="Times New Roman" w:cs="Times New Roman"/>
                      <w:b/>
                      <w:bCs/>
                      <w:color w:val="auto"/>
                      <w:sz w:val="21"/>
                      <w:szCs w:val="21"/>
                    </w:rPr>
                    <w:t>文件要求</w:t>
                  </w:r>
                </w:p>
              </w:tc>
              <w:tc>
                <w:tcPr>
                  <w:tcW w:w="3842" w:type="dxa"/>
                  <w:shd w:val="pct10" w:color="auto" w:fill="auto"/>
                  <w:vAlign w:val="center"/>
                </w:tcPr>
                <w:p>
                  <w:pPr>
                    <w:pStyle w:val="48"/>
                    <w:snapToGrid w:val="0"/>
                    <w:jc w:val="center"/>
                    <w:rPr>
                      <w:rFonts w:ascii="Times New Roman" w:cs="Times New Roman"/>
                      <w:b/>
                      <w:bCs/>
                      <w:color w:val="auto"/>
                      <w:sz w:val="21"/>
                      <w:szCs w:val="21"/>
                    </w:rPr>
                  </w:pPr>
                  <w:r>
                    <w:rPr>
                      <w:rFonts w:ascii="Times New Roman" w:cs="Times New Roman"/>
                      <w:b/>
                      <w:bCs/>
                      <w:color w:val="auto"/>
                      <w:sz w:val="21"/>
                      <w:szCs w:val="21"/>
                    </w:rPr>
                    <w:t>项目情况</w:t>
                  </w:r>
                </w:p>
              </w:tc>
              <w:tc>
                <w:tcPr>
                  <w:tcW w:w="942" w:type="dxa"/>
                  <w:shd w:val="pct10" w:color="auto" w:fill="auto"/>
                  <w:vAlign w:val="center"/>
                </w:tcPr>
                <w:p>
                  <w:pPr>
                    <w:pStyle w:val="48"/>
                    <w:snapToGrid w:val="0"/>
                    <w:jc w:val="center"/>
                    <w:rPr>
                      <w:rFonts w:ascii="Times New Roman" w:cs="Times New Roman"/>
                      <w:b/>
                      <w:bCs/>
                      <w:color w:val="auto"/>
                      <w:sz w:val="21"/>
                      <w:szCs w:val="21"/>
                    </w:rPr>
                  </w:pPr>
                  <w:r>
                    <w:rPr>
                      <w:rFonts w:ascii="Times New Roman"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restart"/>
                  <w:vAlign w:val="center"/>
                </w:tcPr>
                <w:p>
                  <w:pPr>
                    <w:widowControl/>
                    <w:topLinePunct w:val="0"/>
                    <w:spacing w:line="240" w:lineRule="auto"/>
                    <w:ind w:firstLine="0" w:firstLineChars="0"/>
                    <w:jc w:val="center"/>
                    <w:rPr>
                      <w:bCs/>
                      <w:szCs w:val="21"/>
                    </w:rPr>
                  </w:pPr>
                  <w:r>
                    <w:rPr>
                      <w:bCs/>
                      <w:szCs w:val="21"/>
                    </w:rPr>
                    <w:t>《报废机动车回收拆解企业技术规范》（GB221</w:t>
                  </w:r>
                </w:p>
                <w:p>
                  <w:pPr>
                    <w:widowControl/>
                    <w:topLinePunct w:val="0"/>
                    <w:spacing w:line="240" w:lineRule="auto"/>
                    <w:ind w:firstLine="0" w:firstLineChars="0"/>
                    <w:jc w:val="center"/>
                    <w:rPr>
                      <w:kern w:val="2"/>
                      <w:szCs w:val="21"/>
                    </w:rPr>
                  </w:pPr>
                  <w:r>
                    <w:rPr>
                      <w:bCs/>
                      <w:szCs w:val="21"/>
                    </w:rPr>
                    <w:t>28-2019）</w:t>
                  </w:r>
                </w:p>
              </w:tc>
              <w:tc>
                <w:tcPr>
                  <w:tcW w:w="4145" w:type="dxa"/>
                  <w:vAlign w:val="center"/>
                </w:tcPr>
                <w:p>
                  <w:pPr>
                    <w:widowControl/>
                    <w:spacing w:line="240" w:lineRule="auto"/>
                    <w:ind w:firstLine="0" w:firstLineChars="0"/>
                    <w:jc w:val="center"/>
                    <w:rPr>
                      <w:szCs w:val="21"/>
                    </w:rPr>
                  </w:pPr>
                  <w:r>
                    <w:rPr>
                      <w:szCs w:val="21"/>
                    </w:rPr>
                    <w:t>单个企业最低拆解产能要求：Ⅰ档：最低3万辆/年；Ⅱ档：最低2万辆/年；Ⅲ档：最低1.5万辆/年；Ⅳ和Ⅴ档：最低1万辆/年；Ⅵ档：最低0.5万辆/年</w:t>
                  </w:r>
                </w:p>
              </w:tc>
              <w:tc>
                <w:tcPr>
                  <w:tcW w:w="3842" w:type="dxa"/>
                  <w:vAlign w:val="center"/>
                </w:tcPr>
                <w:p>
                  <w:pPr>
                    <w:widowControl/>
                    <w:topLinePunct w:val="0"/>
                    <w:spacing w:line="240" w:lineRule="auto"/>
                    <w:ind w:firstLine="0" w:firstLineChars="0"/>
                    <w:jc w:val="center"/>
                    <w:rPr>
                      <w:szCs w:val="21"/>
                    </w:rPr>
                  </w:pPr>
                  <w:r>
                    <w:rPr>
                      <w:szCs w:val="21"/>
                    </w:rPr>
                    <w:t>项目报废机动车主要来源为安康市及其周边地区，根据企业介绍，估算汽车保有量为60万辆，根据《规范》中表1，地区类型为Ⅳ档，项目技改后拆解量可达2.2万辆/年，满足最低拆解要求</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Ⅲ档～Ⅳ档地区经营面积不低于15000m</w:t>
                  </w:r>
                  <w:r>
                    <w:rPr>
                      <w:szCs w:val="21"/>
                      <w:vertAlign w:val="superscript"/>
                    </w:rPr>
                    <w:t>2</w:t>
                  </w:r>
                  <w:r>
                    <w:rPr>
                      <w:szCs w:val="21"/>
                    </w:rPr>
                    <w:t>，其中作业场地（包括存储和拆解场地）面积不低于经营面积的60%（即9000m</w:t>
                  </w:r>
                  <w:r>
                    <w:rPr>
                      <w:szCs w:val="21"/>
                      <w:vertAlign w:val="superscript"/>
                    </w:rPr>
                    <w:t>2</w:t>
                  </w:r>
                  <w:r>
                    <w:rPr>
                      <w:szCs w:val="21"/>
                    </w:rPr>
                    <w:t>）</w:t>
                  </w:r>
                </w:p>
              </w:tc>
              <w:tc>
                <w:tcPr>
                  <w:tcW w:w="3842" w:type="dxa"/>
                  <w:vAlign w:val="center"/>
                </w:tcPr>
                <w:p>
                  <w:pPr>
                    <w:widowControl/>
                    <w:topLinePunct w:val="0"/>
                    <w:spacing w:line="240" w:lineRule="auto"/>
                    <w:ind w:firstLine="0" w:firstLineChars="0"/>
                    <w:jc w:val="center"/>
                    <w:rPr>
                      <w:szCs w:val="21"/>
                    </w:rPr>
                  </w:pPr>
                  <w:r>
                    <w:rPr>
                      <w:szCs w:val="21"/>
                    </w:rPr>
                    <w:t>现有项目总经营面积为34632.94m</w:t>
                  </w:r>
                  <w:r>
                    <w:rPr>
                      <w:szCs w:val="21"/>
                      <w:vertAlign w:val="superscript"/>
                    </w:rPr>
                    <w:t>2</w:t>
                  </w:r>
                  <w:r>
                    <w:rPr>
                      <w:szCs w:val="21"/>
                    </w:rPr>
                    <w:t>，作业区面积约21000m</w:t>
                  </w:r>
                  <w:r>
                    <w:rPr>
                      <w:szCs w:val="21"/>
                      <w:vertAlign w:val="superscript"/>
                    </w:rPr>
                    <w:t>2</w:t>
                  </w:r>
                  <w:r>
                    <w:rPr>
                      <w:szCs w:val="21"/>
                    </w:rPr>
                    <w:t>，约占总面积的60.64%</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符合所在地城市总体规划或者国土空间规划，不得建在居民区、商业区、饮用水水源保护区及其他环境敏感区内</w:t>
                  </w:r>
                </w:p>
              </w:tc>
              <w:tc>
                <w:tcPr>
                  <w:tcW w:w="3842" w:type="dxa"/>
                  <w:vAlign w:val="center"/>
                </w:tcPr>
                <w:p>
                  <w:pPr>
                    <w:widowControl/>
                    <w:topLinePunct w:val="0"/>
                    <w:spacing w:line="240" w:lineRule="auto"/>
                    <w:ind w:firstLine="0" w:firstLineChars="0"/>
                    <w:jc w:val="center"/>
                    <w:rPr>
                      <w:szCs w:val="21"/>
                    </w:rPr>
                  </w:pPr>
                  <w:r>
                    <w:rPr>
                      <w:szCs w:val="21"/>
                    </w:rPr>
                    <w:t>本项目位于工业园区内，占地为工业用地，不得建在居民区、商业区、饮用水水源保护区及其他环境敏感区内</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拆解场地和储存场地（包括临时贮存）的地面应硬化并防渗漏</w:t>
                  </w:r>
                </w:p>
              </w:tc>
              <w:tc>
                <w:tcPr>
                  <w:tcW w:w="3842" w:type="dxa"/>
                  <w:vAlign w:val="center"/>
                </w:tcPr>
                <w:p>
                  <w:pPr>
                    <w:widowControl/>
                    <w:topLinePunct w:val="0"/>
                    <w:spacing w:line="240" w:lineRule="auto"/>
                    <w:ind w:firstLine="0" w:firstLineChars="0"/>
                    <w:jc w:val="center"/>
                    <w:rPr>
                      <w:szCs w:val="21"/>
                    </w:rPr>
                  </w:pPr>
                  <w:r>
                    <w:rPr>
                      <w:szCs w:val="21"/>
                    </w:rPr>
                    <w:t>本项目拆解场地和固体废物储存场地采用全面硬化，确保防渗系数≤10</w:t>
                  </w:r>
                  <w:r>
                    <w:rPr>
                      <w:szCs w:val="21"/>
                      <w:vertAlign w:val="superscript"/>
                    </w:rPr>
                    <w:t>-7</w:t>
                  </w:r>
                  <w:r>
                    <w:rPr>
                      <w:szCs w:val="21"/>
                    </w:rPr>
                    <w:t>cm/s</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具备电动汽车贮存场地、动力蓄电池贮存场地和动力蓄电池拆卸专用场地</w:t>
                  </w:r>
                </w:p>
              </w:tc>
              <w:tc>
                <w:tcPr>
                  <w:tcW w:w="3842" w:type="dxa"/>
                  <w:vAlign w:val="center"/>
                </w:tcPr>
                <w:p>
                  <w:pPr>
                    <w:widowControl/>
                    <w:topLinePunct w:val="0"/>
                    <w:spacing w:line="240" w:lineRule="auto"/>
                    <w:ind w:firstLine="0" w:firstLineChars="0"/>
                    <w:jc w:val="center"/>
                    <w:rPr>
                      <w:szCs w:val="21"/>
                    </w:rPr>
                  </w:pPr>
                  <w:r>
                    <w:rPr>
                      <w:szCs w:val="21"/>
                    </w:rPr>
                    <w:t>机动车拆解生产车间内划分电动汽车贮存、动力蓄电池贮存及拆卸专用场地</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满足HJ348要求的油水分离器等环保设备</w:t>
                  </w:r>
                </w:p>
              </w:tc>
              <w:tc>
                <w:tcPr>
                  <w:tcW w:w="3842" w:type="dxa"/>
                  <w:vAlign w:val="center"/>
                </w:tcPr>
                <w:p>
                  <w:pPr>
                    <w:widowControl/>
                    <w:topLinePunct w:val="0"/>
                    <w:spacing w:line="240" w:lineRule="auto"/>
                    <w:ind w:firstLine="0" w:firstLineChars="0"/>
                    <w:jc w:val="center"/>
                    <w:rPr>
                      <w:szCs w:val="21"/>
                    </w:rPr>
                  </w:pPr>
                  <w:r>
                    <w:rPr>
                      <w:rFonts w:hint="eastAsia"/>
                      <w:szCs w:val="21"/>
                    </w:rPr>
                    <w:t>本项目配备“隔油+絮凝沉淀”设施对含油废水进行处置。</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配有专用废液收集装置和分类存放各种废液的专用密闭容器</w:t>
                  </w:r>
                </w:p>
              </w:tc>
              <w:tc>
                <w:tcPr>
                  <w:tcW w:w="3842" w:type="dxa"/>
                  <w:vAlign w:val="center"/>
                </w:tcPr>
                <w:p>
                  <w:pPr>
                    <w:widowControl/>
                    <w:topLinePunct w:val="0"/>
                    <w:spacing w:line="240" w:lineRule="auto"/>
                    <w:ind w:firstLine="0" w:firstLineChars="0"/>
                    <w:jc w:val="center"/>
                    <w:rPr>
                      <w:szCs w:val="21"/>
                    </w:rPr>
                  </w:pPr>
                  <w:r>
                    <w:rPr>
                      <w:szCs w:val="21"/>
                    </w:rPr>
                    <w:t>本项目使用真空抽油机收集废油液，代替人工排油，并于专用密闭桶贮存</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报废机动车拆解过程应满足HJ348中所规定的清污分流、污水达标排放等环境保护和污染控制的相关要求</w:t>
                  </w:r>
                </w:p>
              </w:tc>
              <w:tc>
                <w:tcPr>
                  <w:tcW w:w="3842" w:type="dxa"/>
                  <w:vAlign w:val="center"/>
                </w:tcPr>
                <w:p>
                  <w:pPr>
                    <w:widowControl/>
                    <w:topLinePunct w:val="0"/>
                    <w:spacing w:line="240" w:lineRule="auto"/>
                    <w:ind w:firstLine="0" w:firstLineChars="0"/>
                    <w:jc w:val="center"/>
                    <w:rPr>
                      <w:szCs w:val="21"/>
                    </w:rPr>
                  </w:pPr>
                  <w:r>
                    <w:rPr>
                      <w:rFonts w:hint="eastAsia"/>
                      <w:szCs w:val="21"/>
                    </w:rPr>
                    <w:t>本项目配备“隔油+絮凝沉淀”设施对含油废水进行处置。</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应实施满足危险废物规范化管理要求的环境管理制度，其中对列入《国家危险废物名录》的危险废物应严格按照有关规定进行管理</w:t>
                  </w:r>
                </w:p>
              </w:tc>
              <w:tc>
                <w:tcPr>
                  <w:tcW w:w="3842" w:type="dxa"/>
                  <w:vAlign w:val="center"/>
                </w:tcPr>
                <w:p>
                  <w:pPr>
                    <w:widowControl/>
                    <w:topLinePunct w:val="0"/>
                    <w:spacing w:line="240" w:lineRule="auto"/>
                    <w:ind w:firstLine="0" w:firstLineChars="0"/>
                    <w:jc w:val="center"/>
                    <w:rPr>
                      <w:szCs w:val="21"/>
                    </w:rPr>
                  </w:pPr>
                  <w:r>
                    <w:rPr>
                      <w:szCs w:val="21"/>
                    </w:rPr>
                    <w:t>现有项目设有专人负责管理危险废物，并制定了详细的环境管理制度，严格按照危险废物转移联单进行管理处置</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应满足GB12348中所规定的2类声环境功能区工业企业厂界环境噪声排放限值要求</w:t>
                  </w:r>
                </w:p>
              </w:tc>
              <w:tc>
                <w:tcPr>
                  <w:tcW w:w="3842" w:type="dxa"/>
                  <w:vAlign w:val="center"/>
                </w:tcPr>
                <w:p>
                  <w:pPr>
                    <w:widowControl/>
                    <w:topLinePunct w:val="0"/>
                    <w:spacing w:line="240" w:lineRule="auto"/>
                    <w:ind w:firstLine="0" w:firstLineChars="0"/>
                    <w:jc w:val="center"/>
                    <w:rPr>
                      <w:szCs w:val="21"/>
                    </w:rPr>
                  </w:pPr>
                  <w:r>
                    <w:rPr>
                      <w:szCs w:val="21"/>
                    </w:rPr>
                    <w:t>经预测，本项目噪声可满足排放限值要求</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restart"/>
                  <w:vAlign w:val="center"/>
                </w:tcPr>
                <w:p>
                  <w:pPr>
                    <w:widowControl/>
                    <w:topLinePunct w:val="0"/>
                    <w:spacing w:line="240" w:lineRule="auto"/>
                    <w:ind w:firstLine="0" w:firstLineChars="0"/>
                    <w:jc w:val="center"/>
                    <w:rPr>
                      <w:kern w:val="2"/>
                      <w:szCs w:val="21"/>
                    </w:rPr>
                  </w:pPr>
                  <w:r>
                    <w:rPr>
                      <w:kern w:val="2"/>
                      <w:szCs w:val="21"/>
                    </w:rPr>
                    <w:t>《废弃电器电子产品回收处理管理条例》国务院第23次常务会议</w:t>
                  </w:r>
                </w:p>
              </w:tc>
              <w:tc>
                <w:tcPr>
                  <w:tcW w:w="4145" w:type="dxa"/>
                  <w:vAlign w:val="center"/>
                </w:tcPr>
                <w:p>
                  <w:pPr>
                    <w:widowControl/>
                    <w:spacing w:line="240" w:lineRule="auto"/>
                    <w:ind w:firstLine="0" w:firstLineChars="0"/>
                    <w:jc w:val="center"/>
                    <w:rPr>
                      <w:szCs w:val="21"/>
                    </w:rPr>
                  </w:pPr>
                  <w:r>
                    <w:rPr>
                      <w:szCs w:val="21"/>
                    </w:rPr>
                    <w:t>处理废弃电器电子产品，应当符合国家有关资源综合利用、环境保护、劳动安全和保障人体健康的要求。禁止采用国家明令淘汰的技术和工艺处理废弃电器电子产品。</w:t>
                  </w:r>
                </w:p>
              </w:tc>
              <w:tc>
                <w:tcPr>
                  <w:tcW w:w="3842" w:type="dxa"/>
                  <w:vAlign w:val="center"/>
                </w:tcPr>
                <w:p>
                  <w:pPr>
                    <w:widowControl/>
                    <w:topLinePunct w:val="0"/>
                    <w:spacing w:line="240" w:lineRule="auto"/>
                    <w:ind w:firstLine="0" w:firstLineChars="0"/>
                    <w:jc w:val="center"/>
                    <w:rPr>
                      <w:szCs w:val="21"/>
                    </w:rPr>
                  </w:pPr>
                  <w:r>
                    <w:rPr>
                      <w:szCs w:val="21"/>
                    </w:rPr>
                    <w:t>本项目采用成熟工艺进行电器拆解，不属于淘汰工艺。各类污染物经处置后达标排放。</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处理企业应当建立废弃电器电子产品处理的日常环境监测制度。</w:t>
                  </w:r>
                </w:p>
              </w:tc>
              <w:tc>
                <w:tcPr>
                  <w:tcW w:w="3842" w:type="dxa"/>
                  <w:vAlign w:val="center"/>
                </w:tcPr>
                <w:p>
                  <w:pPr>
                    <w:widowControl/>
                    <w:topLinePunct w:val="0"/>
                    <w:spacing w:line="240" w:lineRule="auto"/>
                    <w:ind w:firstLine="0" w:firstLineChars="0"/>
                    <w:jc w:val="center"/>
                    <w:rPr>
                      <w:szCs w:val="21"/>
                    </w:rPr>
                  </w:pPr>
                  <w:r>
                    <w:rPr>
                      <w:szCs w:val="21"/>
                    </w:rPr>
                    <w:t>按照相关规范要求，评价中已对环境监测提出相关要求并给出监测方案。</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处理企业应当建立废弃电器电子产品的数据信息管理系统，向所在地的设区的市级人民政府生态环境主管部门报送废弃电器电子产品处理的基本数据和有关情况。废弃电器电子产品处理的基本数据的保存期限不得少于3年。</w:t>
                  </w:r>
                </w:p>
              </w:tc>
              <w:tc>
                <w:tcPr>
                  <w:tcW w:w="3842" w:type="dxa"/>
                  <w:vAlign w:val="center"/>
                </w:tcPr>
                <w:p>
                  <w:pPr>
                    <w:widowControl/>
                    <w:topLinePunct w:val="0"/>
                    <w:spacing w:line="240" w:lineRule="auto"/>
                    <w:ind w:firstLine="0" w:firstLineChars="0"/>
                    <w:jc w:val="center"/>
                    <w:rPr>
                      <w:szCs w:val="21"/>
                    </w:rPr>
                  </w:pPr>
                  <w:r>
                    <w:rPr>
                      <w:szCs w:val="21"/>
                    </w:rPr>
                    <w:t>公司内部建设处置台账，各类原料进场后均进行等级，相关信息妥善保存并上报，保存期限不少于3年。</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回收、储存、运输、处理废弃电器电子产品的单位和个人，应当遵守国家有关环境保护和环境卫生管理的规定。</w:t>
                  </w:r>
                </w:p>
              </w:tc>
              <w:tc>
                <w:tcPr>
                  <w:tcW w:w="3842" w:type="dxa"/>
                  <w:vAlign w:val="center"/>
                </w:tcPr>
                <w:p>
                  <w:pPr>
                    <w:widowControl/>
                    <w:topLinePunct w:val="0"/>
                    <w:spacing w:line="240" w:lineRule="auto"/>
                    <w:ind w:firstLine="0" w:firstLineChars="0"/>
                    <w:jc w:val="center"/>
                    <w:rPr>
                      <w:szCs w:val="21"/>
                    </w:rPr>
                  </w:pPr>
                  <w:r>
                    <w:rPr>
                      <w:szCs w:val="21"/>
                    </w:rPr>
                    <w:t>本项目符合当地环保政策，各类污染物在采取相应环保措施后均可达标排放。</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restart"/>
                  <w:vAlign w:val="center"/>
                </w:tcPr>
                <w:p>
                  <w:pPr>
                    <w:widowControl/>
                    <w:topLinePunct w:val="0"/>
                    <w:spacing w:line="240" w:lineRule="auto"/>
                    <w:ind w:firstLine="0" w:firstLineChars="0"/>
                    <w:jc w:val="center"/>
                    <w:rPr>
                      <w:kern w:val="2"/>
                      <w:szCs w:val="21"/>
                    </w:rPr>
                  </w:pPr>
                  <w:r>
                    <w:rPr>
                      <w:kern w:val="2"/>
                      <w:szCs w:val="21"/>
                    </w:rPr>
                    <w:t>《安康市“十四五”生态环境保护规划》安政办[2021]33号</w:t>
                  </w:r>
                </w:p>
              </w:tc>
              <w:tc>
                <w:tcPr>
                  <w:tcW w:w="4145" w:type="dxa"/>
                  <w:vAlign w:val="center"/>
                </w:tcPr>
                <w:p>
                  <w:pPr>
                    <w:widowControl/>
                    <w:spacing w:line="240" w:lineRule="auto"/>
                    <w:ind w:firstLine="0" w:firstLineChars="0"/>
                    <w:jc w:val="center"/>
                    <w:rPr>
                      <w:szCs w:val="21"/>
                    </w:rPr>
                  </w:pPr>
                  <w:r>
                    <w:rPr>
                      <w:szCs w:val="21"/>
                    </w:rPr>
                    <w:t>持续性开展无组织排放排查整治工作，加强含挥发性有机物物料全方位、全链条、全环节密闭管理。</w:t>
                  </w:r>
                </w:p>
              </w:tc>
              <w:tc>
                <w:tcPr>
                  <w:tcW w:w="3842" w:type="dxa"/>
                  <w:vMerge w:val="restart"/>
                  <w:vAlign w:val="center"/>
                </w:tcPr>
                <w:p>
                  <w:pPr>
                    <w:widowControl/>
                    <w:topLinePunct w:val="0"/>
                    <w:spacing w:line="240" w:lineRule="auto"/>
                    <w:ind w:firstLine="0" w:firstLineChars="0"/>
                    <w:jc w:val="center"/>
                    <w:rPr>
                      <w:szCs w:val="21"/>
                    </w:rPr>
                  </w:pPr>
                  <w:r>
                    <w:rPr>
                      <w:szCs w:val="21"/>
                    </w:rPr>
                    <w:t>本项目运营期会产生少量非甲烷总烃，采取紫外光氧+活性炭吸附的方式对其进行处置，配备专人对环保设施进行管理并进行定期巡检，确保污染物达标排放。</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widowControl/>
                    <w:spacing w:line="240" w:lineRule="auto"/>
                    <w:ind w:firstLine="0" w:firstLineChars="0"/>
                    <w:jc w:val="center"/>
                    <w:rPr>
                      <w:szCs w:val="21"/>
                    </w:rPr>
                  </w:pPr>
                  <w:r>
                    <w:rPr>
                      <w:szCs w:val="21"/>
                    </w:rPr>
                    <w:t>企业新建治污设施或对现有治污设施实施改造，应合理选择治理技术和治污设施，深入实施精细化管控，提高挥发性有机物治理的精准性、针对性和有效性。</w:t>
                  </w:r>
                </w:p>
              </w:tc>
              <w:tc>
                <w:tcPr>
                  <w:tcW w:w="3842" w:type="dxa"/>
                  <w:vMerge w:val="continue"/>
                  <w:vAlign w:val="center"/>
                </w:tcPr>
                <w:p>
                  <w:pPr>
                    <w:widowControl/>
                    <w:topLinePunct w:val="0"/>
                    <w:spacing w:line="240" w:lineRule="auto"/>
                    <w:ind w:firstLine="0" w:firstLineChars="0"/>
                    <w:jc w:val="center"/>
                    <w:rPr>
                      <w:szCs w:val="21"/>
                    </w:rPr>
                  </w:pP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restart"/>
                  <w:vAlign w:val="center"/>
                </w:tcPr>
                <w:p>
                  <w:pPr>
                    <w:widowControl/>
                    <w:topLinePunct w:val="0"/>
                    <w:spacing w:line="240" w:lineRule="auto"/>
                    <w:ind w:firstLine="0" w:firstLineChars="0"/>
                    <w:jc w:val="center"/>
                    <w:rPr>
                      <w:kern w:val="2"/>
                      <w:szCs w:val="21"/>
                    </w:rPr>
                  </w:pPr>
                  <w:r>
                    <w:rPr>
                      <w:kern w:val="2"/>
                      <w:szCs w:val="21"/>
                    </w:rPr>
                    <w:t>《关于加快解决当前挥发性有机物治理突出问题的通知》（环大气[2021]65号）</w:t>
                  </w:r>
                </w:p>
              </w:tc>
              <w:tc>
                <w:tcPr>
                  <w:tcW w:w="4145" w:type="dxa"/>
                  <w:vAlign w:val="center"/>
                </w:tcPr>
                <w:p>
                  <w:pPr>
                    <w:pStyle w:val="34"/>
                    <w:rPr>
                      <w:szCs w:val="21"/>
                    </w:rPr>
                  </w:pPr>
                  <w:r>
                    <w:rPr>
                      <w:szCs w:val="21"/>
                    </w:rPr>
                    <w:t>产生 VOCs 的生产环节优先采用密闭设备、在密闭空间中操作或采用全密闭集气罩收集方式，并保持负压运行。废气收集系统的输送管道应密闭、无破损。</w:t>
                  </w:r>
                </w:p>
              </w:tc>
              <w:tc>
                <w:tcPr>
                  <w:tcW w:w="3842" w:type="dxa"/>
                  <w:vMerge w:val="restart"/>
                  <w:vAlign w:val="center"/>
                </w:tcPr>
                <w:p>
                  <w:pPr>
                    <w:widowControl/>
                    <w:topLinePunct w:val="0"/>
                    <w:spacing w:line="240" w:lineRule="auto"/>
                    <w:ind w:firstLine="0" w:firstLineChars="0"/>
                    <w:jc w:val="center"/>
                    <w:rPr>
                      <w:szCs w:val="21"/>
                    </w:rPr>
                  </w:pPr>
                  <w:r>
                    <w:rPr>
                      <w:szCs w:val="21"/>
                    </w:rPr>
                    <w:t>本项目运营期会产生少量非甲烷总烃，采取紫外光氧+活性炭吸附的方式对其进行处置，配备专人对活性炭吸附装置进行管理并进行定期巡检，确保污染物达标排放。</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pStyle w:val="34"/>
                    <w:rPr>
                      <w:szCs w:val="21"/>
                    </w:rPr>
                  </w:pPr>
                  <w:r>
                    <w:rPr>
                      <w:szCs w:val="21"/>
                    </w:rPr>
                    <w:t>新建治理设施或对现有治理设施实施改造，应依据排放废气特征、VOCs组分及浓度、生产工况等，合理选择治理技术；对治理难度大、单一治理工艺难以稳定达标的，宜采用多种技术的组合工艺。</w:t>
                  </w:r>
                </w:p>
              </w:tc>
              <w:tc>
                <w:tcPr>
                  <w:tcW w:w="3842" w:type="dxa"/>
                  <w:vMerge w:val="continue"/>
                  <w:vAlign w:val="center"/>
                </w:tcPr>
                <w:p>
                  <w:pPr>
                    <w:widowControl/>
                    <w:topLinePunct w:val="0"/>
                    <w:spacing w:line="240" w:lineRule="auto"/>
                    <w:ind w:firstLine="0" w:firstLineChars="0"/>
                    <w:jc w:val="center"/>
                    <w:rPr>
                      <w:szCs w:val="21"/>
                    </w:rPr>
                  </w:pP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06" w:type="dxa"/>
                  <w:vMerge w:val="continue"/>
                  <w:vAlign w:val="center"/>
                </w:tcPr>
                <w:p>
                  <w:pPr>
                    <w:widowControl/>
                    <w:topLinePunct w:val="0"/>
                    <w:spacing w:line="240" w:lineRule="auto"/>
                    <w:ind w:firstLine="0" w:firstLineChars="0"/>
                    <w:jc w:val="center"/>
                    <w:rPr>
                      <w:kern w:val="2"/>
                      <w:szCs w:val="21"/>
                    </w:rPr>
                  </w:pPr>
                </w:p>
              </w:tc>
              <w:tc>
                <w:tcPr>
                  <w:tcW w:w="4145" w:type="dxa"/>
                  <w:vAlign w:val="center"/>
                </w:tcPr>
                <w:p>
                  <w:pPr>
                    <w:pStyle w:val="34"/>
                    <w:rPr>
                      <w:szCs w:val="21"/>
                    </w:rPr>
                  </w:pPr>
                  <w:r>
                    <w:rPr>
                      <w:szCs w:val="21"/>
                    </w:rPr>
                    <w:t>及时清理、更换吸附剂、吸收剂、催化剂、蓄热体、过滤棉、灯管、电器元件等治理设施耗材，确保设施能够稳定高效运行；做好生产设备和治理设施启停机时间、检维修情况、治理设施耗材维护更换、处置情况等台账记录；对于 VOCs 治理设施产生的废过滤棉、废催化剂、废吸附剂、废吸收剂、废有机溶剂等，应及时清运，属于危险废物的应交有资质的单位处理处置。</w:t>
                  </w:r>
                </w:p>
              </w:tc>
              <w:tc>
                <w:tcPr>
                  <w:tcW w:w="3842" w:type="dxa"/>
                  <w:vAlign w:val="center"/>
                </w:tcPr>
                <w:p>
                  <w:pPr>
                    <w:widowControl/>
                    <w:topLinePunct w:val="0"/>
                    <w:spacing w:line="240" w:lineRule="auto"/>
                    <w:ind w:firstLine="0" w:firstLineChars="0"/>
                    <w:jc w:val="center"/>
                    <w:rPr>
                      <w:szCs w:val="21"/>
                    </w:rPr>
                  </w:pPr>
                  <w:r>
                    <w:rPr>
                      <w:szCs w:val="21"/>
                    </w:rPr>
                    <w:t>为保证环保设施治理效率，环评要求定期对活性炭吸附装置中的活性炭进行更换。废弃活性炭经收集后暂存于厂内危废间内，之后交由有资质单位处置。</w:t>
                  </w:r>
                </w:p>
              </w:tc>
              <w:tc>
                <w:tcPr>
                  <w:tcW w:w="942" w:type="dxa"/>
                  <w:vAlign w:val="center"/>
                </w:tcPr>
                <w:p>
                  <w:pPr>
                    <w:pStyle w:val="48"/>
                    <w:snapToGrid w:val="0"/>
                    <w:jc w:val="center"/>
                    <w:rPr>
                      <w:rFonts w:ascii="Times New Roman" w:cs="Times New Roman"/>
                      <w:color w:val="auto"/>
                      <w:sz w:val="21"/>
                      <w:szCs w:val="21"/>
                    </w:rPr>
                  </w:pPr>
                  <w:r>
                    <w:rPr>
                      <w:rFonts w:ascii="Times New Roman" w:cs="Times New Roman"/>
                      <w:color w:val="auto"/>
                      <w:sz w:val="21"/>
                      <w:szCs w:val="21"/>
                    </w:rPr>
                    <w:t>符合</w:t>
                  </w:r>
                </w:p>
              </w:tc>
            </w:tr>
          </w:tbl>
          <w:p>
            <w:pPr>
              <w:ind w:firstLine="480"/>
              <w:rPr>
                <w:sz w:val="24"/>
                <w:szCs w:val="24"/>
              </w:rPr>
            </w:pPr>
            <w:r>
              <w:rPr>
                <w:rFonts w:hint="eastAsia"/>
                <w:sz w:val="24"/>
                <w:szCs w:val="24"/>
              </w:rPr>
              <w:t>5、选址可行性分析</w:t>
            </w:r>
          </w:p>
          <w:p>
            <w:pPr>
              <w:ind w:firstLine="480"/>
              <w:outlineLvl w:val="0"/>
              <w:rPr>
                <w:rFonts w:eastAsia="黑体"/>
                <w:sz w:val="30"/>
              </w:rPr>
            </w:pPr>
            <w:r>
              <w:rPr>
                <w:rFonts w:hint="eastAsia"/>
                <w:kern w:val="16"/>
                <w:sz w:val="24"/>
                <w:szCs w:val="24"/>
              </w:rPr>
              <w:t>本项目位于</w:t>
            </w:r>
            <w:r>
              <w:rPr>
                <w:rFonts w:hint="eastAsia"/>
                <w:sz w:val="24"/>
              </w:rPr>
              <w:t>石泉县城关镇丝银坝村二组</w:t>
            </w:r>
            <w:r>
              <w:rPr>
                <w:rFonts w:hint="eastAsia"/>
                <w:kern w:val="16"/>
                <w:sz w:val="24"/>
                <w:szCs w:val="24"/>
              </w:rPr>
              <w:t>，占地</w:t>
            </w:r>
            <w:r>
              <w:rPr>
                <w:kern w:val="16"/>
                <w:sz w:val="24"/>
                <w:szCs w:val="24"/>
              </w:rPr>
              <w:t>34632.94</w:t>
            </w:r>
            <w:r>
              <w:rPr>
                <w:rFonts w:hint="eastAsia"/>
                <w:kern w:val="16"/>
                <w:sz w:val="24"/>
                <w:szCs w:val="24"/>
              </w:rPr>
              <w:t>m</w:t>
            </w:r>
            <w:r>
              <w:rPr>
                <w:kern w:val="16"/>
                <w:sz w:val="24"/>
                <w:szCs w:val="24"/>
                <w:vertAlign w:val="superscript"/>
              </w:rPr>
              <w:t>2</w:t>
            </w:r>
            <w:r>
              <w:rPr>
                <w:rFonts w:hint="eastAsia"/>
                <w:kern w:val="16"/>
                <w:sz w:val="24"/>
                <w:szCs w:val="24"/>
              </w:rPr>
              <w:t>，租赁石泉县万泉劳务有限责任公司已有厂房，区内交通便利，供水供电方便，项目原料来源可靠有保障。经现场调查，本项目周边无自然保护区、文物古迹区，项目选址可行。</w:t>
            </w:r>
          </w:p>
        </w:tc>
      </w:tr>
    </w:tbl>
    <w:p>
      <w:pPr>
        <w:ind w:firstLine="420"/>
        <w:sectPr>
          <w:pgSz w:w="16838" w:h="11906" w:orient="landscape"/>
          <w:pgMar w:top="1418" w:right="1418" w:bottom="1418" w:left="1418" w:header="851" w:footer="992" w:gutter="0"/>
          <w:pgNumType w:fmt="numberInDash"/>
          <w:cols w:space="425" w:num="1"/>
          <w:docGrid w:type="lines" w:linePitch="312" w:charSpace="0"/>
        </w:sectPr>
      </w:pPr>
    </w:p>
    <w:p>
      <w:pPr>
        <w:pStyle w:val="2"/>
      </w:pPr>
      <w:r>
        <w:t>二</w:t>
      </w:r>
      <w:r>
        <w:rPr>
          <w:rFonts w:hint="eastAsia"/>
        </w:rPr>
        <w:t>、</w:t>
      </w:r>
      <w:r>
        <w:t>建设项目工程分析</w:t>
      </w: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34"/>
              <w:rPr>
                <w:sz w:val="24"/>
              </w:rPr>
            </w:pPr>
            <w:r>
              <w:rPr>
                <w:sz w:val="24"/>
              </w:rPr>
              <w:t>建设</w:t>
            </w:r>
          </w:p>
          <w:p>
            <w:pPr>
              <w:pStyle w:val="34"/>
              <w:rPr>
                <w:sz w:val="24"/>
              </w:rPr>
            </w:pPr>
            <w:r>
              <w:rPr>
                <w:sz w:val="24"/>
              </w:rPr>
              <w:t>内容</w:t>
            </w:r>
          </w:p>
        </w:tc>
        <w:tc>
          <w:tcPr>
            <w:tcW w:w="8327" w:type="dxa"/>
          </w:tcPr>
          <w:p>
            <w:pPr>
              <w:ind w:firstLine="480"/>
              <w:rPr>
                <w:sz w:val="24"/>
                <w:szCs w:val="24"/>
              </w:rPr>
            </w:pPr>
            <w:r>
              <w:rPr>
                <w:rFonts w:hint="eastAsia"/>
                <w:sz w:val="24"/>
                <w:szCs w:val="24"/>
              </w:rPr>
              <w:t>1、项目由来</w:t>
            </w:r>
          </w:p>
          <w:p>
            <w:pPr>
              <w:ind w:firstLine="480"/>
              <w:rPr>
                <w:kern w:val="16"/>
                <w:sz w:val="24"/>
                <w:szCs w:val="24"/>
              </w:rPr>
            </w:pPr>
            <w:r>
              <w:rPr>
                <w:rFonts w:hint="eastAsia"/>
                <w:sz w:val="24"/>
                <w:szCs w:val="24"/>
              </w:rPr>
              <w:t>随着国家经济的发展，报废汽车和报废家电的数量与日俱增，国家对于报废汽车及报废家电也提出了更好的要求。随着碳中和政策出台可再生资源回收加工再利用将会是我县一项重要的减排措施。为有效利用当地可再生资源，安康爱博绿环保科技有限公司拟投资1</w:t>
            </w:r>
            <w:r>
              <w:rPr>
                <w:sz w:val="24"/>
                <w:szCs w:val="24"/>
              </w:rPr>
              <w:t>5000</w:t>
            </w:r>
            <w:r>
              <w:rPr>
                <w:rFonts w:hint="eastAsia"/>
                <w:sz w:val="24"/>
                <w:szCs w:val="24"/>
              </w:rPr>
              <w:t>万元建设</w:t>
            </w:r>
            <w:r>
              <w:rPr>
                <w:rFonts w:hint="eastAsia"/>
                <w:sz w:val="24"/>
              </w:rPr>
              <w:t>石泉县再生资源回收利用建设项目。</w:t>
            </w:r>
            <w:r>
              <w:rPr>
                <w:rFonts w:hint="eastAsia"/>
                <w:sz w:val="24"/>
                <w:szCs w:val="24"/>
              </w:rPr>
              <w:t>项目建成后，年处置废弃电器3</w:t>
            </w:r>
            <w:r>
              <w:rPr>
                <w:sz w:val="24"/>
                <w:szCs w:val="24"/>
              </w:rPr>
              <w:t>7000</w:t>
            </w:r>
            <w:r>
              <w:rPr>
                <w:rFonts w:hint="eastAsia"/>
                <w:sz w:val="24"/>
                <w:szCs w:val="24"/>
              </w:rPr>
              <w:t>台，年处置报废机动车2</w:t>
            </w:r>
            <w:r>
              <w:rPr>
                <w:sz w:val="24"/>
                <w:szCs w:val="24"/>
              </w:rPr>
              <w:t>2000</w:t>
            </w:r>
            <w:r>
              <w:rPr>
                <w:rFonts w:hint="eastAsia"/>
                <w:sz w:val="24"/>
                <w:szCs w:val="24"/>
              </w:rPr>
              <w:t>辆。</w:t>
            </w:r>
          </w:p>
          <w:p>
            <w:pPr>
              <w:ind w:firstLine="480"/>
              <w:rPr>
                <w:sz w:val="24"/>
                <w:szCs w:val="24"/>
              </w:rPr>
            </w:pPr>
            <w:r>
              <w:rPr>
                <w:rFonts w:hint="eastAsia"/>
                <w:sz w:val="24"/>
                <w:szCs w:val="24"/>
              </w:rPr>
              <w:t>根据《建设项目环境影响评价分类管理名录（2021年版）》，本项目属于“三十九、废弃资源综合利用业”中“</w:t>
            </w:r>
            <w:r>
              <w:rPr>
                <w:sz w:val="24"/>
                <w:szCs w:val="24"/>
              </w:rPr>
              <w:t>85</w:t>
            </w:r>
            <w:r>
              <w:rPr>
                <w:rFonts w:hint="eastAsia"/>
                <w:sz w:val="24"/>
                <w:szCs w:val="24"/>
              </w:rPr>
              <w:t>金属废料和碎屑加工处理 421；非金属废料和碎屑加工处理 422（421和422均不含原料为危险废物的，均不含仅分拣、破碎的）”，需进行环境影响评价。本项目不涉及废电池、废油的加工，为废弃电器电子产品、废机动车的加工处理，根据《建设项目环境影响评价分类管理名录（2021年版）》要求，应编制环境影响报告表。2022年6月17日，安康爱博绿环保科技有限公司正式委托我公司承担本项目的环境影响评价工作，编制《</w:t>
            </w:r>
            <w:r>
              <w:rPr>
                <w:rFonts w:hint="eastAsia"/>
                <w:sz w:val="24"/>
              </w:rPr>
              <w:t>石泉县再生资源回收利用建设项目</w:t>
            </w:r>
            <w:r>
              <w:rPr>
                <w:rFonts w:hint="eastAsia"/>
                <w:sz w:val="24"/>
                <w:szCs w:val="24"/>
              </w:rPr>
              <w:t>环境影响报告表》。</w:t>
            </w:r>
          </w:p>
          <w:p>
            <w:pPr>
              <w:ind w:firstLine="480"/>
              <w:rPr>
                <w:sz w:val="24"/>
                <w:szCs w:val="24"/>
              </w:rPr>
            </w:pPr>
            <w:r>
              <w:rPr>
                <w:rFonts w:hint="eastAsia"/>
                <w:sz w:val="24"/>
                <w:szCs w:val="24"/>
              </w:rPr>
              <w:t>2、项目概况</w:t>
            </w:r>
          </w:p>
          <w:p>
            <w:pPr>
              <w:ind w:firstLine="480"/>
              <w:rPr>
                <w:sz w:val="24"/>
                <w:szCs w:val="24"/>
              </w:rPr>
            </w:pPr>
            <w:r>
              <w:rPr>
                <w:rFonts w:hint="eastAsia"/>
                <w:sz w:val="24"/>
                <w:szCs w:val="24"/>
              </w:rPr>
              <w:t>项目名称：</w:t>
            </w:r>
            <w:r>
              <w:rPr>
                <w:rFonts w:hint="eastAsia"/>
                <w:sz w:val="24"/>
              </w:rPr>
              <w:t>石泉县再生资源回收利用建设项目</w:t>
            </w:r>
          </w:p>
          <w:p>
            <w:pPr>
              <w:ind w:firstLine="480"/>
              <w:rPr>
                <w:sz w:val="24"/>
                <w:szCs w:val="24"/>
              </w:rPr>
            </w:pPr>
            <w:r>
              <w:rPr>
                <w:rFonts w:hint="eastAsia"/>
                <w:sz w:val="24"/>
                <w:szCs w:val="24"/>
              </w:rPr>
              <w:t>建设单位：安康爱博绿环保科技有限公司</w:t>
            </w:r>
          </w:p>
          <w:p>
            <w:pPr>
              <w:ind w:firstLine="480"/>
              <w:rPr>
                <w:sz w:val="24"/>
                <w:szCs w:val="24"/>
              </w:rPr>
            </w:pPr>
            <w:r>
              <w:rPr>
                <w:rFonts w:hint="eastAsia"/>
                <w:sz w:val="24"/>
                <w:szCs w:val="24"/>
              </w:rPr>
              <w:t>建设地点：石泉县城关镇丝银坝村二组</w:t>
            </w:r>
          </w:p>
          <w:p>
            <w:pPr>
              <w:ind w:firstLine="480"/>
              <w:rPr>
                <w:sz w:val="24"/>
                <w:szCs w:val="24"/>
              </w:rPr>
            </w:pPr>
            <w:r>
              <w:rPr>
                <w:rFonts w:hint="eastAsia"/>
                <w:sz w:val="24"/>
                <w:szCs w:val="24"/>
              </w:rPr>
              <w:t>建设内容及规模：建设标准化厂房2栋约20000平米，建设3000平米的4层办公楼1栋，并配套建设基础设施。新建6条生产线：废机动车拆解生产线；废弃冰箱拆解生产线；废弃空调拆解生产线；废弃洗衣机拆解生产线；废电视和废电脑拆解生产线。</w:t>
            </w:r>
          </w:p>
          <w:p>
            <w:pPr>
              <w:ind w:firstLine="480"/>
              <w:rPr>
                <w:sz w:val="24"/>
                <w:szCs w:val="24"/>
              </w:rPr>
            </w:pPr>
            <w:r>
              <w:rPr>
                <w:rFonts w:hint="eastAsia"/>
                <w:sz w:val="24"/>
                <w:szCs w:val="24"/>
              </w:rPr>
              <w:t>总投资：15000万元，其中环保投资95.2万元，占总投资的0.63%。</w:t>
            </w:r>
          </w:p>
          <w:p>
            <w:pPr>
              <w:ind w:firstLine="480"/>
              <w:rPr>
                <w:sz w:val="24"/>
                <w:szCs w:val="24"/>
              </w:rPr>
            </w:pPr>
            <w:r>
              <w:rPr>
                <w:rFonts w:hint="eastAsia"/>
                <w:sz w:val="24"/>
                <w:szCs w:val="24"/>
              </w:rPr>
              <w:t>3、项目组成</w:t>
            </w:r>
          </w:p>
          <w:p>
            <w:pPr>
              <w:ind w:firstLine="480"/>
              <w:rPr>
                <w:sz w:val="24"/>
                <w:szCs w:val="24"/>
              </w:rPr>
            </w:pPr>
            <w:r>
              <w:rPr>
                <w:rFonts w:hint="eastAsia"/>
                <w:sz w:val="24"/>
                <w:szCs w:val="24"/>
              </w:rPr>
              <w:t>本项目建设内容详见表2-1。</w:t>
            </w:r>
          </w:p>
          <w:p>
            <w:pPr>
              <w:ind w:firstLine="480"/>
              <w:rPr>
                <w:sz w:val="24"/>
                <w:szCs w:val="24"/>
              </w:rPr>
            </w:pPr>
          </w:p>
          <w:p>
            <w:pPr>
              <w:ind w:firstLine="480"/>
              <w:rPr>
                <w:sz w:val="24"/>
                <w:szCs w:val="24"/>
              </w:rPr>
            </w:pPr>
          </w:p>
          <w:p>
            <w:pPr>
              <w:ind w:firstLine="480"/>
              <w:rPr>
                <w:sz w:val="24"/>
                <w:szCs w:val="24"/>
              </w:rPr>
            </w:pPr>
          </w:p>
          <w:p>
            <w:pPr>
              <w:pStyle w:val="34"/>
              <w:rPr>
                <w:b/>
                <w:sz w:val="24"/>
              </w:rPr>
            </w:pPr>
            <w:r>
              <w:rPr>
                <w:b/>
                <w:sz w:val="24"/>
              </w:rPr>
              <w:t>表2-1  项目组成表</w:t>
            </w:r>
          </w:p>
          <w:tbl>
            <w:tblPr>
              <w:tblStyle w:val="21"/>
              <w:tblW w:w="8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507"/>
              <w:gridCol w:w="1696"/>
              <w:gridCol w:w="5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shd w:val="pct10" w:color="auto" w:fill="auto"/>
                  <w:vAlign w:val="center"/>
                </w:tcPr>
                <w:p>
                  <w:pPr>
                    <w:pStyle w:val="34"/>
                    <w:rPr>
                      <w:b/>
                      <w:sz w:val="24"/>
                    </w:rPr>
                  </w:pPr>
                  <w:r>
                    <w:rPr>
                      <w:b/>
                      <w:sz w:val="24"/>
                    </w:rPr>
                    <w:t>类别</w:t>
                  </w:r>
                </w:p>
              </w:tc>
              <w:tc>
                <w:tcPr>
                  <w:tcW w:w="2203" w:type="dxa"/>
                  <w:gridSpan w:val="2"/>
                  <w:shd w:val="pct10" w:color="auto" w:fill="auto"/>
                  <w:vAlign w:val="center"/>
                </w:tcPr>
                <w:p>
                  <w:pPr>
                    <w:pStyle w:val="34"/>
                    <w:rPr>
                      <w:b/>
                      <w:sz w:val="24"/>
                    </w:rPr>
                  </w:pPr>
                  <w:r>
                    <w:rPr>
                      <w:b/>
                      <w:sz w:val="24"/>
                    </w:rPr>
                    <w:t>项目组成</w:t>
                  </w:r>
                </w:p>
              </w:tc>
              <w:tc>
                <w:tcPr>
                  <w:tcW w:w="5155" w:type="dxa"/>
                  <w:shd w:val="pct10" w:color="auto" w:fill="auto"/>
                  <w:vAlign w:val="center"/>
                </w:tcPr>
                <w:p>
                  <w:pPr>
                    <w:pStyle w:val="34"/>
                    <w:rPr>
                      <w:b/>
                      <w:sz w:val="24"/>
                    </w:rPr>
                  </w:pPr>
                  <w:r>
                    <w:rPr>
                      <w:b/>
                      <w:sz w:val="24"/>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restart"/>
                  <w:shd w:val="clear" w:color="auto" w:fill="auto"/>
                  <w:vAlign w:val="center"/>
                </w:tcPr>
                <w:p>
                  <w:pPr>
                    <w:pStyle w:val="34"/>
                    <w:rPr>
                      <w:sz w:val="24"/>
                    </w:rPr>
                  </w:pPr>
                  <w:r>
                    <w:rPr>
                      <w:rFonts w:hint="eastAsia"/>
                      <w:sz w:val="24"/>
                    </w:rPr>
                    <w:t>主体</w:t>
                  </w:r>
                </w:p>
                <w:p>
                  <w:pPr>
                    <w:pStyle w:val="34"/>
                    <w:rPr>
                      <w:sz w:val="24"/>
                    </w:rPr>
                  </w:pPr>
                  <w:r>
                    <w:rPr>
                      <w:rFonts w:hint="eastAsia"/>
                      <w:sz w:val="24"/>
                    </w:rPr>
                    <w:t>工程</w:t>
                  </w:r>
                </w:p>
              </w:tc>
              <w:tc>
                <w:tcPr>
                  <w:tcW w:w="2203" w:type="dxa"/>
                  <w:gridSpan w:val="2"/>
                  <w:shd w:val="clear" w:color="auto" w:fill="auto"/>
                  <w:vAlign w:val="center"/>
                </w:tcPr>
                <w:p>
                  <w:pPr>
                    <w:pStyle w:val="34"/>
                    <w:rPr>
                      <w:sz w:val="24"/>
                    </w:rPr>
                  </w:pPr>
                  <w:r>
                    <w:rPr>
                      <w:rFonts w:hint="eastAsia"/>
                      <w:sz w:val="24"/>
                    </w:rPr>
                    <w:t>废弃家电拆解</w:t>
                  </w:r>
                </w:p>
                <w:p>
                  <w:pPr>
                    <w:pStyle w:val="34"/>
                    <w:rPr>
                      <w:sz w:val="24"/>
                    </w:rPr>
                  </w:pPr>
                  <w:r>
                    <w:rPr>
                      <w:rFonts w:hint="eastAsia"/>
                      <w:sz w:val="24"/>
                    </w:rPr>
                    <w:t>加工车间</w:t>
                  </w:r>
                </w:p>
              </w:tc>
              <w:tc>
                <w:tcPr>
                  <w:tcW w:w="5155" w:type="dxa"/>
                  <w:shd w:val="clear" w:color="auto" w:fill="auto"/>
                  <w:vAlign w:val="center"/>
                </w:tcPr>
                <w:p>
                  <w:pPr>
                    <w:pStyle w:val="34"/>
                    <w:rPr>
                      <w:sz w:val="24"/>
                    </w:rPr>
                  </w:pPr>
                  <w:r>
                    <w:rPr>
                      <w:rFonts w:hint="eastAsia"/>
                      <w:sz w:val="24"/>
                    </w:rPr>
                    <w:t>占地面积约1</w:t>
                  </w:r>
                  <w:r>
                    <w:rPr>
                      <w:sz w:val="24"/>
                    </w:rPr>
                    <w:t>0000</w:t>
                  </w:r>
                  <w:r>
                    <w:rPr>
                      <w:rFonts w:hint="eastAsia"/>
                      <w:sz w:val="24"/>
                    </w:rPr>
                    <w:t>m</w:t>
                  </w:r>
                  <w:r>
                    <w:rPr>
                      <w:sz w:val="24"/>
                      <w:vertAlign w:val="superscript"/>
                    </w:rPr>
                    <w:t>2</w:t>
                  </w:r>
                  <w:r>
                    <w:rPr>
                      <w:rFonts w:hint="eastAsia"/>
                      <w:sz w:val="24"/>
                    </w:rPr>
                    <w:t>，车间内布设家电拆解工作台、拆解后机械加工生产线及成品储存区。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2203" w:type="dxa"/>
                  <w:gridSpan w:val="2"/>
                  <w:shd w:val="clear" w:color="auto" w:fill="auto"/>
                  <w:vAlign w:val="center"/>
                </w:tcPr>
                <w:p>
                  <w:pPr>
                    <w:pStyle w:val="34"/>
                    <w:rPr>
                      <w:sz w:val="24"/>
                    </w:rPr>
                  </w:pPr>
                  <w:r>
                    <w:rPr>
                      <w:rFonts w:hint="eastAsia"/>
                      <w:sz w:val="24"/>
                    </w:rPr>
                    <w:t>机动车拆解</w:t>
                  </w:r>
                </w:p>
                <w:p>
                  <w:pPr>
                    <w:pStyle w:val="34"/>
                    <w:rPr>
                      <w:sz w:val="24"/>
                    </w:rPr>
                  </w:pPr>
                  <w:r>
                    <w:rPr>
                      <w:rFonts w:hint="eastAsia"/>
                      <w:sz w:val="24"/>
                    </w:rPr>
                    <w:t>加工车间</w:t>
                  </w:r>
                </w:p>
              </w:tc>
              <w:tc>
                <w:tcPr>
                  <w:tcW w:w="5155" w:type="dxa"/>
                  <w:shd w:val="clear" w:color="auto" w:fill="auto"/>
                  <w:vAlign w:val="center"/>
                </w:tcPr>
                <w:p>
                  <w:pPr>
                    <w:pStyle w:val="34"/>
                    <w:rPr>
                      <w:sz w:val="24"/>
                    </w:rPr>
                  </w:pPr>
                  <w:r>
                    <w:rPr>
                      <w:rFonts w:hint="eastAsia"/>
                      <w:sz w:val="24"/>
                    </w:rPr>
                    <w:t>占地面积约1</w:t>
                  </w:r>
                  <w:r>
                    <w:rPr>
                      <w:sz w:val="24"/>
                    </w:rPr>
                    <w:t>0000</w:t>
                  </w:r>
                  <w:r>
                    <w:rPr>
                      <w:rFonts w:hint="eastAsia"/>
                      <w:sz w:val="24"/>
                    </w:rPr>
                    <w:t>m</w:t>
                  </w:r>
                  <w:r>
                    <w:rPr>
                      <w:sz w:val="24"/>
                      <w:vertAlign w:val="superscript"/>
                    </w:rPr>
                    <w:t>2</w:t>
                  </w:r>
                  <w:r>
                    <w:rPr>
                      <w:rFonts w:hint="eastAsia"/>
                      <w:sz w:val="24"/>
                    </w:rPr>
                    <w:t>，车间内布设未拆解车辆零部件储存区、拆解切割区、拆解后机械加工生产线及成品存储区。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restart"/>
                  <w:shd w:val="clear" w:color="auto" w:fill="auto"/>
                  <w:vAlign w:val="center"/>
                </w:tcPr>
                <w:p>
                  <w:pPr>
                    <w:pStyle w:val="34"/>
                    <w:rPr>
                      <w:sz w:val="24"/>
                    </w:rPr>
                  </w:pPr>
                  <w:r>
                    <w:rPr>
                      <w:sz w:val="24"/>
                    </w:rPr>
                    <w:t>辅助</w:t>
                  </w:r>
                </w:p>
                <w:p>
                  <w:pPr>
                    <w:pStyle w:val="34"/>
                    <w:rPr>
                      <w:sz w:val="24"/>
                    </w:rPr>
                  </w:pPr>
                  <w:r>
                    <w:rPr>
                      <w:sz w:val="24"/>
                    </w:rPr>
                    <w:t>工程</w:t>
                  </w:r>
                </w:p>
              </w:tc>
              <w:tc>
                <w:tcPr>
                  <w:tcW w:w="2203" w:type="dxa"/>
                  <w:gridSpan w:val="2"/>
                  <w:shd w:val="clear" w:color="auto" w:fill="auto"/>
                  <w:vAlign w:val="center"/>
                </w:tcPr>
                <w:p>
                  <w:pPr>
                    <w:pStyle w:val="34"/>
                    <w:rPr>
                      <w:sz w:val="24"/>
                    </w:rPr>
                  </w:pPr>
                  <w:r>
                    <w:rPr>
                      <w:sz w:val="24"/>
                    </w:rPr>
                    <w:t>办公</w:t>
                  </w:r>
                  <w:r>
                    <w:rPr>
                      <w:rFonts w:hint="eastAsia"/>
                      <w:sz w:val="24"/>
                    </w:rPr>
                    <w:t>楼</w:t>
                  </w:r>
                </w:p>
              </w:tc>
              <w:tc>
                <w:tcPr>
                  <w:tcW w:w="5155" w:type="dxa"/>
                  <w:shd w:val="clear" w:color="auto" w:fill="auto"/>
                  <w:vAlign w:val="center"/>
                </w:tcPr>
                <w:p>
                  <w:pPr>
                    <w:pStyle w:val="34"/>
                    <w:rPr>
                      <w:sz w:val="24"/>
                    </w:rPr>
                  </w:pPr>
                  <w:r>
                    <w:rPr>
                      <w:rFonts w:hint="eastAsia"/>
                      <w:sz w:val="24"/>
                    </w:rPr>
                    <w:t>位于加工区西侧，四层建筑，占地3</w:t>
                  </w:r>
                  <w:r>
                    <w:rPr>
                      <w:sz w:val="24"/>
                    </w:rPr>
                    <w:t>000</w:t>
                  </w:r>
                  <w:r>
                    <w:rPr>
                      <w:rFonts w:hint="eastAsia"/>
                      <w:sz w:val="24"/>
                    </w:rPr>
                    <w:t>m</w:t>
                  </w:r>
                  <w:r>
                    <w:rPr>
                      <w:sz w:val="24"/>
                      <w:vertAlign w:val="superscript"/>
                    </w:rPr>
                    <w:t>2</w:t>
                  </w:r>
                  <w:r>
                    <w:rPr>
                      <w:rFonts w:hint="eastAsia"/>
                      <w:sz w:val="24"/>
                    </w:rPr>
                    <w:t>。一层为布置有产品展厅、办公室、接待室，二层为会议室、办公室，三层及四层为员工休息区、食堂及餐厅。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2203" w:type="dxa"/>
                  <w:gridSpan w:val="2"/>
                  <w:shd w:val="clear" w:color="auto" w:fill="auto"/>
                  <w:vAlign w:val="center"/>
                </w:tcPr>
                <w:p>
                  <w:pPr>
                    <w:pStyle w:val="34"/>
                    <w:rPr>
                      <w:sz w:val="24"/>
                    </w:rPr>
                  </w:pPr>
                  <w:r>
                    <w:rPr>
                      <w:rFonts w:hint="eastAsia"/>
                      <w:sz w:val="24"/>
                    </w:rPr>
                    <w:t>未拆解暂存区</w:t>
                  </w:r>
                </w:p>
              </w:tc>
              <w:tc>
                <w:tcPr>
                  <w:tcW w:w="5155" w:type="dxa"/>
                  <w:shd w:val="clear" w:color="auto" w:fill="auto"/>
                  <w:vAlign w:val="center"/>
                </w:tcPr>
                <w:p>
                  <w:pPr>
                    <w:pStyle w:val="34"/>
                    <w:rPr>
                      <w:sz w:val="24"/>
                    </w:rPr>
                  </w:pPr>
                  <w:r>
                    <w:rPr>
                      <w:rFonts w:hint="eastAsia"/>
                      <w:sz w:val="24"/>
                    </w:rPr>
                    <w:t>位于加工区北侧，用于暂存未拆解的机动车及废弃家电。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restart"/>
                  <w:shd w:val="clear" w:color="auto" w:fill="auto"/>
                  <w:vAlign w:val="center"/>
                </w:tcPr>
                <w:p>
                  <w:pPr>
                    <w:pStyle w:val="34"/>
                    <w:rPr>
                      <w:sz w:val="24"/>
                    </w:rPr>
                  </w:pPr>
                  <w:r>
                    <w:rPr>
                      <w:sz w:val="24"/>
                    </w:rPr>
                    <w:t>公用</w:t>
                  </w:r>
                </w:p>
                <w:p>
                  <w:pPr>
                    <w:pStyle w:val="34"/>
                    <w:rPr>
                      <w:sz w:val="24"/>
                    </w:rPr>
                  </w:pPr>
                  <w:r>
                    <w:rPr>
                      <w:sz w:val="24"/>
                    </w:rPr>
                    <w:t>工程</w:t>
                  </w:r>
                </w:p>
              </w:tc>
              <w:tc>
                <w:tcPr>
                  <w:tcW w:w="2203" w:type="dxa"/>
                  <w:gridSpan w:val="2"/>
                  <w:shd w:val="clear" w:color="auto" w:fill="auto"/>
                  <w:vAlign w:val="center"/>
                </w:tcPr>
                <w:p>
                  <w:pPr>
                    <w:pStyle w:val="34"/>
                    <w:rPr>
                      <w:sz w:val="24"/>
                    </w:rPr>
                  </w:pPr>
                  <w:r>
                    <w:rPr>
                      <w:sz w:val="24"/>
                    </w:rPr>
                    <w:t>供水</w:t>
                  </w:r>
                </w:p>
              </w:tc>
              <w:tc>
                <w:tcPr>
                  <w:tcW w:w="5155" w:type="dxa"/>
                  <w:shd w:val="clear" w:color="auto" w:fill="auto"/>
                  <w:vAlign w:val="center"/>
                </w:tcPr>
                <w:p>
                  <w:pPr>
                    <w:pStyle w:val="34"/>
                    <w:rPr>
                      <w:sz w:val="24"/>
                    </w:rPr>
                  </w:pPr>
                  <w:r>
                    <w:rPr>
                      <w:sz w:val="24"/>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2203" w:type="dxa"/>
                  <w:gridSpan w:val="2"/>
                  <w:shd w:val="clear" w:color="auto" w:fill="auto"/>
                  <w:vAlign w:val="center"/>
                </w:tcPr>
                <w:p>
                  <w:pPr>
                    <w:pStyle w:val="34"/>
                    <w:rPr>
                      <w:sz w:val="24"/>
                    </w:rPr>
                  </w:pPr>
                  <w:r>
                    <w:rPr>
                      <w:sz w:val="24"/>
                    </w:rPr>
                    <w:t>排水</w:t>
                  </w:r>
                </w:p>
              </w:tc>
              <w:tc>
                <w:tcPr>
                  <w:tcW w:w="5155" w:type="dxa"/>
                  <w:shd w:val="clear" w:color="auto" w:fill="auto"/>
                  <w:vAlign w:val="center"/>
                </w:tcPr>
                <w:p>
                  <w:pPr>
                    <w:pStyle w:val="34"/>
                    <w:rPr>
                      <w:sz w:val="24"/>
                    </w:rPr>
                  </w:pPr>
                  <w:r>
                    <w:rPr>
                      <w:rFonts w:hint="eastAsia"/>
                      <w:sz w:val="24"/>
                    </w:rPr>
                    <w:t>车间冲洗废水采取“隔油+絮凝沉淀”的方式处置后回用于厂内绿化、道路洒水。生活污水经化粪池收集处置后经市政管网进入石泉县污水处理厂。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2203" w:type="dxa"/>
                  <w:gridSpan w:val="2"/>
                  <w:shd w:val="clear" w:color="auto" w:fill="auto"/>
                  <w:vAlign w:val="center"/>
                </w:tcPr>
                <w:p>
                  <w:pPr>
                    <w:pStyle w:val="34"/>
                    <w:rPr>
                      <w:sz w:val="24"/>
                    </w:rPr>
                  </w:pPr>
                  <w:r>
                    <w:rPr>
                      <w:sz w:val="24"/>
                    </w:rPr>
                    <w:t>供电</w:t>
                  </w:r>
                </w:p>
              </w:tc>
              <w:tc>
                <w:tcPr>
                  <w:tcW w:w="5155" w:type="dxa"/>
                  <w:shd w:val="clear" w:color="auto" w:fill="auto"/>
                  <w:vAlign w:val="center"/>
                </w:tcPr>
                <w:p>
                  <w:pPr>
                    <w:pStyle w:val="34"/>
                    <w:rPr>
                      <w:sz w:val="24"/>
                    </w:rPr>
                  </w:pPr>
                  <w:r>
                    <w:rPr>
                      <w:sz w:val="24"/>
                    </w:rPr>
                    <w:t>市政供电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2203" w:type="dxa"/>
                  <w:gridSpan w:val="2"/>
                  <w:shd w:val="clear" w:color="auto" w:fill="auto"/>
                  <w:vAlign w:val="center"/>
                </w:tcPr>
                <w:p>
                  <w:pPr>
                    <w:pStyle w:val="34"/>
                    <w:rPr>
                      <w:sz w:val="24"/>
                    </w:rPr>
                  </w:pPr>
                  <w:r>
                    <w:rPr>
                      <w:sz w:val="24"/>
                    </w:rPr>
                    <w:t>供热</w:t>
                  </w:r>
                </w:p>
              </w:tc>
              <w:tc>
                <w:tcPr>
                  <w:tcW w:w="5155" w:type="dxa"/>
                  <w:shd w:val="clear" w:color="auto" w:fill="auto"/>
                  <w:vAlign w:val="center"/>
                </w:tcPr>
                <w:p>
                  <w:pPr>
                    <w:pStyle w:val="34"/>
                    <w:rPr>
                      <w:sz w:val="24"/>
                    </w:rPr>
                  </w:pPr>
                  <w:r>
                    <w:rPr>
                      <w:rFonts w:hint="eastAsia"/>
                      <w:sz w:val="24"/>
                    </w:rPr>
                    <w:t>本项目生产过程中不设供热设施</w:t>
                  </w:r>
                  <w:r>
                    <w:rPr>
                      <w:sz w:val="24"/>
                    </w:rPr>
                    <w:t>。员工冬季采暖使用立式空调</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restart"/>
                  <w:shd w:val="clear" w:color="auto" w:fill="auto"/>
                  <w:vAlign w:val="center"/>
                </w:tcPr>
                <w:p>
                  <w:pPr>
                    <w:pStyle w:val="34"/>
                    <w:rPr>
                      <w:sz w:val="24"/>
                    </w:rPr>
                  </w:pPr>
                  <w:r>
                    <w:rPr>
                      <w:sz w:val="24"/>
                    </w:rPr>
                    <w:t>环保</w:t>
                  </w:r>
                </w:p>
                <w:p>
                  <w:pPr>
                    <w:pStyle w:val="34"/>
                    <w:rPr>
                      <w:sz w:val="24"/>
                    </w:rPr>
                  </w:pPr>
                  <w:r>
                    <w:rPr>
                      <w:sz w:val="24"/>
                    </w:rPr>
                    <w:t>工程</w:t>
                  </w:r>
                </w:p>
              </w:tc>
              <w:tc>
                <w:tcPr>
                  <w:tcW w:w="507" w:type="dxa"/>
                  <w:vMerge w:val="restart"/>
                  <w:shd w:val="clear" w:color="auto" w:fill="auto"/>
                  <w:vAlign w:val="center"/>
                </w:tcPr>
                <w:p>
                  <w:pPr>
                    <w:pStyle w:val="34"/>
                    <w:rPr>
                      <w:sz w:val="24"/>
                    </w:rPr>
                  </w:pPr>
                  <w:r>
                    <w:rPr>
                      <w:sz w:val="24"/>
                    </w:rPr>
                    <w:t>废气</w:t>
                  </w:r>
                </w:p>
              </w:tc>
              <w:tc>
                <w:tcPr>
                  <w:tcW w:w="1696" w:type="dxa"/>
                  <w:shd w:val="clear" w:color="auto" w:fill="auto"/>
                  <w:vAlign w:val="center"/>
                </w:tcPr>
                <w:p>
                  <w:pPr>
                    <w:pStyle w:val="34"/>
                    <w:rPr>
                      <w:sz w:val="24"/>
                    </w:rPr>
                  </w:pPr>
                  <w:r>
                    <w:rPr>
                      <w:rFonts w:hint="eastAsia"/>
                      <w:sz w:val="24"/>
                    </w:rPr>
                    <w:t>废弃</w:t>
                  </w:r>
                  <w:r>
                    <w:rPr>
                      <w:sz w:val="24"/>
                    </w:rPr>
                    <w:t>电器拆解废气</w:t>
                  </w:r>
                </w:p>
              </w:tc>
              <w:tc>
                <w:tcPr>
                  <w:tcW w:w="5155" w:type="dxa"/>
                  <w:shd w:val="clear" w:color="auto" w:fill="auto"/>
                  <w:vAlign w:val="center"/>
                </w:tcPr>
                <w:p>
                  <w:pPr>
                    <w:pStyle w:val="34"/>
                    <w:rPr>
                      <w:sz w:val="24"/>
                    </w:rPr>
                  </w:pPr>
                  <w:r>
                    <w:rPr>
                      <w:sz w:val="24"/>
                    </w:rPr>
                    <w:t>配备</w:t>
                  </w:r>
                  <w:r>
                    <w:rPr>
                      <w:rFonts w:hint="eastAsia"/>
                      <w:sz w:val="24"/>
                    </w:rPr>
                    <w:t>1套布袋除尘设施对废弃电器拆解过程中产生的颗粒物进行处置，处置完成的废气通过15m高1#排气筒排放。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507" w:type="dxa"/>
                  <w:vMerge w:val="continue"/>
                  <w:shd w:val="clear" w:color="auto" w:fill="auto"/>
                  <w:vAlign w:val="center"/>
                </w:tcPr>
                <w:p>
                  <w:pPr>
                    <w:pStyle w:val="34"/>
                    <w:rPr>
                      <w:sz w:val="24"/>
                    </w:rPr>
                  </w:pPr>
                </w:p>
              </w:tc>
              <w:tc>
                <w:tcPr>
                  <w:tcW w:w="1696" w:type="dxa"/>
                  <w:shd w:val="clear" w:color="auto" w:fill="auto"/>
                  <w:vAlign w:val="center"/>
                </w:tcPr>
                <w:p>
                  <w:pPr>
                    <w:pStyle w:val="34"/>
                    <w:rPr>
                      <w:sz w:val="24"/>
                    </w:rPr>
                  </w:pPr>
                  <w:r>
                    <w:rPr>
                      <w:rFonts w:hint="eastAsia"/>
                      <w:sz w:val="24"/>
                    </w:rPr>
                    <w:t>废弃电器拆解后机械</w:t>
                  </w:r>
                </w:p>
                <w:p>
                  <w:pPr>
                    <w:pStyle w:val="34"/>
                    <w:rPr>
                      <w:sz w:val="24"/>
                    </w:rPr>
                  </w:pPr>
                  <w:r>
                    <w:rPr>
                      <w:rFonts w:hint="eastAsia"/>
                      <w:sz w:val="24"/>
                    </w:rPr>
                    <w:t>加工</w:t>
                  </w:r>
                  <w:r>
                    <w:rPr>
                      <w:sz w:val="24"/>
                    </w:rPr>
                    <w:t>废气</w:t>
                  </w:r>
                </w:p>
              </w:tc>
              <w:tc>
                <w:tcPr>
                  <w:tcW w:w="5155" w:type="dxa"/>
                  <w:shd w:val="clear" w:color="auto" w:fill="auto"/>
                  <w:vAlign w:val="center"/>
                </w:tcPr>
                <w:p>
                  <w:pPr>
                    <w:pStyle w:val="34"/>
                    <w:rPr>
                      <w:sz w:val="24"/>
                    </w:rPr>
                  </w:pPr>
                  <w:r>
                    <w:rPr>
                      <w:sz w:val="24"/>
                    </w:rPr>
                    <w:t>配备</w:t>
                  </w:r>
                  <w:r>
                    <w:rPr>
                      <w:rFonts w:hint="eastAsia"/>
                      <w:sz w:val="24"/>
                    </w:rPr>
                    <w:t>1套旋风除尘+脉冲袋式除尘器+紫外光氧+活性炭吸附对废弃电器拆解后加工段产生的</w:t>
                  </w:r>
                  <w:r>
                    <w:rPr>
                      <w:sz w:val="24"/>
                    </w:rPr>
                    <w:t>废气</w:t>
                  </w:r>
                  <w:r>
                    <w:rPr>
                      <w:rFonts w:hint="eastAsia"/>
                      <w:sz w:val="24"/>
                    </w:rPr>
                    <w:t>进行处置，处置完成的废气通过15m高2#排气筒排放。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507" w:type="dxa"/>
                  <w:vMerge w:val="continue"/>
                  <w:shd w:val="clear" w:color="auto" w:fill="auto"/>
                  <w:vAlign w:val="center"/>
                </w:tcPr>
                <w:p>
                  <w:pPr>
                    <w:pStyle w:val="34"/>
                    <w:rPr>
                      <w:sz w:val="24"/>
                    </w:rPr>
                  </w:pPr>
                </w:p>
              </w:tc>
              <w:tc>
                <w:tcPr>
                  <w:tcW w:w="1696" w:type="dxa"/>
                  <w:shd w:val="clear" w:color="auto" w:fill="auto"/>
                  <w:vAlign w:val="center"/>
                </w:tcPr>
                <w:p>
                  <w:pPr>
                    <w:pStyle w:val="34"/>
                    <w:rPr>
                      <w:sz w:val="24"/>
                    </w:rPr>
                  </w:pPr>
                  <w:r>
                    <w:rPr>
                      <w:rFonts w:hint="eastAsia"/>
                      <w:sz w:val="24"/>
                    </w:rPr>
                    <w:t>残留</w:t>
                  </w:r>
                  <w:r>
                    <w:rPr>
                      <w:sz w:val="24"/>
                    </w:rPr>
                    <w:t>废油液收集废气</w:t>
                  </w:r>
                </w:p>
              </w:tc>
              <w:tc>
                <w:tcPr>
                  <w:tcW w:w="5155" w:type="dxa"/>
                  <w:shd w:val="clear" w:color="auto" w:fill="auto"/>
                  <w:vAlign w:val="center"/>
                </w:tcPr>
                <w:p>
                  <w:pPr>
                    <w:pStyle w:val="34"/>
                    <w:rPr>
                      <w:sz w:val="24"/>
                    </w:rPr>
                  </w:pPr>
                  <w:r>
                    <w:rPr>
                      <w:sz w:val="24"/>
                    </w:rPr>
                    <w:t>配备</w:t>
                  </w:r>
                  <w:r>
                    <w:rPr>
                      <w:rFonts w:hint="eastAsia"/>
                      <w:sz w:val="24"/>
                    </w:rPr>
                    <w:t>1套紫外光氧+活性炭吸附装置对残留</w:t>
                  </w:r>
                  <w:r>
                    <w:rPr>
                      <w:sz w:val="24"/>
                    </w:rPr>
                    <w:t>废油液收集</w:t>
                  </w:r>
                  <w:r>
                    <w:rPr>
                      <w:rFonts w:hint="eastAsia"/>
                      <w:sz w:val="24"/>
                    </w:rPr>
                    <w:t>过程中产生的非甲烷总烃进行处置，处置完成的废气通过15m高3#排气筒排放。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507" w:type="dxa"/>
                  <w:vMerge w:val="continue"/>
                  <w:shd w:val="clear" w:color="auto" w:fill="auto"/>
                  <w:vAlign w:val="center"/>
                </w:tcPr>
                <w:p>
                  <w:pPr>
                    <w:pStyle w:val="34"/>
                    <w:rPr>
                      <w:sz w:val="24"/>
                    </w:rPr>
                  </w:pPr>
                </w:p>
              </w:tc>
              <w:tc>
                <w:tcPr>
                  <w:tcW w:w="1696" w:type="dxa"/>
                  <w:shd w:val="clear" w:color="auto" w:fill="auto"/>
                  <w:vAlign w:val="center"/>
                </w:tcPr>
                <w:p>
                  <w:pPr>
                    <w:pStyle w:val="34"/>
                    <w:rPr>
                      <w:sz w:val="24"/>
                    </w:rPr>
                  </w:pPr>
                  <w:r>
                    <w:rPr>
                      <w:rFonts w:hint="eastAsia"/>
                      <w:sz w:val="24"/>
                    </w:rPr>
                    <w:t>机动车拆解后机械加工废气</w:t>
                  </w:r>
                </w:p>
              </w:tc>
              <w:tc>
                <w:tcPr>
                  <w:tcW w:w="5155" w:type="dxa"/>
                  <w:shd w:val="clear" w:color="auto" w:fill="auto"/>
                  <w:vAlign w:val="center"/>
                </w:tcPr>
                <w:p>
                  <w:pPr>
                    <w:pStyle w:val="34"/>
                    <w:rPr>
                      <w:sz w:val="24"/>
                    </w:rPr>
                  </w:pPr>
                  <w:r>
                    <w:rPr>
                      <w:sz w:val="24"/>
                    </w:rPr>
                    <w:t>配备</w:t>
                  </w:r>
                  <w:r>
                    <w:rPr>
                      <w:rFonts w:hint="eastAsia"/>
                      <w:sz w:val="24"/>
                    </w:rPr>
                    <w:t>1套布袋除尘设施对机动车拆解后机械加工过程中产生的颗粒物进行处置，处置完成的废气通过15m高3#排气筒排放。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2203" w:type="dxa"/>
                  <w:gridSpan w:val="2"/>
                  <w:shd w:val="clear" w:color="auto" w:fill="auto"/>
                  <w:vAlign w:val="center"/>
                </w:tcPr>
                <w:p>
                  <w:pPr>
                    <w:pStyle w:val="34"/>
                    <w:rPr>
                      <w:sz w:val="24"/>
                    </w:rPr>
                  </w:pPr>
                  <w:r>
                    <w:rPr>
                      <w:sz w:val="24"/>
                    </w:rPr>
                    <w:t>废水</w:t>
                  </w:r>
                </w:p>
              </w:tc>
              <w:tc>
                <w:tcPr>
                  <w:tcW w:w="5155" w:type="dxa"/>
                  <w:shd w:val="clear" w:color="auto" w:fill="auto"/>
                  <w:vAlign w:val="center"/>
                </w:tcPr>
                <w:p>
                  <w:pPr>
                    <w:pStyle w:val="34"/>
                    <w:rPr>
                      <w:sz w:val="24"/>
                    </w:rPr>
                  </w:pPr>
                  <w:r>
                    <w:rPr>
                      <w:rFonts w:hint="eastAsia"/>
                      <w:sz w:val="24"/>
                    </w:rPr>
                    <w:t>车间冲洗废水采取“隔油+絮凝沉淀”的方式处置后回用于厂内绿化、道路洒水。生活污水经化粪池收集处置后经市政管网进入石泉县污水处理厂。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2203" w:type="dxa"/>
                  <w:gridSpan w:val="2"/>
                  <w:shd w:val="clear" w:color="auto" w:fill="auto"/>
                  <w:vAlign w:val="center"/>
                </w:tcPr>
                <w:p>
                  <w:pPr>
                    <w:pStyle w:val="34"/>
                    <w:rPr>
                      <w:sz w:val="24"/>
                    </w:rPr>
                  </w:pPr>
                  <w:r>
                    <w:rPr>
                      <w:sz w:val="24"/>
                    </w:rPr>
                    <w:t>地下水</w:t>
                  </w:r>
                </w:p>
              </w:tc>
              <w:tc>
                <w:tcPr>
                  <w:tcW w:w="5155" w:type="dxa"/>
                  <w:shd w:val="clear" w:color="auto" w:fill="auto"/>
                  <w:vAlign w:val="center"/>
                </w:tcPr>
                <w:p>
                  <w:pPr>
                    <w:pStyle w:val="34"/>
                    <w:rPr>
                      <w:sz w:val="24"/>
                    </w:rPr>
                  </w:pPr>
                  <w:r>
                    <w:rPr>
                      <w:sz w:val="24"/>
                    </w:rPr>
                    <w:t>本项目</w:t>
                  </w:r>
                  <w:r>
                    <w:rPr>
                      <w:rFonts w:hint="eastAsia"/>
                      <w:sz w:val="24"/>
                    </w:rPr>
                    <w:t>采取</w:t>
                  </w:r>
                  <w:r>
                    <w:rPr>
                      <w:sz w:val="24"/>
                    </w:rPr>
                    <w:t>分区防渗的措施</w:t>
                  </w:r>
                  <w:r>
                    <w:rPr>
                      <w:rFonts w:hint="eastAsia"/>
                      <w:sz w:val="24"/>
                    </w:rPr>
                    <w:t>，</w:t>
                  </w:r>
                  <w:r>
                    <w:rPr>
                      <w:sz w:val="24"/>
                    </w:rPr>
                    <w:t>对</w:t>
                  </w:r>
                  <w:r>
                    <w:rPr>
                      <w:rFonts w:hint="eastAsia"/>
                      <w:sz w:val="24"/>
                    </w:rPr>
                    <w:t>危险废物暂存间、生产车间采取重点防渗。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2203" w:type="dxa"/>
                  <w:gridSpan w:val="2"/>
                  <w:shd w:val="clear" w:color="auto" w:fill="auto"/>
                  <w:vAlign w:val="center"/>
                </w:tcPr>
                <w:p>
                  <w:pPr>
                    <w:pStyle w:val="34"/>
                    <w:rPr>
                      <w:sz w:val="24"/>
                    </w:rPr>
                  </w:pPr>
                  <w:r>
                    <w:rPr>
                      <w:sz w:val="24"/>
                    </w:rPr>
                    <w:t>噪声</w:t>
                  </w:r>
                </w:p>
              </w:tc>
              <w:tc>
                <w:tcPr>
                  <w:tcW w:w="5155" w:type="dxa"/>
                  <w:shd w:val="clear" w:color="auto" w:fill="auto"/>
                  <w:vAlign w:val="center"/>
                </w:tcPr>
                <w:p>
                  <w:pPr>
                    <w:pStyle w:val="34"/>
                    <w:rPr>
                      <w:sz w:val="24"/>
                    </w:rPr>
                  </w:pPr>
                  <w:r>
                    <w:rPr>
                      <w:sz w:val="24"/>
                    </w:rPr>
                    <w:t>本项目选取低噪声设备</w:t>
                  </w:r>
                  <w:r>
                    <w:rPr>
                      <w:rFonts w:hint="eastAsia"/>
                      <w:sz w:val="24"/>
                    </w:rPr>
                    <w:t>，</w:t>
                  </w:r>
                  <w:r>
                    <w:rPr>
                      <w:sz w:val="24"/>
                    </w:rPr>
                    <w:t>置于室内</w:t>
                  </w:r>
                  <w:r>
                    <w:rPr>
                      <w:rFonts w:hint="eastAsia"/>
                      <w:sz w:val="24"/>
                    </w:rPr>
                    <w:t>，部分设备</w:t>
                  </w:r>
                  <w:r>
                    <w:rPr>
                      <w:sz w:val="24"/>
                    </w:rPr>
                    <w:t>设置基础减震</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507" w:type="dxa"/>
                  <w:vMerge w:val="restart"/>
                  <w:shd w:val="clear" w:color="auto" w:fill="auto"/>
                  <w:vAlign w:val="center"/>
                </w:tcPr>
                <w:p>
                  <w:pPr>
                    <w:pStyle w:val="34"/>
                    <w:rPr>
                      <w:sz w:val="24"/>
                    </w:rPr>
                  </w:pPr>
                  <w:r>
                    <w:rPr>
                      <w:sz w:val="24"/>
                    </w:rPr>
                    <w:t>固废</w:t>
                  </w:r>
                </w:p>
              </w:tc>
              <w:tc>
                <w:tcPr>
                  <w:tcW w:w="1696" w:type="dxa"/>
                  <w:shd w:val="clear" w:color="auto" w:fill="auto"/>
                  <w:vAlign w:val="center"/>
                </w:tcPr>
                <w:p>
                  <w:pPr>
                    <w:pStyle w:val="34"/>
                    <w:rPr>
                      <w:sz w:val="24"/>
                    </w:rPr>
                  </w:pPr>
                  <w:r>
                    <w:rPr>
                      <w:rFonts w:cs="宋体"/>
                      <w:sz w:val="24"/>
                    </w:rPr>
                    <w:t>生活垃圾</w:t>
                  </w:r>
                </w:p>
              </w:tc>
              <w:tc>
                <w:tcPr>
                  <w:tcW w:w="5155" w:type="dxa"/>
                  <w:shd w:val="clear" w:color="auto" w:fill="auto"/>
                  <w:vAlign w:val="center"/>
                </w:tcPr>
                <w:p>
                  <w:pPr>
                    <w:pStyle w:val="34"/>
                    <w:rPr>
                      <w:sz w:val="24"/>
                    </w:rPr>
                  </w:pPr>
                  <w:r>
                    <w:rPr>
                      <w:rFonts w:hint="eastAsia"/>
                      <w:sz w:val="24"/>
                    </w:rPr>
                    <w:t>生活垃圾</w:t>
                  </w:r>
                  <w:r>
                    <w:rPr>
                      <w:sz w:val="24"/>
                    </w:rPr>
                    <w:t>集中收集后</w:t>
                  </w:r>
                  <w:r>
                    <w:rPr>
                      <w:rFonts w:hint="eastAsia"/>
                      <w:sz w:val="24"/>
                    </w:rPr>
                    <w:t>交由当地环卫部门处置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507" w:type="dxa"/>
                  <w:vMerge w:val="continue"/>
                  <w:shd w:val="clear" w:color="auto" w:fill="auto"/>
                  <w:vAlign w:val="center"/>
                </w:tcPr>
                <w:p>
                  <w:pPr>
                    <w:pStyle w:val="34"/>
                    <w:rPr>
                      <w:sz w:val="24"/>
                    </w:rPr>
                  </w:pPr>
                </w:p>
              </w:tc>
              <w:tc>
                <w:tcPr>
                  <w:tcW w:w="1696" w:type="dxa"/>
                  <w:shd w:val="clear" w:color="auto" w:fill="auto"/>
                  <w:vAlign w:val="center"/>
                </w:tcPr>
                <w:p>
                  <w:pPr>
                    <w:pStyle w:val="34"/>
                    <w:rPr>
                      <w:rFonts w:cs="宋体"/>
                      <w:sz w:val="24"/>
                    </w:rPr>
                  </w:pPr>
                  <w:r>
                    <w:rPr>
                      <w:rFonts w:hint="eastAsia"/>
                      <w:sz w:val="24"/>
                    </w:rPr>
                    <w:t>一般固废</w:t>
                  </w:r>
                </w:p>
              </w:tc>
              <w:tc>
                <w:tcPr>
                  <w:tcW w:w="5155" w:type="dxa"/>
                  <w:shd w:val="clear" w:color="auto" w:fill="auto"/>
                  <w:vAlign w:val="center"/>
                </w:tcPr>
                <w:p>
                  <w:pPr>
                    <w:pStyle w:val="34"/>
                    <w:rPr>
                      <w:sz w:val="24"/>
                    </w:rPr>
                  </w:pPr>
                  <w:r>
                    <w:rPr>
                      <w:rFonts w:hint="eastAsia"/>
                      <w:sz w:val="24"/>
                    </w:rPr>
                    <w:t>废玻璃、</w:t>
                  </w:r>
                  <w:r>
                    <w:rPr>
                      <w:sz w:val="24"/>
                    </w:rPr>
                    <w:t>废尼龙</w:t>
                  </w:r>
                  <w:r>
                    <w:rPr>
                      <w:rFonts w:hint="eastAsia"/>
                      <w:sz w:val="24"/>
                    </w:rPr>
                    <w:t>、</w:t>
                  </w:r>
                  <w:r>
                    <w:rPr>
                      <w:sz w:val="24"/>
                    </w:rPr>
                    <w:t>废皮革及除危险废物外的其他不可利用物委托环卫部门统一清运</w:t>
                  </w:r>
                  <w:r>
                    <w:rPr>
                      <w:rFonts w:hint="eastAsia"/>
                      <w:sz w:val="24"/>
                    </w:rPr>
                    <w:t>。电动汽车拆解过程中产生的</w:t>
                  </w:r>
                  <w:r>
                    <w:rPr>
                      <w:sz w:val="24"/>
                    </w:rPr>
                    <w:t>废动力蓄电池移交至回收服务网点</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507" w:type="dxa"/>
                  <w:vMerge w:val="continue"/>
                  <w:shd w:val="clear" w:color="auto" w:fill="auto"/>
                  <w:vAlign w:val="center"/>
                </w:tcPr>
                <w:p>
                  <w:pPr>
                    <w:pStyle w:val="34"/>
                    <w:rPr>
                      <w:sz w:val="24"/>
                    </w:rPr>
                  </w:pPr>
                </w:p>
              </w:tc>
              <w:tc>
                <w:tcPr>
                  <w:tcW w:w="1696" w:type="dxa"/>
                  <w:shd w:val="clear" w:color="auto" w:fill="auto"/>
                  <w:vAlign w:val="center"/>
                </w:tcPr>
                <w:p>
                  <w:pPr>
                    <w:pStyle w:val="34"/>
                    <w:rPr>
                      <w:sz w:val="24"/>
                    </w:rPr>
                  </w:pPr>
                  <w:r>
                    <w:rPr>
                      <w:sz w:val="24"/>
                    </w:rPr>
                    <w:t>危险废物</w:t>
                  </w:r>
                </w:p>
              </w:tc>
              <w:tc>
                <w:tcPr>
                  <w:tcW w:w="5155" w:type="dxa"/>
                  <w:shd w:val="clear" w:color="auto" w:fill="auto"/>
                  <w:vAlign w:val="center"/>
                </w:tcPr>
                <w:p>
                  <w:pPr>
                    <w:pStyle w:val="34"/>
                    <w:rPr>
                      <w:sz w:val="24"/>
                    </w:rPr>
                  </w:pPr>
                  <w:r>
                    <w:rPr>
                      <w:rFonts w:hint="eastAsia"/>
                      <w:sz w:val="24"/>
                    </w:rPr>
                    <w:t>危险废物分别用专用容器收集后分类暂存于危废暂存间</w:t>
                  </w:r>
                  <w:r>
                    <w:rPr>
                      <w:sz w:val="24"/>
                    </w:rPr>
                    <w:t>，</w:t>
                  </w:r>
                  <w:r>
                    <w:rPr>
                      <w:rFonts w:hint="eastAsia"/>
                      <w:sz w:val="24"/>
                    </w:rPr>
                    <w:t>与有资质单位签订处置协议，交由有资质单位处置。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shd w:val="clear" w:color="auto" w:fill="auto"/>
                  <w:vAlign w:val="center"/>
                </w:tcPr>
                <w:p>
                  <w:pPr>
                    <w:pStyle w:val="34"/>
                    <w:rPr>
                      <w:sz w:val="24"/>
                    </w:rPr>
                  </w:pPr>
                </w:p>
              </w:tc>
              <w:tc>
                <w:tcPr>
                  <w:tcW w:w="2203" w:type="dxa"/>
                  <w:gridSpan w:val="2"/>
                  <w:shd w:val="clear" w:color="auto" w:fill="auto"/>
                  <w:vAlign w:val="center"/>
                </w:tcPr>
                <w:p>
                  <w:pPr>
                    <w:pStyle w:val="34"/>
                    <w:rPr>
                      <w:sz w:val="24"/>
                    </w:rPr>
                  </w:pPr>
                  <w:r>
                    <w:rPr>
                      <w:sz w:val="24"/>
                    </w:rPr>
                    <w:t>风险</w:t>
                  </w:r>
                </w:p>
              </w:tc>
              <w:tc>
                <w:tcPr>
                  <w:tcW w:w="5155" w:type="dxa"/>
                  <w:shd w:val="clear" w:color="auto" w:fill="auto"/>
                  <w:vAlign w:val="center"/>
                </w:tcPr>
                <w:p>
                  <w:pPr>
                    <w:pStyle w:val="34"/>
                    <w:rPr>
                      <w:sz w:val="24"/>
                    </w:rPr>
                  </w:pPr>
                  <w:r>
                    <w:rPr>
                      <w:rFonts w:hint="eastAsia"/>
                      <w:sz w:val="24"/>
                    </w:rPr>
                    <w:t>建设单位采用相应的泄漏应急处理、防护措施、急救措施等，能有效控大气环境危害；同时设置厂区物质泄漏三级防渗措施，避免泄漏物质污染土壤及地下水环境。</w:t>
                  </w:r>
                </w:p>
              </w:tc>
            </w:tr>
          </w:tbl>
          <w:p>
            <w:pPr>
              <w:ind w:firstLine="480"/>
              <w:rPr>
                <w:sz w:val="24"/>
                <w:szCs w:val="24"/>
              </w:rPr>
            </w:pPr>
            <w:r>
              <w:rPr>
                <w:rFonts w:hint="eastAsia"/>
                <w:sz w:val="24"/>
                <w:szCs w:val="24"/>
              </w:rPr>
              <w:t>4、产品方案</w:t>
            </w:r>
          </w:p>
          <w:p>
            <w:pPr>
              <w:ind w:firstLine="480"/>
              <w:rPr>
                <w:sz w:val="24"/>
                <w:szCs w:val="24"/>
              </w:rPr>
            </w:pPr>
            <w:r>
              <w:rPr>
                <w:rFonts w:hint="eastAsia"/>
                <w:sz w:val="24"/>
                <w:szCs w:val="24"/>
              </w:rPr>
              <w:t>本项目主要进行废弃家电及报废机动车的拆解加工，拆解所得的可回收零部件、废钢铁、废有色金属、废塑料等即作为本项目产品进行出售。本项目产能见表2</w:t>
            </w:r>
            <w:r>
              <w:rPr>
                <w:sz w:val="24"/>
                <w:szCs w:val="24"/>
              </w:rPr>
              <w:t>-2</w:t>
            </w:r>
            <w:r>
              <w:rPr>
                <w:rFonts w:hint="eastAsia"/>
                <w:sz w:val="24"/>
                <w:szCs w:val="24"/>
              </w:rPr>
              <w:t>。</w:t>
            </w:r>
          </w:p>
          <w:p>
            <w:pPr>
              <w:pStyle w:val="34"/>
              <w:rPr>
                <w:b/>
                <w:sz w:val="24"/>
              </w:rPr>
            </w:pPr>
            <w:r>
              <w:rPr>
                <w:b/>
                <w:sz w:val="24"/>
              </w:rPr>
              <w:t>表</w:t>
            </w:r>
            <w:r>
              <w:rPr>
                <w:rFonts w:hint="eastAsia"/>
                <w:b/>
                <w:sz w:val="24"/>
              </w:rPr>
              <w:t>2-2</w:t>
            </w:r>
            <w:r>
              <w:rPr>
                <w:b/>
                <w:sz w:val="24"/>
              </w:rPr>
              <w:t xml:space="preserve">  产品方案表</w:t>
            </w:r>
          </w:p>
          <w:tbl>
            <w:tblPr>
              <w:tblStyle w:val="21"/>
              <w:tblW w:w="8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9"/>
              <w:gridCol w:w="1740"/>
              <w:gridCol w:w="940"/>
              <w:gridCol w:w="1071"/>
              <w:gridCol w:w="3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shd w:val="pct10" w:color="auto" w:fill="FFFFFF"/>
                  <w:vAlign w:val="center"/>
                </w:tcPr>
                <w:p>
                  <w:pPr>
                    <w:pStyle w:val="34"/>
                    <w:rPr>
                      <w:b/>
                      <w:kern w:val="21"/>
                      <w:sz w:val="24"/>
                    </w:rPr>
                  </w:pPr>
                  <w:r>
                    <w:rPr>
                      <w:rFonts w:hint="eastAsia"/>
                      <w:b/>
                      <w:kern w:val="21"/>
                      <w:sz w:val="24"/>
                    </w:rPr>
                    <w:t>生产线</w:t>
                  </w:r>
                </w:p>
              </w:tc>
              <w:tc>
                <w:tcPr>
                  <w:tcW w:w="1740" w:type="dxa"/>
                  <w:shd w:val="pct10" w:color="auto" w:fill="FFFFFF"/>
                  <w:vAlign w:val="center"/>
                </w:tcPr>
                <w:p>
                  <w:pPr>
                    <w:pStyle w:val="34"/>
                    <w:rPr>
                      <w:b/>
                      <w:kern w:val="21"/>
                      <w:sz w:val="24"/>
                    </w:rPr>
                  </w:pPr>
                  <w:r>
                    <w:rPr>
                      <w:b/>
                      <w:kern w:val="21"/>
                      <w:sz w:val="24"/>
                    </w:rPr>
                    <w:t>名称</w:t>
                  </w:r>
                </w:p>
              </w:tc>
              <w:tc>
                <w:tcPr>
                  <w:tcW w:w="940" w:type="dxa"/>
                  <w:shd w:val="pct10" w:color="auto" w:fill="FFFFFF"/>
                  <w:vAlign w:val="center"/>
                </w:tcPr>
                <w:p>
                  <w:pPr>
                    <w:pStyle w:val="34"/>
                    <w:rPr>
                      <w:b/>
                      <w:kern w:val="21"/>
                      <w:sz w:val="24"/>
                    </w:rPr>
                  </w:pPr>
                  <w:r>
                    <w:rPr>
                      <w:b/>
                      <w:kern w:val="21"/>
                      <w:sz w:val="24"/>
                    </w:rPr>
                    <w:t>单位</w:t>
                  </w:r>
                </w:p>
              </w:tc>
              <w:tc>
                <w:tcPr>
                  <w:tcW w:w="1071" w:type="dxa"/>
                  <w:shd w:val="pct10" w:color="auto" w:fill="FFFFFF"/>
                  <w:vAlign w:val="center"/>
                </w:tcPr>
                <w:p>
                  <w:pPr>
                    <w:pStyle w:val="34"/>
                    <w:rPr>
                      <w:b/>
                      <w:kern w:val="21"/>
                      <w:sz w:val="24"/>
                    </w:rPr>
                  </w:pPr>
                  <w:r>
                    <w:rPr>
                      <w:rFonts w:hint="eastAsia"/>
                      <w:b/>
                      <w:kern w:val="21"/>
                      <w:sz w:val="24"/>
                    </w:rPr>
                    <w:t>回收量</w:t>
                  </w:r>
                </w:p>
              </w:tc>
              <w:tc>
                <w:tcPr>
                  <w:tcW w:w="3331" w:type="dxa"/>
                  <w:shd w:val="pct10" w:color="auto" w:fill="FFFFFF"/>
                  <w:vAlign w:val="center"/>
                </w:tcPr>
                <w:p>
                  <w:pPr>
                    <w:pStyle w:val="34"/>
                    <w:rPr>
                      <w:b/>
                      <w:kern w:val="21"/>
                      <w:sz w:val="24"/>
                    </w:rPr>
                  </w:pPr>
                  <w:r>
                    <w:rPr>
                      <w:rFonts w:hint="eastAsia"/>
                      <w:b/>
                      <w:kern w:val="21"/>
                      <w:sz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restart"/>
                  <w:shd w:val="clear" w:color="auto" w:fill="FFFFFF"/>
                  <w:vAlign w:val="center"/>
                </w:tcPr>
                <w:p>
                  <w:pPr>
                    <w:pStyle w:val="34"/>
                    <w:rPr>
                      <w:sz w:val="24"/>
                    </w:rPr>
                  </w:pPr>
                  <w:r>
                    <w:rPr>
                      <w:rFonts w:hint="eastAsia"/>
                      <w:sz w:val="24"/>
                    </w:rPr>
                    <w:t>机动车拆解加工</w:t>
                  </w:r>
                </w:p>
              </w:tc>
              <w:tc>
                <w:tcPr>
                  <w:tcW w:w="1740" w:type="dxa"/>
                  <w:shd w:val="clear" w:color="auto" w:fill="FFFFFF"/>
                  <w:vAlign w:val="center"/>
                </w:tcPr>
                <w:p>
                  <w:pPr>
                    <w:pStyle w:val="34"/>
                    <w:rPr>
                      <w:kern w:val="21"/>
                      <w:sz w:val="24"/>
                    </w:rPr>
                  </w:pPr>
                  <w:r>
                    <w:rPr>
                      <w:rFonts w:hint="eastAsia"/>
                      <w:sz w:val="24"/>
                    </w:rPr>
                    <w:t>可回用零部件</w:t>
                  </w:r>
                </w:p>
              </w:tc>
              <w:tc>
                <w:tcPr>
                  <w:tcW w:w="940" w:type="dxa"/>
                  <w:vMerge w:val="restart"/>
                  <w:shd w:val="clear" w:color="auto" w:fill="FFFFFF"/>
                  <w:vAlign w:val="center"/>
                </w:tcPr>
                <w:p>
                  <w:pPr>
                    <w:pStyle w:val="34"/>
                    <w:rPr>
                      <w:kern w:val="21"/>
                      <w:sz w:val="24"/>
                    </w:rPr>
                  </w:pPr>
                  <w:r>
                    <w:rPr>
                      <w:rFonts w:hint="eastAsia"/>
                      <w:sz w:val="24"/>
                    </w:rPr>
                    <w:t>t</w:t>
                  </w:r>
                  <w:r>
                    <w:rPr>
                      <w:sz w:val="24"/>
                    </w:rPr>
                    <w:t>/</w:t>
                  </w:r>
                  <w:r>
                    <w:rPr>
                      <w:rFonts w:hint="eastAsia"/>
                      <w:sz w:val="24"/>
                    </w:rPr>
                    <w:t>a</w:t>
                  </w:r>
                </w:p>
              </w:tc>
              <w:tc>
                <w:tcPr>
                  <w:tcW w:w="1071" w:type="dxa"/>
                  <w:shd w:val="clear" w:color="auto" w:fill="FFFFFF"/>
                  <w:vAlign w:val="center"/>
                </w:tcPr>
                <w:p>
                  <w:pPr>
                    <w:pStyle w:val="34"/>
                    <w:rPr>
                      <w:kern w:val="21"/>
                      <w:sz w:val="24"/>
                    </w:rPr>
                  </w:pPr>
                  <w:r>
                    <w:rPr>
                      <w:sz w:val="24"/>
                    </w:rPr>
                    <w:t>16272.2</w:t>
                  </w:r>
                </w:p>
              </w:tc>
              <w:tc>
                <w:tcPr>
                  <w:tcW w:w="3331" w:type="dxa"/>
                  <w:shd w:val="clear" w:color="auto" w:fill="FFFFFF"/>
                  <w:vAlign w:val="center"/>
                </w:tcPr>
                <w:p>
                  <w:pPr>
                    <w:pStyle w:val="34"/>
                    <w:rPr>
                      <w:kern w:val="21"/>
                      <w:sz w:val="24"/>
                    </w:rPr>
                  </w:pPr>
                  <w:r>
                    <w:rPr>
                      <w:sz w:val="24"/>
                    </w:rPr>
                    <w:t>五大总成及完好的螺丝螺母、车灯、车轴、气门、曲轴等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continue"/>
                  <w:shd w:val="clear" w:color="auto" w:fill="FFFFFF"/>
                  <w:vAlign w:val="center"/>
                </w:tcPr>
                <w:p>
                  <w:pPr>
                    <w:pStyle w:val="34"/>
                    <w:rPr>
                      <w:sz w:val="24"/>
                    </w:rPr>
                  </w:pPr>
                </w:p>
              </w:tc>
              <w:tc>
                <w:tcPr>
                  <w:tcW w:w="1740" w:type="dxa"/>
                  <w:shd w:val="clear" w:color="auto" w:fill="FFFFFF"/>
                  <w:vAlign w:val="center"/>
                </w:tcPr>
                <w:p>
                  <w:pPr>
                    <w:pStyle w:val="34"/>
                    <w:rPr>
                      <w:sz w:val="24"/>
                    </w:rPr>
                  </w:pPr>
                  <w:r>
                    <w:rPr>
                      <w:rFonts w:hint="eastAsia"/>
                      <w:sz w:val="24"/>
                    </w:rPr>
                    <w:t>废钢铁</w:t>
                  </w:r>
                </w:p>
              </w:tc>
              <w:tc>
                <w:tcPr>
                  <w:tcW w:w="940" w:type="dxa"/>
                  <w:vMerge w:val="continue"/>
                  <w:shd w:val="clear" w:color="auto" w:fill="FFFFFF"/>
                  <w:vAlign w:val="center"/>
                </w:tcPr>
                <w:p>
                  <w:pPr>
                    <w:pStyle w:val="34"/>
                    <w:rPr>
                      <w:sz w:val="24"/>
                    </w:rPr>
                  </w:pPr>
                </w:p>
              </w:tc>
              <w:tc>
                <w:tcPr>
                  <w:tcW w:w="1071" w:type="dxa"/>
                  <w:shd w:val="clear" w:color="auto" w:fill="FFFFFF"/>
                  <w:vAlign w:val="center"/>
                </w:tcPr>
                <w:p>
                  <w:pPr>
                    <w:pStyle w:val="34"/>
                    <w:rPr>
                      <w:sz w:val="24"/>
                    </w:rPr>
                  </w:pPr>
                  <w:r>
                    <w:rPr>
                      <w:sz w:val="24"/>
                    </w:rPr>
                    <w:t>25800</w:t>
                  </w:r>
                </w:p>
              </w:tc>
              <w:tc>
                <w:tcPr>
                  <w:tcW w:w="3331" w:type="dxa"/>
                  <w:shd w:val="clear" w:color="auto" w:fill="FFFFFF"/>
                  <w:vAlign w:val="center"/>
                </w:tcPr>
                <w:p>
                  <w:pPr>
                    <w:pStyle w:val="34"/>
                    <w:rPr>
                      <w:sz w:val="24"/>
                    </w:rPr>
                  </w:pPr>
                  <w:r>
                    <w:rPr>
                      <w:sz w:val="24"/>
                    </w:rPr>
                    <w:t>发动机、车门、车身、悬架等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continue"/>
                  <w:shd w:val="clear" w:color="auto" w:fill="FFFFFF"/>
                  <w:vAlign w:val="center"/>
                </w:tcPr>
                <w:p>
                  <w:pPr>
                    <w:pStyle w:val="34"/>
                    <w:rPr>
                      <w:sz w:val="24"/>
                    </w:rPr>
                  </w:pPr>
                </w:p>
              </w:tc>
              <w:tc>
                <w:tcPr>
                  <w:tcW w:w="1740" w:type="dxa"/>
                  <w:shd w:val="clear" w:color="auto" w:fill="FFFFFF"/>
                  <w:vAlign w:val="center"/>
                </w:tcPr>
                <w:p>
                  <w:pPr>
                    <w:pStyle w:val="34"/>
                    <w:rPr>
                      <w:sz w:val="24"/>
                    </w:rPr>
                  </w:pPr>
                  <w:r>
                    <w:rPr>
                      <w:rFonts w:hint="eastAsia"/>
                      <w:sz w:val="24"/>
                    </w:rPr>
                    <w:t>废有色金属</w:t>
                  </w:r>
                </w:p>
              </w:tc>
              <w:tc>
                <w:tcPr>
                  <w:tcW w:w="940" w:type="dxa"/>
                  <w:vMerge w:val="continue"/>
                  <w:shd w:val="clear" w:color="auto" w:fill="FFFFFF"/>
                  <w:vAlign w:val="center"/>
                </w:tcPr>
                <w:p>
                  <w:pPr>
                    <w:pStyle w:val="34"/>
                    <w:rPr>
                      <w:sz w:val="24"/>
                    </w:rPr>
                  </w:pPr>
                </w:p>
              </w:tc>
              <w:tc>
                <w:tcPr>
                  <w:tcW w:w="1071" w:type="dxa"/>
                  <w:shd w:val="clear" w:color="auto" w:fill="FFFFFF"/>
                  <w:vAlign w:val="center"/>
                </w:tcPr>
                <w:p>
                  <w:pPr>
                    <w:pStyle w:val="34"/>
                    <w:rPr>
                      <w:sz w:val="24"/>
                    </w:rPr>
                  </w:pPr>
                  <w:r>
                    <w:rPr>
                      <w:sz w:val="24"/>
                    </w:rPr>
                    <w:t>2569.6</w:t>
                  </w:r>
                </w:p>
              </w:tc>
              <w:tc>
                <w:tcPr>
                  <w:tcW w:w="3331" w:type="dxa"/>
                  <w:shd w:val="clear" w:color="auto" w:fill="FFFFFF"/>
                  <w:vAlign w:val="center"/>
                </w:tcPr>
                <w:p>
                  <w:pPr>
                    <w:pStyle w:val="34"/>
                    <w:rPr>
                      <w:sz w:val="24"/>
                    </w:rPr>
                  </w:pPr>
                  <w:r>
                    <w:rPr>
                      <w:sz w:val="24"/>
                    </w:rPr>
                    <w:t>发动机、变速器、散热器、齿轮、轴承等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continue"/>
                  <w:shd w:val="clear" w:color="auto" w:fill="FFFFFF"/>
                  <w:vAlign w:val="center"/>
                </w:tcPr>
                <w:p>
                  <w:pPr>
                    <w:pStyle w:val="34"/>
                    <w:rPr>
                      <w:sz w:val="24"/>
                    </w:rPr>
                  </w:pPr>
                </w:p>
              </w:tc>
              <w:tc>
                <w:tcPr>
                  <w:tcW w:w="1740" w:type="dxa"/>
                  <w:shd w:val="clear" w:color="auto" w:fill="FFFFFF"/>
                  <w:vAlign w:val="center"/>
                </w:tcPr>
                <w:p>
                  <w:pPr>
                    <w:pStyle w:val="34"/>
                    <w:rPr>
                      <w:sz w:val="24"/>
                    </w:rPr>
                  </w:pPr>
                  <w:r>
                    <w:rPr>
                      <w:rFonts w:hint="eastAsia"/>
                      <w:sz w:val="24"/>
                    </w:rPr>
                    <w:t>废塑料</w:t>
                  </w:r>
                </w:p>
              </w:tc>
              <w:tc>
                <w:tcPr>
                  <w:tcW w:w="940" w:type="dxa"/>
                  <w:vMerge w:val="continue"/>
                  <w:shd w:val="clear" w:color="auto" w:fill="FFFFFF"/>
                  <w:vAlign w:val="center"/>
                </w:tcPr>
                <w:p>
                  <w:pPr>
                    <w:pStyle w:val="34"/>
                    <w:rPr>
                      <w:sz w:val="24"/>
                    </w:rPr>
                  </w:pPr>
                </w:p>
              </w:tc>
              <w:tc>
                <w:tcPr>
                  <w:tcW w:w="1071" w:type="dxa"/>
                  <w:shd w:val="clear" w:color="auto" w:fill="FFFFFF"/>
                  <w:vAlign w:val="center"/>
                </w:tcPr>
                <w:p>
                  <w:pPr>
                    <w:pStyle w:val="34"/>
                    <w:rPr>
                      <w:sz w:val="24"/>
                    </w:rPr>
                  </w:pPr>
                  <w:r>
                    <w:rPr>
                      <w:sz w:val="24"/>
                    </w:rPr>
                    <w:t>3394.1</w:t>
                  </w:r>
                </w:p>
              </w:tc>
              <w:tc>
                <w:tcPr>
                  <w:tcW w:w="3331" w:type="dxa"/>
                  <w:shd w:val="clear" w:color="auto" w:fill="FFFFFF"/>
                  <w:vAlign w:val="center"/>
                </w:tcPr>
                <w:p>
                  <w:pPr>
                    <w:pStyle w:val="34"/>
                    <w:rPr>
                      <w:sz w:val="24"/>
                    </w:rPr>
                  </w:pPr>
                  <w:r>
                    <w:rPr>
                      <w:sz w:val="24"/>
                    </w:rPr>
                    <w:t>保险杠、仪表盘、</w:t>
                  </w:r>
                  <w:r>
                    <w:rPr>
                      <w:rFonts w:hint="eastAsia"/>
                      <w:sz w:val="24"/>
                    </w:rPr>
                    <w:t>灯罩</w:t>
                  </w:r>
                  <w:r>
                    <w:rPr>
                      <w:sz w:val="24"/>
                    </w:rPr>
                    <w:t>、油箱等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continue"/>
                  <w:shd w:val="clear" w:color="auto" w:fill="FFFFFF"/>
                  <w:vAlign w:val="center"/>
                </w:tcPr>
                <w:p>
                  <w:pPr>
                    <w:pStyle w:val="34"/>
                    <w:rPr>
                      <w:sz w:val="24"/>
                    </w:rPr>
                  </w:pPr>
                </w:p>
              </w:tc>
              <w:tc>
                <w:tcPr>
                  <w:tcW w:w="1740" w:type="dxa"/>
                  <w:shd w:val="clear" w:color="auto" w:fill="FFFFFF"/>
                  <w:vAlign w:val="center"/>
                </w:tcPr>
                <w:p>
                  <w:pPr>
                    <w:pStyle w:val="34"/>
                    <w:rPr>
                      <w:sz w:val="24"/>
                    </w:rPr>
                  </w:pPr>
                  <w:r>
                    <w:rPr>
                      <w:rFonts w:hint="eastAsia"/>
                      <w:sz w:val="24"/>
                    </w:rPr>
                    <w:t>废橡胶</w:t>
                  </w:r>
                </w:p>
              </w:tc>
              <w:tc>
                <w:tcPr>
                  <w:tcW w:w="940" w:type="dxa"/>
                  <w:vMerge w:val="continue"/>
                  <w:shd w:val="clear" w:color="auto" w:fill="FFFFFF"/>
                  <w:vAlign w:val="center"/>
                </w:tcPr>
                <w:p>
                  <w:pPr>
                    <w:pStyle w:val="34"/>
                    <w:rPr>
                      <w:sz w:val="24"/>
                    </w:rPr>
                  </w:pPr>
                </w:p>
              </w:tc>
              <w:tc>
                <w:tcPr>
                  <w:tcW w:w="1071" w:type="dxa"/>
                  <w:shd w:val="clear" w:color="auto" w:fill="FFFFFF"/>
                  <w:vAlign w:val="center"/>
                </w:tcPr>
                <w:p>
                  <w:pPr>
                    <w:pStyle w:val="34"/>
                    <w:rPr>
                      <w:sz w:val="24"/>
                    </w:rPr>
                  </w:pPr>
                  <w:r>
                    <w:rPr>
                      <w:sz w:val="24"/>
                    </w:rPr>
                    <w:t>3071.9</w:t>
                  </w:r>
                </w:p>
              </w:tc>
              <w:tc>
                <w:tcPr>
                  <w:tcW w:w="3331" w:type="dxa"/>
                  <w:shd w:val="clear" w:color="auto" w:fill="FFFFFF"/>
                  <w:vAlign w:val="center"/>
                </w:tcPr>
                <w:p>
                  <w:pPr>
                    <w:pStyle w:val="34"/>
                    <w:rPr>
                      <w:sz w:val="24"/>
                    </w:rPr>
                  </w:pPr>
                  <w:r>
                    <w:rPr>
                      <w:sz w:val="24"/>
                    </w:rPr>
                    <w:t>轮胎、减震橡胶块、密封条等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continue"/>
                  <w:shd w:val="clear" w:color="auto" w:fill="FFFFFF"/>
                  <w:vAlign w:val="center"/>
                </w:tcPr>
                <w:p>
                  <w:pPr>
                    <w:pStyle w:val="34"/>
                    <w:rPr>
                      <w:sz w:val="24"/>
                    </w:rPr>
                  </w:pPr>
                </w:p>
              </w:tc>
              <w:tc>
                <w:tcPr>
                  <w:tcW w:w="1740" w:type="dxa"/>
                  <w:shd w:val="clear" w:color="auto" w:fill="FFFFFF"/>
                  <w:vAlign w:val="center"/>
                </w:tcPr>
                <w:p>
                  <w:pPr>
                    <w:pStyle w:val="34"/>
                    <w:rPr>
                      <w:sz w:val="24"/>
                    </w:rPr>
                  </w:pPr>
                  <w:r>
                    <w:rPr>
                      <w:rFonts w:hint="eastAsia"/>
                      <w:sz w:val="24"/>
                    </w:rPr>
                    <w:t>陶瓷</w:t>
                  </w:r>
                  <w:r>
                    <w:rPr>
                      <w:sz w:val="24"/>
                    </w:rPr>
                    <w:t>、泡沫</w:t>
                  </w:r>
                </w:p>
              </w:tc>
              <w:tc>
                <w:tcPr>
                  <w:tcW w:w="940" w:type="dxa"/>
                  <w:vMerge w:val="continue"/>
                  <w:shd w:val="clear" w:color="auto" w:fill="FFFFFF"/>
                  <w:vAlign w:val="center"/>
                </w:tcPr>
                <w:p>
                  <w:pPr>
                    <w:pStyle w:val="34"/>
                    <w:rPr>
                      <w:sz w:val="24"/>
                    </w:rPr>
                  </w:pPr>
                </w:p>
              </w:tc>
              <w:tc>
                <w:tcPr>
                  <w:tcW w:w="1071" w:type="dxa"/>
                  <w:shd w:val="clear" w:color="auto" w:fill="FFFFFF"/>
                  <w:vAlign w:val="center"/>
                </w:tcPr>
                <w:p>
                  <w:pPr>
                    <w:pStyle w:val="34"/>
                    <w:rPr>
                      <w:sz w:val="24"/>
                    </w:rPr>
                  </w:pPr>
                  <w:r>
                    <w:rPr>
                      <w:sz w:val="24"/>
                    </w:rPr>
                    <w:t>309.9</w:t>
                  </w:r>
                </w:p>
              </w:tc>
              <w:tc>
                <w:tcPr>
                  <w:tcW w:w="3331" w:type="dxa"/>
                  <w:shd w:val="clear" w:color="auto" w:fill="FFFFFF"/>
                  <w:vAlign w:val="center"/>
                </w:tcPr>
                <w:p>
                  <w:pPr>
                    <w:pStyle w:val="34"/>
                    <w:rPr>
                      <w:sz w:val="24"/>
                    </w:rPr>
                  </w:pPr>
                  <w:r>
                    <w:rPr>
                      <w:kern w:val="0"/>
                      <w:sz w:val="24"/>
                    </w:rPr>
                    <w:t>陶瓷主要产生于活塞、汽缸套、配气机构、传感器、减振器等；泡沫主要产生于车身和车骨架的夹层材料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restart"/>
                  <w:shd w:val="clear" w:color="auto" w:fill="FFFFFF"/>
                  <w:vAlign w:val="center"/>
                </w:tcPr>
                <w:p>
                  <w:pPr>
                    <w:pStyle w:val="34"/>
                    <w:rPr>
                      <w:sz w:val="24"/>
                    </w:rPr>
                  </w:pPr>
                  <w:r>
                    <w:rPr>
                      <w:rFonts w:hint="eastAsia"/>
                      <w:sz w:val="24"/>
                    </w:rPr>
                    <w:t>废弃电器拆解加工</w:t>
                  </w:r>
                </w:p>
              </w:tc>
              <w:tc>
                <w:tcPr>
                  <w:tcW w:w="1740" w:type="dxa"/>
                  <w:shd w:val="clear" w:color="auto" w:fill="FFFFFF"/>
                  <w:vAlign w:val="center"/>
                </w:tcPr>
                <w:p>
                  <w:pPr>
                    <w:pStyle w:val="34"/>
                    <w:rPr>
                      <w:sz w:val="24"/>
                    </w:rPr>
                  </w:pPr>
                  <w:r>
                    <w:rPr>
                      <w:rFonts w:hint="eastAsia"/>
                      <w:sz w:val="24"/>
                    </w:rPr>
                    <w:t>可回用零部件</w:t>
                  </w:r>
                </w:p>
              </w:tc>
              <w:tc>
                <w:tcPr>
                  <w:tcW w:w="940" w:type="dxa"/>
                  <w:vMerge w:val="continue"/>
                  <w:shd w:val="clear" w:color="auto" w:fill="FFFFFF"/>
                  <w:vAlign w:val="center"/>
                </w:tcPr>
                <w:p>
                  <w:pPr>
                    <w:pStyle w:val="34"/>
                    <w:rPr>
                      <w:sz w:val="24"/>
                    </w:rPr>
                  </w:pPr>
                </w:p>
              </w:tc>
              <w:tc>
                <w:tcPr>
                  <w:tcW w:w="1071" w:type="dxa"/>
                  <w:shd w:val="clear" w:color="auto" w:fill="FFFFFF"/>
                  <w:vAlign w:val="center"/>
                </w:tcPr>
                <w:p>
                  <w:pPr>
                    <w:pStyle w:val="34"/>
                    <w:rPr>
                      <w:sz w:val="24"/>
                    </w:rPr>
                  </w:pPr>
                  <w:r>
                    <w:rPr>
                      <w:rFonts w:hint="eastAsia"/>
                      <w:sz w:val="24"/>
                    </w:rPr>
                    <w:t>421.37</w:t>
                  </w:r>
                </w:p>
              </w:tc>
              <w:tc>
                <w:tcPr>
                  <w:tcW w:w="3331" w:type="dxa"/>
                  <w:shd w:val="clear" w:color="auto" w:fill="FFFFFF"/>
                  <w:vAlign w:val="center"/>
                </w:tcPr>
                <w:p>
                  <w:pPr>
                    <w:pStyle w:val="34"/>
                    <w:rPr>
                      <w:kern w:val="0"/>
                      <w:sz w:val="24"/>
                    </w:rPr>
                  </w:pPr>
                  <w:r>
                    <w:rPr>
                      <w:rFonts w:hint="eastAsia"/>
                      <w:kern w:val="0"/>
                      <w:sz w:val="24"/>
                    </w:rPr>
                    <w:t>电子元器件、螺丝、线圈、按钮、喇叭、光驱等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continue"/>
                  <w:shd w:val="clear" w:color="auto" w:fill="FFFFFF"/>
                  <w:vAlign w:val="center"/>
                </w:tcPr>
                <w:p>
                  <w:pPr>
                    <w:pStyle w:val="34"/>
                    <w:rPr>
                      <w:sz w:val="24"/>
                    </w:rPr>
                  </w:pPr>
                </w:p>
              </w:tc>
              <w:tc>
                <w:tcPr>
                  <w:tcW w:w="1740" w:type="dxa"/>
                  <w:shd w:val="clear" w:color="auto" w:fill="FFFFFF"/>
                  <w:vAlign w:val="center"/>
                </w:tcPr>
                <w:p>
                  <w:pPr>
                    <w:pStyle w:val="34"/>
                    <w:rPr>
                      <w:sz w:val="24"/>
                    </w:rPr>
                  </w:pPr>
                  <w:r>
                    <w:rPr>
                      <w:rFonts w:hint="eastAsia"/>
                      <w:sz w:val="24"/>
                    </w:rPr>
                    <w:t>废钢铁</w:t>
                  </w:r>
                </w:p>
              </w:tc>
              <w:tc>
                <w:tcPr>
                  <w:tcW w:w="940" w:type="dxa"/>
                  <w:vMerge w:val="continue"/>
                  <w:shd w:val="clear" w:color="auto" w:fill="FFFFFF"/>
                  <w:vAlign w:val="center"/>
                </w:tcPr>
                <w:p>
                  <w:pPr>
                    <w:pStyle w:val="34"/>
                    <w:rPr>
                      <w:sz w:val="24"/>
                    </w:rPr>
                  </w:pPr>
                </w:p>
              </w:tc>
              <w:tc>
                <w:tcPr>
                  <w:tcW w:w="1071" w:type="dxa"/>
                  <w:shd w:val="clear" w:color="auto" w:fill="FFFFFF"/>
                  <w:vAlign w:val="center"/>
                </w:tcPr>
                <w:p>
                  <w:pPr>
                    <w:pStyle w:val="34"/>
                    <w:rPr>
                      <w:sz w:val="24"/>
                    </w:rPr>
                  </w:pPr>
                  <w:r>
                    <w:rPr>
                      <w:rFonts w:hint="eastAsia"/>
                      <w:sz w:val="24"/>
                    </w:rPr>
                    <w:t>304.75</w:t>
                  </w:r>
                </w:p>
              </w:tc>
              <w:tc>
                <w:tcPr>
                  <w:tcW w:w="3331" w:type="dxa"/>
                  <w:vMerge w:val="restart"/>
                  <w:shd w:val="clear" w:color="auto" w:fill="FFFFFF"/>
                  <w:vAlign w:val="center"/>
                </w:tcPr>
                <w:p>
                  <w:pPr>
                    <w:pStyle w:val="34"/>
                    <w:rPr>
                      <w:kern w:val="0"/>
                      <w:sz w:val="24"/>
                    </w:rPr>
                  </w:pPr>
                  <w:r>
                    <w:rPr>
                      <w:rFonts w:hint="eastAsia"/>
                      <w:kern w:val="0"/>
                      <w:sz w:val="24"/>
                    </w:rPr>
                    <w:t>外壳铁板、底座等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continue"/>
                  <w:shd w:val="clear" w:color="auto" w:fill="FFFFFF"/>
                  <w:vAlign w:val="center"/>
                </w:tcPr>
                <w:p>
                  <w:pPr>
                    <w:pStyle w:val="34"/>
                    <w:rPr>
                      <w:sz w:val="24"/>
                    </w:rPr>
                  </w:pPr>
                </w:p>
              </w:tc>
              <w:tc>
                <w:tcPr>
                  <w:tcW w:w="1740" w:type="dxa"/>
                  <w:shd w:val="clear" w:color="auto" w:fill="FFFFFF"/>
                  <w:vAlign w:val="center"/>
                </w:tcPr>
                <w:p>
                  <w:pPr>
                    <w:pStyle w:val="34"/>
                    <w:rPr>
                      <w:sz w:val="24"/>
                    </w:rPr>
                  </w:pPr>
                  <w:r>
                    <w:rPr>
                      <w:rFonts w:hint="eastAsia"/>
                      <w:sz w:val="24"/>
                    </w:rPr>
                    <w:t>废有色金属</w:t>
                  </w:r>
                </w:p>
              </w:tc>
              <w:tc>
                <w:tcPr>
                  <w:tcW w:w="940" w:type="dxa"/>
                  <w:vMerge w:val="continue"/>
                  <w:shd w:val="clear" w:color="auto" w:fill="FFFFFF"/>
                  <w:vAlign w:val="center"/>
                </w:tcPr>
                <w:p>
                  <w:pPr>
                    <w:pStyle w:val="34"/>
                    <w:rPr>
                      <w:sz w:val="24"/>
                    </w:rPr>
                  </w:pPr>
                </w:p>
              </w:tc>
              <w:tc>
                <w:tcPr>
                  <w:tcW w:w="1071" w:type="dxa"/>
                  <w:shd w:val="clear" w:color="auto" w:fill="FFFFFF"/>
                  <w:vAlign w:val="center"/>
                </w:tcPr>
                <w:p>
                  <w:pPr>
                    <w:pStyle w:val="34"/>
                    <w:rPr>
                      <w:sz w:val="24"/>
                    </w:rPr>
                  </w:pPr>
                  <w:r>
                    <w:rPr>
                      <w:rFonts w:hint="eastAsia"/>
                      <w:sz w:val="24"/>
                    </w:rPr>
                    <w:t>41.29</w:t>
                  </w:r>
                </w:p>
              </w:tc>
              <w:tc>
                <w:tcPr>
                  <w:tcW w:w="3331" w:type="dxa"/>
                  <w:vMerge w:val="continue"/>
                  <w:shd w:val="clear" w:color="auto" w:fill="FFFFFF"/>
                  <w:vAlign w:val="center"/>
                </w:tcPr>
                <w:p>
                  <w:pPr>
                    <w:pStyle w:val="34"/>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continue"/>
                  <w:shd w:val="clear" w:color="auto" w:fill="FFFFFF"/>
                  <w:vAlign w:val="center"/>
                </w:tcPr>
                <w:p>
                  <w:pPr>
                    <w:pStyle w:val="34"/>
                    <w:rPr>
                      <w:sz w:val="24"/>
                    </w:rPr>
                  </w:pPr>
                </w:p>
              </w:tc>
              <w:tc>
                <w:tcPr>
                  <w:tcW w:w="1740" w:type="dxa"/>
                  <w:shd w:val="clear" w:color="auto" w:fill="FFFFFF"/>
                  <w:vAlign w:val="center"/>
                </w:tcPr>
                <w:p>
                  <w:pPr>
                    <w:pStyle w:val="34"/>
                    <w:rPr>
                      <w:sz w:val="24"/>
                    </w:rPr>
                  </w:pPr>
                  <w:r>
                    <w:rPr>
                      <w:rFonts w:hint="eastAsia"/>
                      <w:sz w:val="24"/>
                    </w:rPr>
                    <w:t>废线路板</w:t>
                  </w:r>
                </w:p>
              </w:tc>
              <w:tc>
                <w:tcPr>
                  <w:tcW w:w="940" w:type="dxa"/>
                  <w:vMerge w:val="continue"/>
                  <w:shd w:val="clear" w:color="auto" w:fill="FFFFFF"/>
                  <w:vAlign w:val="center"/>
                </w:tcPr>
                <w:p>
                  <w:pPr>
                    <w:pStyle w:val="34"/>
                    <w:rPr>
                      <w:sz w:val="24"/>
                    </w:rPr>
                  </w:pPr>
                </w:p>
              </w:tc>
              <w:tc>
                <w:tcPr>
                  <w:tcW w:w="1071" w:type="dxa"/>
                  <w:shd w:val="clear" w:color="auto" w:fill="FFFFFF"/>
                  <w:vAlign w:val="center"/>
                </w:tcPr>
                <w:p>
                  <w:pPr>
                    <w:pStyle w:val="34"/>
                    <w:rPr>
                      <w:sz w:val="24"/>
                    </w:rPr>
                  </w:pPr>
                  <w:r>
                    <w:rPr>
                      <w:rFonts w:hint="eastAsia"/>
                      <w:sz w:val="24"/>
                    </w:rPr>
                    <w:t>22.97</w:t>
                  </w:r>
                </w:p>
              </w:tc>
              <w:tc>
                <w:tcPr>
                  <w:tcW w:w="3331" w:type="dxa"/>
                  <w:shd w:val="clear" w:color="auto" w:fill="FFFFFF"/>
                  <w:vAlign w:val="center"/>
                </w:tcPr>
                <w:p>
                  <w:pPr>
                    <w:pStyle w:val="34"/>
                    <w:rPr>
                      <w:kern w:val="0"/>
                      <w:sz w:val="24"/>
                    </w:rPr>
                  </w:pPr>
                  <w:r>
                    <w:rPr>
                      <w:rFonts w:hint="eastAsia"/>
                      <w:kern w:val="0"/>
                      <w:sz w:val="24"/>
                    </w:rPr>
                    <w:t>电子设备内部线路板等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continue"/>
                  <w:shd w:val="clear" w:color="auto" w:fill="FFFFFF"/>
                  <w:vAlign w:val="center"/>
                </w:tcPr>
                <w:p>
                  <w:pPr>
                    <w:pStyle w:val="34"/>
                    <w:ind w:firstLine="480"/>
                    <w:rPr>
                      <w:sz w:val="24"/>
                    </w:rPr>
                  </w:pPr>
                </w:p>
              </w:tc>
              <w:tc>
                <w:tcPr>
                  <w:tcW w:w="1740" w:type="dxa"/>
                  <w:shd w:val="clear" w:color="auto" w:fill="FFFFFF"/>
                  <w:vAlign w:val="center"/>
                </w:tcPr>
                <w:p>
                  <w:pPr>
                    <w:pStyle w:val="34"/>
                    <w:rPr>
                      <w:sz w:val="24"/>
                    </w:rPr>
                  </w:pPr>
                  <w:r>
                    <w:rPr>
                      <w:rFonts w:hint="eastAsia"/>
                      <w:sz w:val="24"/>
                    </w:rPr>
                    <w:t>废冷媒</w:t>
                  </w:r>
                </w:p>
                <w:p>
                  <w:pPr>
                    <w:pStyle w:val="34"/>
                    <w:rPr>
                      <w:sz w:val="24"/>
                    </w:rPr>
                  </w:pPr>
                  <w:r>
                    <w:rPr>
                      <w:rFonts w:hint="eastAsia"/>
                      <w:sz w:val="24"/>
                    </w:rPr>
                    <w:t>（钢瓶储存）</w:t>
                  </w:r>
                </w:p>
              </w:tc>
              <w:tc>
                <w:tcPr>
                  <w:tcW w:w="940" w:type="dxa"/>
                  <w:vMerge w:val="continue"/>
                  <w:shd w:val="clear" w:color="auto" w:fill="FFFFFF"/>
                  <w:vAlign w:val="center"/>
                </w:tcPr>
                <w:p>
                  <w:pPr>
                    <w:pStyle w:val="34"/>
                    <w:ind w:firstLine="480"/>
                    <w:rPr>
                      <w:sz w:val="24"/>
                    </w:rPr>
                  </w:pPr>
                </w:p>
              </w:tc>
              <w:tc>
                <w:tcPr>
                  <w:tcW w:w="1071" w:type="dxa"/>
                  <w:shd w:val="clear" w:color="auto" w:fill="FFFFFF"/>
                  <w:vAlign w:val="center"/>
                </w:tcPr>
                <w:p>
                  <w:pPr>
                    <w:pStyle w:val="34"/>
                    <w:rPr>
                      <w:sz w:val="24"/>
                    </w:rPr>
                  </w:pPr>
                  <w:r>
                    <w:rPr>
                      <w:rFonts w:hint="eastAsia"/>
                      <w:sz w:val="24"/>
                    </w:rPr>
                    <w:t>0.09</w:t>
                  </w:r>
                </w:p>
              </w:tc>
              <w:tc>
                <w:tcPr>
                  <w:tcW w:w="3331" w:type="dxa"/>
                  <w:shd w:val="clear" w:color="auto" w:fill="FFFFFF"/>
                  <w:vAlign w:val="center"/>
                </w:tcPr>
                <w:p>
                  <w:pPr>
                    <w:pStyle w:val="34"/>
                    <w:ind w:firstLine="480"/>
                    <w:rPr>
                      <w:kern w:val="0"/>
                      <w:sz w:val="24"/>
                    </w:rPr>
                  </w:pPr>
                  <w:r>
                    <w:rPr>
                      <w:rFonts w:hint="eastAsia"/>
                      <w:kern w:val="0"/>
                      <w:sz w:val="24"/>
                    </w:rPr>
                    <w:t>废弃冰箱、空调内废制冷剂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019" w:type="dxa"/>
                  <w:vMerge w:val="continue"/>
                  <w:shd w:val="clear" w:color="auto" w:fill="FFFFFF"/>
                  <w:vAlign w:val="center"/>
                </w:tcPr>
                <w:p>
                  <w:pPr>
                    <w:pStyle w:val="34"/>
                    <w:ind w:firstLine="480"/>
                    <w:rPr>
                      <w:sz w:val="24"/>
                    </w:rPr>
                  </w:pPr>
                </w:p>
              </w:tc>
              <w:tc>
                <w:tcPr>
                  <w:tcW w:w="1740" w:type="dxa"/>
                  <w:shd w:val="clear" w:color="auto" w:fill="FFFFFF"/>
                  <w:vAlign w:val="center"/>
                </w:tcPr>
                <w:p>
                  <w:pPr>
                    <w:pStyle w:val="34"/>
                    <w:rPr>
                      <w:sz w:val="24"/>
                    </w:rPr>
                  </w:pPr>
                  <w:r>
                    <w:rPr>
                      <w:rFonts w:hint="eastAsia"/>
                      <w:sz w:val="24"/>
                    </w:rPr>
                    <w:t>废塑料</w:t>
                  </w:r>
                </w:p>
              </w:tc>
              <w:tc>
                <w:tcPr>
                  <w:tcW w:w="940" w:type="dxa"/>
                  <w:vMerge w:val="continue"/>
                  <w:shd w:val="clear" w:color="auto" w:fill="FFFFFF"/>
                  <w:vAlign w:val="center"/>
                </w:tcPr>
                <w:p>
                  <w:pPr>
                    <w:pStyle w:val="34"/>
                    <w:ind w:firstLine="480"/>
                    <w:rPr>
                      <w:sz w:val="24"/>
                    </w:rPr>
                  </w:pPr>
                </w:p>
              </w:tc>
              <w:tc>
                <w:tcPr>
                  <w:tcW w:w="1071" w:type="dxa"/>
                  <w:shd w:val="clear" w:color="auto" w:fill="FFFFFF"/>
                  <w:vAlign w:val="center"/>
                </w:tcPr>
                <w:p>
                  <w:pPr>
                    <w:pStyle w:val="34"/>
                    <w:rPr>
                      <w:sz w:val="24"/>
                    </w:rPr>
                  </w:pPr>
                  <w:r>
                    <w:rPr>
                      <w:rFonts w:hint="eastAsia"/>
                      <w:sz w:val="24"/>
                    </w:rPr>
                    <w:t>309.82</w:t>
                  </w:r>
                </w:p>
              </w:tc>
              <w:tc>
                <w:tcPr>
                  <w:tcW w:w="3331" w:type="dxa"/>
                  <w:shd w:val="clear" w:color="auto" w:fill="FFFFFF"/>
                  <w:vAlign w:val="center"/>
                </w:tcPr>
                <w:p>
                  <w:pPr>
                    <w:pStyle w:val="34"/>
                    <w:ind w:firstLine="480"/>
                    <w:rPr>
                      <w:kern w:val="0"/>
                      <w:sz w:val="24"/>
                    </w:rPr>
                  </w:pPr>
                  <w:r>
                    <w:rPr>
                      <w:rFonts w:hint="eastAsia"/>
                      <w:kern w:val="0"/>
                      <w:sz w:val="24"/>
                    </w:rPr>
                    <w:t>外壳塑料板等</w:t>
                  </w:r>
                </w:p>
              </w:tc>
            </w:tr>
          </w:tbl>
          <w:p>
            <w:pPr>
              <w:ind w:firstLine="480"/>
              <w:rPr>
                <w:bCs/>
                <w:sz w:val="24"/>
                <w:szCs w:val="24"/>
              </w:rPr>
            </w:pPr>
            <w:r>
              <w:rPr>
                <w:rFonts w:hint="eastAsia"/>
                <w:bCs/>
                <w:sz w:val="24"/>
                <w:szCs w:val="24"/>
              </w:rPr>
              <w:t>5</w:t>
            </w:r>
            <w:r>
              <w:rPr>
                <w:rFonts w:hAnsi="宋体"/>
                <w:bCs/>
                <w:sz w:val="24"/>
                <w:szCs w:val="24"/>
              </w:rPr>
              <w:t>、原辅材料</w:t>
            </w:r>
            <w:r>
              <w:rPr>
                <w:rFonts w:hint="eastAsia" w:hAnsi="宋体"/>
                <w:bCs/>
                <w:sz w:val="24"/>
                <w:szCs w:val="24"/>
              </w:rPr>
              <w:t>用量</w:t>
            </w:r>
          </w:p>
          <w:p>
            <w:pPr>
              <w:ind w:firstLine="480"/>
            </w:pPr>
            <w:r>
              <w:rPr>
                <w:rFonts w:hAnsi="宋体"/>
                <w:bCs/>
                <w:sz w:val="24"/>
                <w:szCs w:val="24"/>
              </w:rPr>
              <w:t>本项目</w:t>
            </w:r>
            <w:r>
              <w:rPr>
                <w:rFonts w:hint="eastAsia" w:hAnsi="宋体"/>
                <w:bCs/>
                <w:sz w:val="24"/>
                <w:szCs w:val="24"/>
              </w:rPr>
              <w:t>主要</w:t>
            </w:r>
            <w:r>
              <w:rPr>
                <w:rFonts w:hAnsi="宋体"/>
                <w:bCs/>
                <w:sz w:val="24"/>
                <w:szCs w:val="24"/>
              </w:rPr>
              <w:t>原辅材料消耗见表</w:t>
            </w:r>
            <w:r>
              <w:rPr>
                <w:rFonts w:hint="eastAsia" w:hAnsi="宋体"/>
                <w:bCs/>
                <w:sz w:val="24"/>
                <w:szCs w:val="24"/>
              </w:rPr>
              <w:t>2-3</w:t>
            </w:r>
            <w:r>
              <w:rPr>
                <w:rFonts w:hAnsi="宋体"/>
                <w:bCs/>
                <w:sz w:val="24"/>
                <w:szCs w:val="24"/>
              </w:rPr>
              <w:t>。</w:t>
            </w:r>
          </w:p>
          <w:p>
            <w:pPr>
              <w:pStyle w:val="34"/>
              <w:rPr>
                <w:b/>
                <w:sz w:val="24"/>
              </w:rPr>
            </w:pPr>
            <w:r>
              <w:rPr>
                <w:b/>
                <w:sz w:val="24"/>
              </w:rPr>
              <w:t>表2-3  主要原辅材料消耗情况一览表</w:t>
            </w:r>
          </w:p>
          <w:tbl>
            <w:tblPr>
              <w:tblStyle w:val="21"/>
              <w:tblW w:w="8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934"/>
              <w:gridCol w:w="1273"/>
              <w:gridCol w:w="1507"/>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shd w:val="pct10" w:color="auto" w:fill="auto"/>
                  <w:vAlign w:val="center"/>
                </w:tcPr>
                <w:p>
                  <w:pPr>
                    <w:pStyle w:val="34"/>
                    <w:rPr>
                      <w:b/>
                      <w:bCs/>
                      <w:sz w:val="24"/>
                    </w:rPr>
                  </w:pPr>
                  <w:r>
                    <w:rPr>
                      <w:b/>
                      <w:bCs/>
                      <w:sz w:val="24"/>
                    </w:rPr>
                    <w:t>序号</w:t>
                  </w:r>
                </w:p>
              </w:tc>
              <w:tc>
                <w:tcPr>
                  <w:tcW w:w="2934" w:type="dxa"/>
                  <w:shd w:val="pct10" w:color="auto" w:fill="auto"/>
                  <w:vAlign w:val="center"/>
                </w:tcPr>
                <w:p>
                  <w:pPr>
                    <w:pStyle w:val="34"/>
                    <w:rPr>
                      <w:b/>
                      <w:bCs/>
                      <w:sz w:val="24"/>
                    </w:rPr>
                  </w:pPr>
                  <w:r>
                    <w:rPr>
                      <w:b/>
                      <w:bCs/>
                      <w:sz w:val="24"/>
                    </w:rPr>
                    <w:t>名称</w:t>
                  </w:r>
                </w:p>
              </w:tc>
              <w:tc>
                <w:tcPr>
                  <w:tcW w:w="1273" w:type="dxa"/>
                  <w:shd w:val="pct10" w:color="auto" w:fill="auto"/>
                  <w:vAlign w:val="center"/>
                </w:tcPr>
                <w:p>
                  <w:pPr>
                    <w:pStyle w:val="34"/>
                    <w:rPr>
                      <w:b/>
                      <w:bCs/>
                      <w:sz w:val="24"/>
                    </w:rPr>
                  </w:pPr>
                  <w:r>
                    <w:rPr>
                      <w:b/>
                      <w:bCs/>
                      <w:sz w:val="24"/>
                    </w:rPr>
                    <w:t>单位</w:t>
                  </w:r>
                </w:p>
              </w:tc>
              <w:tc>
                <w:tcPr>
                  <w:tcW w:w="1507" w:type="dxa"/>
                  <w:shd w:val="pct10" w:color="auto" w:fill="auto"/>
                  <w:vAlign w:val="center"/>
                </w:tcPr>
                <w:p>
                  <w:pPr>
                    <w:pStyle w:val="34"/>
                    <w:rPr>
                      <w:b/>
                      <w:bCs/>
                      <w:sz w:val="24"/>
                    </w:rPr>
                  </w:pPr>
                  <w:r>
                    <w:rPr>
                      <w:rFonts w:hint="eastAsia"/>
                      <w:b/>
                      <w:bCs/>
                      <w:sz w:val="24"/>
                    </w:rPr>
                    <w:t>年用</w:t>
                  </w:r>
                  <w:r>
                    <w:rPr>
                      <w:b/>
                      <w:bCs/>
                      <w:sz w:val="24"/>
                    </w:rPr>
                    <w:t>量</w:t>
                  </w:r>
                </w:p>
              </w:tc>
              <w:tc>
                <w:tcPr>
                  <w:tcW w:w="1322" w:type="dxa"/>
                  <w:shd w:val="pct10" w:color="auto" w:fill="auto"/>
                  <w:vAlign w:val="center"/>
                </w:tcPr>
                <w:p>
                  <w:pPr>
                    <w:pStyle w:val="34"/>
                    <w:rPr>
                      <w:b/>
                      <w:bCs/>
                      <w:sz w:val="24"/>
                    </w:rPr>
                  </w:pPr>
                  <w:r>
                    <w:rPr>
                      <w:rFonts w:hint="eastAsia"/>
                      <w:b/>
                      <w:bCs/>
                      <w:sz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sz w:val="24"/>
                    </w:rPr>
                    <w:t>1</w:t>
                  </w:r>
                </w:p>
              </w:tc>
              <w:tc>
                <w:tcPr>
                  <w:tcW w:w="2934" w:type="dxa"/>
                  <w:vAlign w:val="center"/>
                </w:tcPr>
                <w:p>
                  <w:pPr>
                    <w:pStyle w:val="34"/>
                    <w:rPr>
                      <w:sz w:val="24"/>
                    </w:rPr>
                  </w:pPr>
                  <w:r>
                    <w:rPr>
                      <w:sz w:val="24"/>
                    </w:rPr>
                    <w:t>废电冰箱</w:t>
                  </w:r>
                </w:p>
              </w:tc>
              <w:tc>
                <w:tcPr>
                  <w:tcW w:w="1273" w:type="dxa"/>
                  <w:vAlign w:val="center"/>
                </w:tcPr>
                <w:p>
                  <w:pPr>
                    <w:pStyle w:val="34"/>
                    <w:rPr>
                      <w:sz w:val="24"/>
                    </w:rPr>
                  </w:pPr>
                  <w:r>
                    <w:rPr>
                      <w:rFonts w:hint="eastAsia"/>
                      <w:sz w:val="24"/>
                    </w:rPr>
                    <w:t>台</w:t>
                  </w:r>
                </w:p>
              </w:tc>
              <w:tc>
                <w:tcPr>
                  <w:tcW w:w="1507" w:type="dxa"/>
                  <w:vAlign w:val="center"/>
                </w:tcPr>
                <w:p>
                  <w:pPr>
                    <w:spacing w:line="240" w:lineRule="auto"/>
                    <w:ind w:firstLine="0" w:firstLineChars="0"/>
                    <w:jc w:val="center"/>
                    <w:rPr>
                      <w:sz w:val="24"/>
                      <w:szCs w:val="24"/>
                    </w:rPr>
                  </w:pPr>
                  <w:r>
                    <w:rPr>
                      <w:sz w:val="24"/>
                      <w:szCs w:val="24"/>
                    </w:rPr>
                    <w:t>5</w:t>
                  </w:r>
                  <w:r>
                    <w:rPr>
                      <w:rFonts w:hint="eastAsia"/>
                      <w:sz w:val="24"/>
                      <w:szCs w:val="24"/>
                    </w:rPr>
                    <w:t>000</w:t>
                  </w:r>
                </w:p>
              </w:tc>
              <w:tc>
                <w:tcPr>
                  <w:tcW w:w="1322" w:type="dxa"/>
                  <w:vMerge w:val="restart"/>
                  <w:vAlign w:val="center"/>
                </w:tcPr>
                <w:p>
                  <w:pPr>
                    <w:pStyle w:val="34"/>
                    <w:rPr>
                      <w:sz w:val="24"/>
                    </w:rPr>
                  </w:pPr>
                  <w:r>
                    <w:rPr>
                      <w:rFonts w:hint="eastAsia"/>
                      <w:sz w:val="24"/>
                    </w:rPr>
                    <w:t>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rFonts w:hint="eastAsia"/>
                      <w:sz w:val="24"/>
                    </w:rPr>
                    <w:t>2</w:t>
                  </w:r>
                </w:p>
              </w:tc>
              <w:tc>
                <w:tcPr>
                  <w:tcW w:w="2934" w:type="dxa"/>
                  <w:vAlign w:val="center"/>
                </w:tcPr>
                <w:p>
                  <w:pPr>
                    <w:pStyle w:val="34"/>
                    <w:rPr>
                      <w:sz w:val="24"/>
                    </w:rPr>
                  </w:pPr>
                  <w:r>
                    <w:rPr>
                      <w:sz w:val="24"/>
                    </w:rPr>
                    <w:t>废空调</w:t>
                  </w:r>
                </w:p>
              </w:tc>
              <w:tc>
                <w:tcPr>
                  <w:tcW w:w="1273" w:type="dxa"/>
                  <w:vAlign w:val="center"/>
                </w:tcPr>
                <w:p>
                  <w:pPr>
                    <w:pStyle w:val="34"/>
                    <w:rPr>
                      <w:sz w:val="24"/>
                    </w:rPr>
                  </w:pPr>
                  <w:r>
                    <w:rPr>
                      <w:rFonts w:hint="eastAsia"/>
                      <w:sz w:val="24"/>
                    </w:rPr>
                    <w:t>台</w:t>
                  </w:r>
                </w:p>
              </w:tc>
              <w:tc>
                <w:tcPr>
                  <w:tcW w:w="1507" w:type="dxa"/>
                  <w:vAlign w:val="center"/>
                </w:tcPr>
                <w:p>
                  <w:pPr>
                    <w:spacing w:line="240" w:lineRule="auto"/>
                    <w:ind w:firstLine="0" w:firstLineChars="0"/>
                    <w:jc w:val="center"/>
                    <w:rPr>
                      <w:sz w:val="24"/>
                      <w:szCs w:val="24"/>
                    </w:rPr>
                  </w:pPr>
                  <w:r>
                    <w:rPr>
                      <w:sz w:val="24"/>
                      <w:szCs w:val="24"/>
                    </w:rPr>
                    <w:t>80</w:t>
                  </w:r>
                  <w:r>
                    <w:rPr>
                      <w:rFonts w:hint="eastAsia"/>
                      <w:sz w:val="24"/>
                      <w:szCs w:val="24"/>
                    </w:rPr>
                    <w:t>00</w:t>
                  </w:r>
                </w:p>
              </w:tc>
              <w:tc>
                <w:tcPr>
                  <w:tcW w:w="1322" w:type="dxa"/>
                  <w:vMerge w:val="continue"/>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rFonts w:hint="eastAsia"/>
                      <w:sz w:val="24"/>
                    </w:rPr>
                    <w:t>3</w:t>
                  </w:r>
                </w:p>
              </w:tc>
              <w:tc>
                <w:tcPr>
                  <w:tcW w:w="2934" w:type="dxa"/>
                  <w:vAlign w:val="center"/>
                </w:tcPr>
                <w:p>
                  <w:pPr>
                    <w:pStyle w:val="34"/>
                    <w:rPr>
                      <w:sz w:val="24"/>
                    </w:rPr>
                  </w:pPr>
                  <w:r>
                    <w:rPr>
                      <w:sz w:val="24"/>
                    </w:rPr>
                    <w:t>废洗衣机</w:t>
                  </w:r>
                </w:p>
              </w:tc>
              <w:tc>
                <w:tcPr>
                  <w:tcW w:w="1273" w:type="dxa"/>
                  <w:vAlign w:val="center"/>
                </w:tcPr>
                <w:p>
                  <w:pPr>
                    <w:pStyle w:val="34"/>
                    <w:rPr>
                      <w:sz w:val="24"/>
                    </w:rPr>
                  </w:pPr>
                  <w:r>
                    <w:rPr>
                      <w:rFonts w:hint="eastAsia"/>
                      <w:sz w:val="24"/>
                    </w:rPr>
                    <w:t>台</w:t>
                  </w:r>
                </w:p>
              </w:tc>
              <w:tc>
                <w:tcPr>
                  <w:tcW w:w="1507" w:type="dxa"/>
                  <w:vAlign w:val="center"/>
                </w:tcPr>
                <w:p>
                  <w:pPr>
                    <w:spacing w:line="240" w:lineRule="auto"/>
                    <w:ind w:firstLine="0" w:firstLineChars="0"/>
                    <w:jc w:val="center"/>
                    <w:rPr>
                      <w:sz w:val="24"/>
                      <w:szCs w:val="24"/>
                    </w:rPr>
                  </w:pPr>
                  <w:r>
                    <w:rPr>
                      <w:sz w:val="24"/>
                      <w:szCs w:val="24"/>
                    </w:rPr>
                    <w:t>5</w:t>
                  </w:r>
                  <w:r>
                    <w:rPr>
                      <w:rFonts w:hint="eastAsia"/>
                      <w:sz w:val="24"/>
                      <w:szCs w:val="24"/>
                    </w:rPr>
                    <w:t>000</w:t>
                  </w:r>
                </w:p>
              </w:tc>
              <w:tc>
                <w:tcPr>
                  <w:tcW w:w="1322" w:type="dxa"/>
                  <w:vMerge w:val="continue"/>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rFonts w:hint="eastAsia"/>
                      <w:sz w:val="24"/>
                    </w:rPr>
                    <w:t>4</w:t>
                  </w:r>
                </w:p>
              </w:tc>
              <w:tc>
                <w:tcPr>
                  <w:tcW w:w="2934" w:type="dxa"/>
                  <w:vAlign w:val="center"/>
                </w:tcPr>
                <w:p>
                  <w:pPr>
                    <w:pStyle w:val="34"/>
                    <w:rPr>
                      <w:sz w:val="24"/>
                    </w:rPr>
                  </w:pPr>
                  <w:r>
                    <w:rPr>
                      <w:rFonts w:hint="eastAsia"/>
                      <w:sz w:val="24"/>
                    </w:rPr>
                    <w:t>废CRT电视机、CRT电脑显示器</w:t>
                  </w:r>
                </w:p>
              </w:tc>
              <w:tc>
                <w:tcPr>
                  <w:tcW w:w="1273" w:type="dxa"/>
                  <w:vAlign w:val="center"/>
                </w:tcPr>
                <w:p>
                  <w:pPr>
                    <w:pStyle w:val="34"/>
                    <w:rPr>
                      <w:sz w:val="24"/>
                    </w:rPr>
                  </w:pPr>
                  <w:r>
                    <w:rPr>
                      <w:rFonts w:hint="eastAsia"/>
                      <w:sz w:val="24"/>
                    </w:rPr>
                    <w:t>台</w:t>
                  </w:r>
                </w:p>
              </w:tc>
              <w:tc>
                <w:tcPr>
                  <w:tcW w:w="1507" w:type="dxa"/>
                  <w:vAlign w:val="center"/>
                </w:tcPr>
                <w:p>
                  <w:pPr>
                    <w:spacing w:line="240" w:lineRule="auto"/>
                    <w:ind w:firstLine="0" w:firstLineChars="0"/>
                    <w:jc w:val="center"/>
                    <w:rPr>
                      <w:sz w:val="24"/>
                      <w:szCs w:val="24"/>
                    </w:rPr>
                  </w:pPr>
                  <w:r>
                    <w:rPr>
                      <w:sz w:val="24"/>
                      <w:szCs w:val="24"/>
                    </w:rPr>
                    <w:t>6</w:t>
                  </w:r>
                  <w:r>
                    <w:rPr>
                      <w:rFonts w:hint="eastAsia"/>
                      <w:sz w:val="24"/>
                      <w:szCs w:val="24"/>
                    </w:rPr>
                    <w:t>000</w:t>
                  </w:r>
                </w:p>
              </w:tc>
              <w:tc>
                <w:tcPr>
                  <w:tcW w:w="1322" w:type="dxa"/>
                  <w:vMerge w:val="continue"/>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rFonts w:hint="eastAsia"/>
                      <w:sz w:val="24"/>
                    </w:rPr>
                    <w:t>5</w:t>
                  </w:r>
                </w:p>
              </w:tc>
              <w:tc>
                <w:tcPr>
                  <w:tcW w:w="2934" w:type="dxa"/>
                  <w:vAlign w:val="center"/>
                </w:tcPr>
                <w:p>
                  <w:pPr>
                    <w:pStyle w:val="34"/>
                    <w:rPr>
                      <w:sz w:val="24"/>
                    </w:rPr>
                  </w:pPr>
                  <w:r>
                    <w:rPr>
                      <w:rFonts w:hint="eastAsia"/>
                      <w:sz w:val="24"/>
                    </w:rPr>
                    <w:t>废液晶显示器</w:t>
                  </w:r>
                </w:p>
              </w:tc>
              <w:tc>
                <w:tcPr>
                  <w:tcW w:w="1273" w:type="dxa"/>
                  <w:vAlign w:val="center"/>
                </w:tcPr>
                <w:p>
                  <w:pPr>
                    <w:pStyle w:val="34"/>
                    <w:rPr>
                      <w:sz w:val="24"/>
                    </w:rPr>
                  </w:pPr>
                  <w:r>
                    <w:rPr>
                      <w:rFonts w:hint="eastAsia"/>
                      <w:sz w:val="24"/>
                    </w:rPr>
                    <w:t>台</w:t>
                  </w:r>
                </w:p>
              </w:tc>
              <w:tc>
                <w:tcPr>
                  <w:tcW w:w="1507" w:type="dxa"/>
                  <w:vAlign w:val="center"/>
                </w:tcPr>
                <w:p>
                  <w:pPr>
                    <w:spacing w:line="240" w:lineRule="auto"/>
                    <w:ind w:firstLine="0" w:firstLineChars="0"/>
                    <w:jc w:val="center"/>
                    <w:rPr>
                      <w:sz w:val="24"/>
                      <w:szCs w:val="24"/>
                    </w:rPr>
                  </w:pPr>
                  <w:r>
                    <w:rPr>
                      <w:sz w:val="24"/>
                      <w:szCs w:val="24"/>
                    </w:rPr>
                    <w:t>5</w:t>
                  </w:r>
                  <w:r>
                    <w:rPr>
                      <w:rFonts w:hint="eastAsia"/>
                      <w:sz w:val="24"/>
                      <w:szCs w:val="24"/>
                    </w:rPr>
                    <w:t>000</w:t>
                  </w:r>
                </w:p>
              </w:tc>
              <w:tc>
                <w:tcPr>
                  <w:tcW w:w="1322" w:type="dxa"/>
                  <w:vMerge w:val="continue"/>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rFonts w:hint="eastAsia"/>
                      <w:sz w:val="24"/>
                    </w:rPr>
                    <w:t>6</w:t>
                  </w:r>
                </w:p>
              </w:tc>
              <w:tc>
                <w:tcPr>
                  <w:tcW w:w="2934" w:type="dxa"/>
                  <w:vAlign w:val="center"/>
                </w:tcPr>
                <w:p>
                  <w:pPr>
                    <w:pStyle w:val="34"/>
                    <w:rPr>
                      <w:sz w:val="24"/>
                    </w:rPr>
                  </w:pPr>
                  <w:r>
                    <w:rPr>
                      <w:rFonts w:hint="eastAsia"/>
                      <w:sz w:val="24"/>
                    </w:rPr>
                    <w:t>电脑主机</w:t>
                  </w:r>
                </w:p>
              </w:tc>
              <w:tc>
                <w:tcPr>
                  <w:tcW w:w="1273" w:type="dxa"/>
                  <w:vAlign w:val="center"/>
                </w:tcPr>
                <w:p>
                  <w:pPr>
                    <w:pStyle w:val="34"/>
                    <w:rPr>
                      <w:sz w:val="24"/>
                    </w:rPr>
                  </w:pPr>
                  <w:r>
                    <w:rPr>
                      <w:rFonts w:hint="eastAsia"/>
                      <w:sz w:val="24"/>
                    </w:rPr>
                    <w:t>台</w:t>
                  </w:r>
                </w:p>
              </w:tc>
              <w:tc>
                <w:tcPr>
                  <w:tcW w:w="1507" w:type="dxa"/>
                  <w:vAlign w:val="center"/>
                </w:tcPr>
                <w:p>
                  <w:pPr>
                    <w:spacing w:line="240" w:lineRule="auto"/>
                    <w:ind w:firstLine="0" w:firstLineChars="0"/>
                    <w:jc w:val="center"/>
                    <w:rPr>
                      <w:sz w:val="24"/>
                      <w:szCs w:val="24"/>
                    </w:rPr>
                  </w:pPr>
                  <w:r>
                    <w:rPr>
                      <w:sz w:val="24"/>
                      <w:szCs w:val="24"/>
                    </w:rPr>
                    <w:t>8</w:t>
                  </w:r>
                  <w:r>
                    <w:rPr>
                      <w:rFonts w:hint="eastAsia"/>
                      <w:sz w:val="24"/>
                      <w:szCs w:val="24"/>
                    </w:rPr>
                    <w:t>000</w:t>
                  </w:r>
                </w:p>
              </w:tc>
              <w:tc>
                <w:tcPr>
                  <w:tcW w:w="1322" w:type="dxa"/>
                  <w:vMerge w:val="continue"/>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rFonts w:hint="eastAsia"/>
                      <w:sz w:val="24"/>
                    </w:rPr>
                    <w:t>7</w:t>
                  </w:r>
                </w:p>
              </w:tc>
              <w:tc>
                <w:tcPr>
                  <w:tcW w:w="2934" w:type="dxa"/>
                  <w:vAlign w:val="center"/>
                </w:tcPr>
                <w:p>
                  <w:pPr>
                    <w:pStyle w:val="34"/>
                    <w:rPr>
                      <w:sz w:val="24"/>
                    </w:rPr>
                  </w:pPr>
                  <w:r>
                    <w:rPr>
                      <w:rFonts w:hint="eastAsia"/>
                      <w:sz w:val="24"/>
                    </w:rPr>
                    <w:t>中大型车</w:t>
                  </w:r>
                </w:p>
              </w:tc>
              <w:tc>
                <w:tcPr>
                  <w:tcW w:w="1273" w:type="dxa"/>
                  <w:vAlign w:val="center"/>
                </w:tcPr>
                <w:p>
                  <w:pPr>
                    <w:pStyle w:val="34"/>
                    <w:rPr>
                      <w:sz w:val="24"/>
                    </w:rPr>
                  </w:pPr>
                  <w:r>
                    <w:rPr>
                      <w:rFonts w:hint="eastAsia"/>
                      <w:sz w:val="24"/>
                    </w:rPr>
                    <w:t>辆</w:t>
                  </w:r>
                </w:p>
              </w:tc>
              <w:tc>
                <w:tcPr>
                  <w:tcW w:w="1507" w:type="dxa"/>
                  <w:vAlign w:val="center"/>
                </w:tcPr>
                <w:p>
                  <w:pPr>
                    <w:spacing w:line="240" w:lineRule="auto"/>
                    <w:ind w:firstLine="0" w:firstLineChars="0"/>
                    <w:jc w:val="center"/>
                    <w:rPr>
                      <w:sz w:val="24"/>
                      <w:szCs w:val="24"/>
                    </w:rPr>
                  </w:pPr>
                  <w:r>
                    <w:rPr>
                      <w:sz w:val="24"/>
                      <w:szCs w:val="24"/>
                    </w:rPr>
                    <w:t>1000</w:t>
                  </w:r>
                </w:p>
              </w:tc>
              <w:tc>
                <w:tcPr>
                  <w:tcW w:w="1322" w:type="dxa"/>
                  <w:vMerge w:val="continue"/>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rFonts w:hint="eastAsia"/>
                      <w:sz w:val="24"/>
                    </w:rPr>
                    <w:t>8</w:t>
                  </w:r>
                </w:p>
              </w:tc>
              <w:tc>
                <w:tcPr>
                  <w:tcW w:w="2934" w:type="dxa"/>
                  <w:vAlign w:val="center"/>
                </w:tcPr>
                <w:p>
                  <w:pPr>
                    <w:pStyle w:val="34"/>
                    <w:rPr>
                      <w:sz w:val="24"/>
                    </w:rPr>
                  </w:pPr>
                  <w:r>
                    <w:rPr>
                      <w:rFonts w:hint="eastAsia"/>
                      <w:sz w:val="24"/>
                    </w:rPr>
                    <w:t>小型车</w:t>
                  </w:r>
                </w:p>
              </w:tc>
              <w:tc>
                <w:tcPr>
                  <w:tcW w:w="1273" w:type="dxa"/>
                  <w:vAlign w:val="center"/>
                </w:tcPr>
                <w:p>
                  <w:pPr>
                    <w:pStyle w:val="34"/>
                    <w:rPr>
                      <w:sz w:val="24"/>
                    </w:rPr>
                  </w:pPr>
                  <w:r>
                    <w:rPr>
                      <w:rFonts w:hint="eastAsia"/>
                      <w:sz w:val="24"/>
                    </w:rPr>
                    <w:t>辆</w:t>
                  </w:r>
                </w:p>
              </w:tc>
              <w:tc>
                <w:tcPr>
                  <w:tcW w:w="1507" w:type="dxa"/>
                  <w:vAlign w:val="center"/>
                </w:tcPr>
                <w:p>
                  <w:pPr>
                    <w:spacing w:line="240" w:lineRule="auto"/>
                    <w:ind w:firstLine="0" w:firstLineChars="0"/>
                    <w:jc w:val="center"/>
                    <w:rPr>
                      <w:sz w:val="24"/>
                      <w:szCs w:val="24"/>
                    </w:rPr>
                  </w:pPr>
                  <w:r>
                    <w:rPr>
                      <w:rFonts w:hint="eastAsia"/>
                      <w:sz w:val="24"/>
                      <w:szCs w:val="24"/>
                    </w:rPr>
                    <w:t>17</w:t>
                  </w:r>
                  <w:r>
                    <w:rPr>
                      <w:sz w:val="24"/>
                      <w:szCs w:val="24"/>
                    </w:rPr>
                    <w:t>000</w:t>
                  </w:r>
                </w:p>
              </w:tc>
              <w:tc>
                <w:tcPr>
                  <w:tcW w:w="1322" w:type="dxa"/>
                  <w:vMerge w:val="continue"/>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rFonts w:hint="eastAsia"/>
                      <w:sz w:val="24"/>
                    </w:rPr>
                    <w:t>9</w:t>
                  </w:r>
                </w:p>
              </w:tc>
              <w:tc>
                <w:tcPr>
                  <w:tcW w:w="2934" w:type="dxa"/>
                  <w:vAlign w:val="center"/>
                </w:tcPr>
                <w:p>
                  <w:pPr>
                    <w:pStyle w:val="34"/>
                    <w:rPr>
                      <w:sz w:val="24"/>
                    </w:rPr>
                  </w:pPr>
                  <w:r>
                    <w:rPr>
                      <w:rFonts w:hint="eastAsia"/>
                      <w:sz w:val="24"/>
                    </w:rPr>
                    <w:t>摩托车</w:t>
                  </w:r>
                </w:p>
              </w:tc>
              <w:tc>
                <w:tcPr>
                  <w:tcW w:w="1273" w:type="dxa"/>
                  <w:vAlign w:val="center"/>
                </w:tcPr>
                <w:p>
                  <w:pPr>
                    <w:pStyle w:val="34"/>
                    <w:rPr>
                      <w:sz w:val="24"/>
                    </w:rPr>
                  </w:pPr>
                  <w:r>
                    <w:rPr>
                      <w:rFonts w:hint="eastAsia"/>
                      <w:sz w:val="24"/>
                    </w:rPr>
                    <w:t>辆</w:t>
                  </w:r>
                </w:p>
              </w:tc>
              <w:tc>
                <w:tcPr>
                  <w:tcW w:w="1507" w:type="dxa"/>
                  <w:vAlign w:val="center"/>
                </w:tcPr>
                <w:p>
                  <w:pPr>
                    <w:spacing w:line="240" w:lineRule="auto"/>
                    <w:ind w:firstLine="0" w:firstLineChars="0"/>
                    <w:jc w:val="center"/>
                    <w:rPr>
                      <w:sz w:val="24"/>
                      <w:szCs w:val="24"/>
                    </w:rPr>
                  </w:pPr>
                  <w:r>
                    <w:rPr>
                      <w:rFonts w:hint="eastAsia"/>
                      <w:sz w:val="24"/>
                      <w:szCs w:val="24"/>
                    </w:rPr>
                    <w:t>4</w:t>
                  </w:r>
                  <w:r>
                    <w:rPr>
                      <w:sz w:val="24"/>
                      <w:szCs w:val="24"/>
                    </w:rPr>
                    <w:t>000</w:t>
                  </w:r>
                </w:p>
              </w:tc>
              <w:tc>
                <w:tcPr>
                  <w:tcW w:w="1322" w:type="dxa"/>
                  <w:vMerge w:val="continue"/>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rFonts w:hint="eastAsia"/>
                      <w:sz w:val="24"/>
                    </w:rPr>
                    <w:t>1</w:t>
                  </w:r>
                  <w:r>
                    <w:rPr>
                      <w:sz w:val="24"/>
                    </w:rPr>
                    <w:t>0</w:t>
                  </w:r>
                </w:p>
              </w:tc>
              <w:tc>
                <w:tcPr>
                  <w:tcW w:w="2934" w:type="dxa"/>
                  <w:vAlign w:val="center"/>
                </w:tcPr>
                <w:p>
                  <w:pPr>
                    <w:pStyle w:val="34"/>
                    <w:rPr>
                      <w:sz w:val="24"/>
                    </w:rPr>
                  </w:pPr>
                  <w:r>
                    <w:rPr>
                      <w:rFonts w:hint="eastAsia"/>
                      <w:sz w:val="24"/>
                    </w:rPr>
                    <w:t>水</w:t>
                  </w:r>
                </w:p>
              </w:tc>
              <w:tc>
                <w:tcPr>
                  <w:tcW w:w="1273" w:type="dxa"/>
                  <w:vAlign w:val="center"/>
                </w:tcPr>
                <w:p>
                  <w:pPr>
                    <w:pStyle w:val="34"/>
                    <w:rPr>
                      <w:sz w:val="24"/>
                    </w:rPr>
                  </w:pPr>
                  <w:r>
                    <w:rPr>
                      <w:rFonts w:hint="eastAsia"/>
                      <w:sz w:val="24"/>
                    </w:rPr>
                    <w:t>m</w:t>
                  </w:r>
                  <w:r>
                    <w:rPr>
                      <w:sz w:val="24"/>
                      <w:vertAlign w:val="superscript"/>
                    </w:rPr>
                    <w:t>3</w:t>
                  </w:r>
                </w:p>
              </w:tc>
              <w:tc>
                <w:tcPr>
                  <w:tcW w:w="1507" w:type="dxa"/>
                  <w:vAlign w:val="center"/>
                </w:tcPr>
                <w:p>
                  <w:pPr>
                    <w:spacing w:line="240" w:lineRule="auto"/>
                    <w:ind w:firstLine="0" w:firstLineChars="0"/>
                    <w:jc w:val="center"/>
                    <w:rPr>
                      <w:sz w:val="24"/>
                      <w:szCs w:val="24"/>
                    </w:rPr>
                  </w:pPr>
                  <w:r>
                    <w:rPr>
                      <w:rFonts w:hint="eastAsia"/>
                      <w:sz w:val="24"/>
                      <w:szCs w:val="24"/>
                    </w:rPr>
                    <w:t>1440</w:t>
                  </w:r>
                </w:p>
              </w:tc>
              <w:tc>
                <w:tcPr>
                  <w:tcW w:w="1322" w:type="dxa"/>
                  <w:vAlign w:val="center"/>
                </w:tcPr>
                <w:p>
                  <w:pPr>
                    <w:pStyle w:val="34"/>
                    <w:rPr>
                      <w:sz w:val="24"/>
                    </w:rPr>
                  </w:pPr>
                  <w:r>
                    <w:rPr>
                      <w:rFonts w:hint="eastAsia"/>
                      <w:sz w:val="24"/>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65" w:type="dxa"/>
                  <w:vAlign w:val="center"/>
                </w:tcPr>
                <w:p>
                  <w:pPr>
                    <w:pStyle w:val="34"/>
                    <w:rPr>
                      <w:sz w:val="24"/>
                    </w:rPr>
                  </w:pPr>
                  <w:r>
                    <w:rPr>
                      <w:rFonts w:hint="eastAsia"/>
                      <w:sz w:val="24"/>
                    </w:rPr>
                    <w:t>1</w:t>
                  </w:r>
                  <w:r>
                    <w:rPr>
                      <w:sz w:val="24"/>
                    </w:rPr>
                    <w:t>1</w:t>
                  </w:r>
                </w:p>
              </w:tc>
              <w:tc>
                <w:tcPr>
                  <w:tcW w:w="2934" w:type="dxa"/>
                  <w:vAlign w:val="center"/>
                </w:tcPr>
                <w:p>
                  <w:pPr>
                    <w:pStyle w:val="34"/>
                    <w:rPr>
                      <w:sz w:val="24"/>
                    </w:rPr>
                  </w:pPr>
                  <w:r>
                    <w:rPr>
                      <w:rFonts w:hint="eastAsia"/>
                      <w:sz w:val="24"/>
                    </w:rPr>
                    <w:t>电</w:t>
                  </w:r>
                </w:p>
              </w:tc>
              <w:tc>
                <w:tcPr>
                  <w:tcW w:w="1273" w:type="dxa"/>
                  <w:vAlign w:val="center"/>
                </w:tcPr>
                <w:p>
                  <w:pPr>
                    <w:pStyle w:val="34"/>
                    <w:rPr>
                      <w:sz w:val="24"/>
                    </w:rPr>
                  </w:pPr>
                  <w:r>
                    <w:rPr>
                      <w:rFonts w:hint="eastAsia"/>
                      <w:sz w:val="24"/>
                    </w:rPr>
                    <w:t>万kwh</w:t>
                  </w:r>
                </w:p>
              </w:tc>
              <w:tc>
                <w:tcPr>
                  <w:tcW w:w="1507" w:type="dxa"/>
                  <w:vAlign w:val="center"/>
                </w:tcPr>
                <w:p>
                  <w:pPr>
                    <w:spacing w:line="240" w:lineRule="auto"/>
                    <w:ind w:firstLine="0" w:firstLineChars="0"/>
                    <w:jc w:val="center"/>
                    <w:rPr>
                      <w:sz w:val="24"/>
                      <w:szCs w:val="24"/>
                    </w:rPr>
                  </w:pPr>
                  <w:r>
                    <w:rPr>
                      <w:sz w:val="24"/>
                      <w:szCs w:val="24"/>
                    </w:rPr>
                    <w:t>45</w:t>
                  </w:r>
                </w:p>
              </w:tc>
              <w:tc>
                <w:tcPr>
                  <w:tcW w:w="1322" w:type="dxa"/>
                  <w:vAlign w:val="center"/>
                </w:tcPr>
                <w:p>
                  <w:pPr>
                    <w:pStyle w:val="34"/>
                    <w:rPr>
                      <w:sz w:val="24"/>
                    </w:rPr>
                  </w:pPr>
                  <w:r>
                    <w:rPr>
                      <w:rFonts w:hint="eastAsia"/>
                      <w:sz w:val="24"/>
                    </w:rPr>
                    <w:t>市政供电</w:t>
                  </w:r>
                </w:p>
              </w:tc>
            </w:tr>
          </w:tbl>
          <w:p>
            <w:pPr>
              <w:ind w:firstLine="480"/>
              <w:rPr>
                <w:sz w:val="24"/>
                <w:szCs w:val="24"/>
              </w:rPr>
            </w:pPr>
            <w:r>
              <w:rPr>
                <w:rFonts w:hint="eastAsia"/>
                <w:sz w:val="24"/>
                <w:szCs w:val="24"/>
              </w:rPr>
              <w:t>6、设备清单</w:t>
            </w:r>
          </w:p>
          <w:p>
            <w:pPr>
              <w:ind w:firstLine="480"/>
              <w:rPr>
                <w:sz w:val="24"/>
                <w:szCs w:val="24"/>
              </w:rPr>
            </w:pPr>
            <w:r>
              <w:rPr>
                <w:rFonts w:hint="eastAsia"/>
                <w:kern w:val="16"/>
                <w:sz w:val="24"/>
                <w:szCs w:val="24"/>
              </w:rPr>
              <w:t>本项目</w:t>
            </w:r>
            <w:r>
              <w:rPr>
                <w:rFonts w:hint="eastAsia"/>
                <w:sz w:val="24"/>
                <w:szCs w:val="24"/>
              </w:rPr>
              <w:t>设备清单见表2-5。</w:t>
            </w:r>
          </w:p>
          <w:p>
            <w:pPr>
              <w:pStyle w:val="34"/>
              <w:rPr>
                <w:b/>
                <w:sz w:val="24"/>
              </w:rPr>
            </w:pPr>
            <w:r>
              <w:rPr>
                <w:b/>
                <w:sz w:val="24"/>
              </w:rPr>
              <w:t>表2-</w:t>
            </w:r>
            <w:r>
              <w:rPr>
                <w:rFonts w:hint="eastAsia"/>
                <w:b/>
                <w:sz w:val="24"/>
              </w:rPr>
              <w:t>5</w:t>
            </w:r>
            <w:r>
              <w:rPr>
                <w:b/>
                <w:sz w:val="24"/>
              </w:rPr>
              <w:t xml:space="preserve">  生产设备表</w:t>
            </w:r>
          </w:p>
          <w:tbl>
            <w:tblPr>
              <w:tblStyle w:val="21"/>
              <w:tblW w:w="8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3130"/>
              <w:gridCol w:w="1983"/>
              <w:gridCol w:w="1137"/>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pct10" w:color="auto" w:fill="auto"/>
                  <w:vAlign w:val="center"/>
                </w:tcPr>
                <w:p>
                  <w:pPr>
                    <w:pStyle w:val="34"/>
                    <w:rPr>
                      <w:b/>
                      <w:bCs/>
                      <w:sz w:val="24"/>
                    </w:rPr>
                  </w:pPr>
                  <w:r>
                    <w:rPr>
                      <w:b/>
                      <w:bCs/>
                      <w:sz w:val="24"/>
                    </w:rPr>
                    <w:t>序号</w:t>
                  </w:r>
                </w:p>
              </w:tc>
              <w:tc>
                <w:tcPr>
                  <w:tcW w:w="3130" w:type="dxa"/>
                  <w:shd w:val="pct10" w:color="auto" w:fill="auto"/>
                  <w:vAlign w:val="center"/>
                </w:tcPr>
                <w:p>
                  <w:pPr>
                    <w:pStyle w:val="34"/>
                    <w:rPr>
                      <w:b/>
                      <w:bCs/>
                      <w:sz w:val="24"/>
                    </w:rPr>
                  </w:pPr>
                  <w:r>
                    <w:rPr>
                      <w:b/>
                      <w:bCs/>
                      <w:sz w:val="24"/>
                    </w:rPr>
                    <w:t>设备名称</w:t>
                  </w:r>
                </w:p>
              </w:tc>
              <w:tc>
                <w:tcPr>
                  <w:tcW w:w="1983" w:type="dxa"/>
                  <w:shd w:val="pct10" w:color="auto" w:fill="auto"/>
                  <w:vAlign w:val="center"/>
                </w:tcPr>
                <w:p>
                  <w:pPr>
                    <w:pStyle w:val="34"/>
                    <w:rPr>
                      <w:b/>
                      <w:bCs/>
                      <w:sz w:val="24"/>
                    </w:rPr>
                  </w:pPr>
                  <w:r>
                    <w:rPr>
                      <w:b/>
                      <w:bCs/>
                      <w:sz w:val="24"/>
                    </w:rPr>
                    <w:t>型号</w:t>
                  </w:r>
                  <w:r>
                    <w:rPr>
                      <w:rFonts w:hint="eastAsia"/>
                      <w:b/>
                      <w:bCs/>
                      <w:sz w:val="24"/>
                    </w:rPr>
                    <w:t>/</w:t>
                  </w:r>
                  <w:r>
                    <w:rPr>
                      <w:b/>
                      <w:bCs/>
                      <w:sz w:val="24"/>
                    </w:rPr>
                    <w:t>规格</w:t>
                  </w:r>
                </w:p>
              </w:tc>
              <w:tc>
                <w:tcPr>
                  <w:tcW w:w="1137" w:type="dxa"/>
                  <w:shd w:val="pct10" w:color="auto" w:fill="auto"/>
                  <w:vAlign w:val="center"/>
                </w:tcPr>
                <w:p>
                  <w:pPr>
                    <w:pStyle w:val="34"/>
                    <w:rPr>
                      <w:b/>
                      <w:bCs/>
                      <w:sz w:val="24"/>
                    </w:rPr>
                  </w:pPr>
                  <w:r>
                    <w:rPr>
                      <w:b/>
                      <w:bCs/>
                      <w:sz w:val="24"/>
                    </w:rPr>
                    <w:t>单位</w:t>
                  </w:r>
                </w:p>
              </w:tc>
              <w:tc>
                <w:tcPr>
                  <w:tcW w:w="982" w:type="dxa"/>
                  <w:shd w:val="pct10" w:color="auto" w:fill="auto"/>
                  <w:vAlign w:val="center"/>
                </w:tcPr>
                <w:p>
                  <w:pPr>
                    <w:pStyle w:val="34"/>
                    <w:rPr>
                      <w:b/>
                      <w:bCs/>
                      <w:sz w:val="24"/>
                    </w:rPr>
                  </w:pPr>
                  <w:r>
                    <w:rPr>
                      <w:b/>
                      <w:bCs/>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w:t>
                  </w:r>
                </w:p>
              </w:tc>
              <w:tc>
                <w:tcPr>
                  <w:tcW w:w="3130" w:type="dxa"/>
                  <w:shd w:val="clear" w:color="auto" w:fill="auto"/>
                  <w:vAlign w:val="center"/>
                </w:tcPr>
                <w:p>
                  <w:pPr>
                    <w:pStyle w:val="34"/>
                    <w:rPr>
                      <w:sz w:val="24"/>
                    </w:rPr>
                  </w:pPr>
                  <w:r>
                    <w:rPr>
                      <w:rFonts w:hint="eastAsia"/>
                      <w:sz w:val="24"/>
                    </w:rPr>
                    <w:t>拆车机</w:t>
                  </w:r>
                </w:p>
              </w:tc>
              <w:tc>
                <w:tcPr>
                  <w:tcW w:w="1983" w:type="dxa"/>
                  <w:vAlign w:val="center"/>
                </w:tcPr>
                <w:p>
                  <w:pPr>
                    <w:pStyle w:val="34"/>
                    <w:rPr>
                      <w:sz w:val="24"/>
                    </w:rPr>
                  </w:pPr>
                  <w:r>
                    <w:rPr>
                      <w:rFonts w:hint="eastAsia"/>
                      <w:sz w:val="24"/>
                    </w:rPr>
                    <w:t>1</w:t>
                  </w:r>
                  <w:r>
                    <w:rPr>
                      <w:sz w:val="24"/>
                    </w:rPr>
                    <w:t>3</w:t>
                  </w:r>
                  <w:r>
                    <w:rPr>
                      <w:rFonts w:hint="eastAsia"/>
                      <w:sz w:val="24"/>
                    </w:rPr>
                    <w:t>辆/h</w:t>
                  </w:r>
                </w:p>
              </w:tc>
              <w:tc>
                <w:tcPr>
                  <w:tcW w:w="1137" w:type="dxa"/>
                  <w:vAlign w:val="center"/>
                </w:tcPr>
                <w:p>
                  <w:pPr>
                    <w:pStyle w:val="34"/>
                    <w:rPr>
                      <w:sz w:val="24"/>
                    </w:rPr>
                  </w:pPr>
                  <w:r>
                    <w:rPr>
                      <w:rFonts w:hint="eastAsia"/>
                      <w:sz w:val="24"/>
                    </w:rPr>
                    <w:t>台</w:t>
                  </w:r>
                </w:p>
              </w:tc>
              <w:tc>
                <w:tcPr>
                  <w:tcW w:w="982" w:type="dxa"/>
                  <w:vAlign w:val="center"/>
                </w:tcPr>
                <w:p>
                  <w:pPr>
                    <w:pStyle w:val="34"/>
                    <w:rPr>
                      <w:sz w:val="24"/>
                    </w:rPr>
                  </w:pPr>
                  <w:r>
                    <w:rPr>
                      <w:rFonts w:hint="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2</w:t>
                  </w:r>
                </w:p>
              </w:tc>
              <w:tc>
                <w:tcPr>
                  <w:tcW w:w="3130" w:type="dxa"/>
                  <w:shd w:val="clear" w:color="auto" w:fill="auto"/>
                  <w:vAlign w:val="center"/>
                </w:tcPr>
                <w:p>
                  <w:pPr>
                    <w:pStyle w:val="34"/>
                    <w:rPr>
                      <w:sz w:val="24"/>
                    </w:rPr>
                  </w:pPr>
                  <w:r>
                    <w:rPr>
                      <w:rFonts w:hint="eastAsia"/>
                      <w:sz w:val="24"/>
                    </w:rPr>
                    <w:t>逆变式</w:t>
                  </w:r>
                  <w:r>
                    <w:rPr>
                      <w:sz w:val="24"/>
                    </w:rPr>
                    <w:t>空气</w:t>
                  </w:r>
                  <w:r>
                    <w:rPr>
                      <w:rFonts w:hint="eastAsia"/>
                      <w:sz w:val="24"/>
                    </w:rPr>
                    <w:t>等离子切割机</w:t>
                  </w:r>
                </w:p>
              </w:tc>
              <w:tc>
                <w:tcPr>
                  <w:tcW w:w="1983" w:type="dxa"/>
                  <w:vAlign w:val="center"/>
                </w:tcPr>
                <w:p>
                  <w:pPr>
                    <w:pStyle w:val="34"/>
                    <w:rPr>
                      <w:sz w:val="24"/>
                    </w:rPr>
                  </w:pPr>
                  <w:r>
                    <w:rPr>
                      <w:sz w:val="24"/>
                    </w:rPr>
                    <w:t>LGK-120IGBT</w:t>
                  </w:r>
                </w:p>
              </w:tc>
              <w:tc>
                <w:tcPr>
                  <w:tcW w:w="1137" w:type="dxa"/>
                  <w:vAlign w:val="center"/>
                </w:tcPr>
                <w:p>
                  <w:pPr>
                    <w:pStyle w:val="34"/>
                    <w:rPr>
                      <w:sz w:val="24"/>
                    </w:rPr>
                  </w:pPr>
                  <w:r>
                    <w:rPr>
                      <w:rFonts w:hint="eastAsia"/>
                      <w:sz w:val="24"/>
                    </w:rPr>
                    <w:t>台</w:t>
                  </w:r>
                </w:p>
              </w:tc>
              <w:tc>
                <w:tcPr>
                  <w:tcW w:w="982" w:type="dxa"/>
                  <w:vAlign w:val="center"/>
                </w:tcPr>
                <w:p>
                  <w:pPr>
                    <w:pStyle w:val="34"/>
                    <w:rPr>
                      <w:sz w:val="24"/>
                    </w:rPr>
                  </w:pPr>
                  <w:r>
                    <w:rPr>
                      <w:rFonts w:hint="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3</w:t>
                  </w:r>
                </w:p>
              </w:tc>
              <w:tc>
                <w:tcPr>
                  <w:tcW w:w="3130" w:type="dxa"/>
                  <w:shd w:val="clear" w:color="auto" w:fill="auto"/>
                  <w:vAlign w:val="center"/>
                </w:tcPr>
                <w:p>
                  <w:pPr>
                    <w:pStyle w:val="34"/>
                    <w:rPr>
                      <w:sz w:val="24"/>
                    </w:rPr>
                  </w:pPr>
                  <w:r>
                    <w:rPr>
                      <w:rFonts w:hint="eastAsia"/>
                      <w:sz w:val="24"/>
                    </w:rPr>
                    <w:t>举升机</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sz w:val="24"/>
                    </w:rPr>
                    <w:t>台</w:t>
                  </w:r>
                </w:p>
              </w:tc>
              <w:tc>
                <w:tcPr>
                  <w:tcW w:w="982" w:type="dxa"/>
                  <w:vAlign w:val="center"/>
                </w:tcPr>
                <w:p>
                  <w:pPr>
                    <w:pStyle w:val="34"/>
                    <w:rPr>
                      <w:sz w:val="24"/>
                    </w:rPr>
                  </w:pPr>
                  <w:r>
                    <w:rPr>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4</w:t>
                  </w:r>
                </w:p>
              </w:tc>
              <w:tc>
                <w:tcPr>
                  <w:tcW w:w="3130" w:type="dxa"/>
                  <w:shd w:val="clear" w:color="auto" w:fill="auto"/>
                  <w:vAlign w:val="center"/>
                </w:tcPr>
                <w:p>
                  <w:pPr>
                    <w:pStyle w:val="34"/>
                    <w:rPr>
                      <w:sz w:val="24"/>
                    </w:rPr>
                  </w:pPr>
                  <w:r>
                    <w:rPr>
                      <w:rFonts w:hint="eastAsia"/>
                      <w:sz w:val="24"/>
                    </w:rPr>
                    <w:t>液压</w:t>
                  </w:r>
                  <w:r>
                    <w:rPr>
                      <w:sz w:val="24"/>
                    </w:rPr>
                    <w:t>剪切机</w:t>
                  </w:r>
                </w:p>
              </w:tc>
              <w:tc>
                <w:tcPr>
                  <w:tcW w:w="1983" w:type="dxa"/>
                  <w:vAlign w:val="center"/>
                </w:tcPr>
                <w:p>
                  <w:pPr>
                    <w:pStyle w:val="34"/>
                    <w:rPr>
                      <w:sz w:val="24"/>
                    </w:rPr>
                  </w:pPr>
                  <w:r>
                    <w:rPr>
                      <w:rFonts w:hint="eastAsia"/>
                      <w:sz w:val="24"/>
                    </w:rPr>
                    <w:t>8次/min</w:t>
                  </w:r>
                </w:p>
              </w:tc>
              <w:tc>
                <w:tcPr>
                  <w:tcW w:w="1137" w:type="dxa"/>
                  <w:vAlign w:val="center"/>
                </w:tcPr>
                <w:p>
                  <w:pPr>
                    <w:pStyle w:val="34"/>
                    <w:rPr>
                      <w:sz w:val="24"/>
                    </w:rPr>
                  </w:pPr>
                  <w:r>
                    <w:rPr>
                      <w:rFonts w:hint="eastAsia"/>
                      <w:sz w:val="24"/>
                    </w:rPr>
                    <w:t>台</w:t>
                  </w:r>
                </w:p>
              </w:tc>
              <w:tc>
                <w:tcPr>
                  <w:tcW w:w="982" w:type="dxa"/>
                  <w:vAlign w:val="center"/>
                </w:tcPr>
                <w:p>
                  <w:pPr>
                    <w:pStyle w:val="34"/>
                    <w:rPr>
                      <w:sz w:val="24"/>
                    </w:rPr>
                  </w:pPr>
                  <w:r>
                    <w:rPr>
                      <w:rFonts w:hint="eastAsia"/>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5</w:t>
                  </w:r>
                </w:p>
              </w:tc>
              <w:tc>
                <w:tcPr>
                  <w:tcW w:w="3130" w:type="dxa"/>
                  <w:shd w:val="clear" w:color="auto" w:fill="auto"/>
                  <w:vAlign w:val="center"/>
                </w:tcPr>
                <w:p>
                  <w:pPr>
                    <w:pStyle w:val="34"/>
                    <w:rPr>
                      <w:kern w:val="0"/>
                      <w:sz w:val="24"/>
                    </w:rPr>
                  </w:pPr>
                  <w:r>
                    <w:rPr>
                      <w:rFonts w:hint="eastAsia"/>
                      <w:sz w:val="24"/>
                    </w:rPr>
                    <w:t>拆车剪</w:t>
                  </w:r>
                </w:p>
              </w:tc>
              <w:tc>
                <w:tcPr>
                  <w:tcW w:w="1983" w:type="dxa"/>
                  <w:vAlign w:val="center"/>
                </w:tcPr>
                <w:p>
                  <w:pPr>
                    <w:pStyle w:val="34"/>
                    <w:rPr>
                      <w:kern w:val="0"/>
                      <w:sz w:val="24"/>
                    </w:rPr>
                  </w:pPr>
                  <w:r>
                    <w:rPr>
                      <w:rFonts w:hint="eastAsia"/>
                      <w:kern w:val="0"/>
                      <w:sz w:val="24"/>
                    </w:rPr>
                    <w:t>/</w:t>
                  </w:r>
                </w:p>
              </w:tc>
              <w:tc>
                <w:tcPr>
                  <w:tcW w:w="1137" w:type="dxa"/>
                  <w:vAlign w:val="center"/>
                </w:tcPr>
                <w:p>
                  <w:pPr>
                    <w:pStyle w:val="34"/>
                    <w:rPr>
                      <w:sz w:val="24"/>
                    </w:rPr>
                  </w:pPr>
                  <w:r>
                    <w:rPr>
                      <w:rFonts w:hint="eastAsia"/>
                      <w:sz w:val="24"/>
                    </w:rPr>
                    <w:t>个</w:t>
                  </w:r>
                </w:p>
              </w:tc>
              <w:tc>
                <w:tcPr>
                  <w:tcW w:w="982" w:type="dxa"/>
                  <w:vAlign w:val="center"/>
                </w:tcPr>
                <w:p>
                  <w:pPr>
                    <w:pStyle w:val="34"/>
                    <w:rPr>
                      <w:kern w:val="0"/>
                      <w:sz w:val="24"/>
                    </w:rPr>
                  </w:pPr>
                  <w:r>
                    <w:rPr>
                      <w:rFonts w:hint="eastAsia"/>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6</w:t>
                  </w:r>
                </w:p>
              </w:tc>
              <w:tc>
                <w:tcPr>
                  <w:tcW w:w="3130" w:type="dxa"/>
                  <w:shd w:val="clear" w:color="auto" w:fill="auto"/>
                  <w:vAlign w:val="center"/>
                </w:tcPr>
                <w:p>
                  <w:pPr>
                    <w:pStyle w:val="34"/>
                    <w:rPr>
                      <w:sz w:val="24"/>
                    </w:rPr>
                  </w:pPr>
                  <w:r>
                    <w:rPr>
                      <w:rFonts w:hint="eastAsia"/>
                      <w:sz w:val="24"/>
                    </w:rPr>
                    <w:t>门式剪断机</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sz w:val="24"/>
                    </w:rPr>
                    <w:t>台</w:t>
                  </w:r>
                </w:p>
              </w:tc>
              <w:tc>
                <w:tcPr>
                  <w:tcW w:w="982" w:type="dxa"/>
                  <w:vAlign w:val="center"/>
                </w:tcPr>
                <w:p>
                  <w:pPr>
                    <w:pStyle w:val="34"/>
                    <w:rPr>
                      <w:sz w:val="24"/>
                    </w:rPr>
                  </w:pPr>
                  <w:r>
                    <w:rPr>
                      <w:rFonts w:hint="eastAsia"/>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7</w:t>
                  </w:r>
                </w:p>
              </w:tc>
              <w:tc>
                <w:tcPr>
                  <w:tcW w:w="3130" w:type="dxa"/>
                  <w:shd w:val="clear" w:color="auto" w:fill="auto"/>
                  <w:vAlign w:val="center"/>
                </w:tcPr>
                <w:p>
                  <w:pPr>
                    <w:pStyle w:val="34"/>
                    <w:rPr>
                      <w:sz w:val="24"/>
                    </w:rPr>
                  </w:pPr>
                  <w:r>
                    <w:rPr>
                      <w:rFonts w:hint="eastAsia"/>
                      <w:sz w:val="24"/>
                    </w:rPr>
                    <w:t>抓钢机</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sz w:val="24"/>
                    </w:rPr>
                    <w:t>台</w:t>
                  </w:r>
                </w:p>
              </w:tc>
              <w:tc>
                <w:tcPr>
                  <w:tcW w:w="982" w:type="dxa"/>
                  <w:vAlign w:val="center"/>
                </w:tcPr>
                <w:p>
                  <w:pPr>
                    <w:pStyle w:val="34"/>
                    <w:rPr>
                      <w:sz w:val="24"/>
                    </w:rPr>
                  </w:pPr>
                  <w:r>
                    <w:rPr>
                      <w:rFonts w:hint="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8</w:t>
                  </w:r>
                </w:p>
              </w:tc>
              <w:tc>
                <w:tcPr>
                  <w:tcW w:w="3130" w:type="dxa"/>
                  <w:shd w:val="clear" w:color="auto" w:fill="auto"/>
                  <w:vAlign w:val="center"/>
                </w:tcPr>
                <w:p>
                  <w:pPr>
                    <w:pStyle w:val="34"/>
                    <w:rPr>
                      <w:sz w:val="24"/>
                    </w:rPr>
                  </w:pPr>
                  <w:r>
                    <w:rPr>
                      <w:rFonts w:hint="eastAsia"/>
                      <w:sz w:val="24"/>
                    </w:rPr>
                    <w:t>叉车</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sz w:val="24"/>
                    </w:rPr>
                    <w:t>辆</w:t>
                  </w:r>
                </w:p>
              </w:tc>
              <w:tc>
                <w:tcPr>
                  <w:tcW w:w="982" w:type="dxa"/>
                  <w:vAlign w:val="center"/>
                </w:tcPr>
                <w:p>
                  <w:pPr>
                    <w:pStyle w:val="34"/>
                    <w:rPr>
                      <w:sz w:val="24"/>
                    </w:rPr>
                  </w:pPr>
                  <w:r>
                    <w:rPr>
                      <w:rFonts w:hint="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9</w:t>
                  </w:r>
                </w:p>
              </w:tc>
              <w:tc>
                <w:tcPr>
                  <w:tcW w:w="3130" w:type="dxa"/>
                  <w:shd w:val="clear" w:color="auto" w:fill="auto"/>
                  <w:vAlign w:val="center"/>
                </w:tcPr>
                <w:p>
                  <w:pPr>
                    <w:pStyle w:val="34"/>
                    <w:rPr>
                      <w:sz w:val="24"/>
                    </w:rPr>
                  </w:pPr>
                  <w:r>
                    <w:rPr>
                      <w:rFonts w:hint="eastAsia"/>
                      <w:sz w:val="24"/>
                    </w:rPr>
                    <w:t>行吊车</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sz w:val="24"/>
                    </w:rPr>
                    <w:t>辆</w:t>
                  </w:r>
                </w:p>
              </w:tc>
              <w:tc>
                <w:tcPr>
                  <w:tcW w:w="982" w:type="dxa"/>
                  <w:vAlign w:val="center"/>
                </w:tcPr>
                <w:p>
                  <w:pPr>
                    <w:pStyle w:val="34"/>
                    <w:rPr>
                      <w:sz w:val="24"/>
                    </w:rPr>
                  </w:pPr>
                  <w:r>
                    <w:rPr>
                      <w:rFonts w:hint="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10</w:t>
                  </w:r>
                </w:p>
              </w:tc>
              <w:tc>
                <w:tcPr>
                  <w:tcW w:w="3130" w:type="dxa"/>
                  <w:shd w:val="clear" w:color="auto" w:fill="auto"/>
                  <w:vAlign w:val="center"/>
                </w:tcPr>
                <w:p>
                  <w:pPr>
                    <w:pStyle w:val="34"/>
                    <w:rPr>
                      <w:sz w:val="24"/>
                    </w:rPr>
                  </w:pPr>
                  <w:r>
                    <w:rPr>
                      <w:rFonts w:hint="eastAsia"/>
                      <w:sz w:val="24"/>
                    </w:rPr>
                    <w:t>绝缘剪</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sz w:val="24"/>
                    </w:rPr>
                    <w:t>个</w:t>
                  </w:r>
                </w:p>
              </w:tc>
              <w:tc>
                <w:tcPr>
                  <w:tcW w:w="982" w:type="dxa"/>
                  <w:vAlign w:val="center"/>
                </w:tcPr>
                <w:p>
                  <w:pPr>
                    <w:pStyle w:val="34"/>
                    <w:rPr>
                      <w:sz w:val="24"/>
                    </w:rPr>
                  </w:pPr>
                  <w:r>
                    <w:rPr>
                      <w:rFonts w:hint="eastAsia"/>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11</w:t>
                  </w:r>
                </w:p>
              </w:tc>
              <w:tc>
                <w:tcPr>
                  <w:tcW w:w="3130" w:type="dxa"/>
                  <w:shd w:val="clear" w:color="auto" w:fill="auto"/>
                  <w:vAlign w:val="center"/>
                </w:tcPr>
                <w:p>
                  <w:pPr>
                    <w:pStyle w:val="34"/>
                    <w:rPr>
                      <w:sz w:val="24"/>
                    </w:rPr>
                  </w:pPr>
                  <w:r>
                    <w:rPr>
                      <w:rFonts w:hint="eastAsia"/>
                      <w:sz w:val="24"/>
                    </w:rPr>
                    <w:t>拖运车</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sz w:val="24"/>
                    </w:rPr>
                    <w:t>辆</w:t>
                  </w:r>
                </w:p>
              </w:tc>
              <w:tc>
                <w:tcPr>
                  <w:tcW w:w="982" w:type="dxa"/>
                  <w:vAlign w:val="center"/>
                </w:tcPr>
                <w:p>
                  <w:pPr>
                    <w:pStyle w:val="34"/>
                    <w:rPr>
                      <w:sz w:val="24"/>
                    </w:rPr>
                  </w:pPr>
                  <w:r>
                    <w:rPr>
                      <w:rFonts w:hint="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12</w:t>
                  </w:r>
                </w:p>
              </w:tc>
              <w:tc>
                <w:tcPr>
                  <w:tcW w:w="3130" w:type="dxa"/>
                  <w:shd w:val="clear" w:color="auto" w:fill="auto"/>
                  <w:vAlign w:val="center"/>
                </w:tcPr>
                <w:p>
                  <w:pPr>
                    <w:pStyle w:val="34"/>
                    <w:rPr>
                      <w:sz w:val="24"/>
                    </w:rPr>
                  </w:pPr>
                  <w:r>
                    <w:rPr>
                      <w:rFonts w:hint="eastAsia"/>
                      <w:sz w:val="24"/>
                    </w:rPr>
                    <w:t>气动抽接油机</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sz w:val="24"/>
                    </w:rPr>
                    <w:t>台</w:t>
                  </w:r>
                </w:p>
              </w:tc>
              <w:tc>
                <w:tcPr>
                  <w:tcW w:w="982" w:type="dxa"/>
                  <w:vAlign w:val="center"/>
                </w:tcPr>
                <w:p>
                  <w:pPr>
                    <w:pStyle w:val="34"/>
                    <w:rPr>
                      <w:sz w:val="24"/>
                    </w:rPr>
                  </w:pPr>
                  <w:r>
                    <w:rPr>
                      <w:rFonts w:hint="eastAsia"/>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13</w:t>
                  </w:r>
                </w:p>
              </w:tc>
              <w:tc>
                <w:tcPr>
                  <w:tcW w:w="3130" w:type="dxa"/>
                  <w:shd w:val="clear" w:color="auto" w:fill="auto"/>
                  <w:vAlign w:val="center"/>
                </w:tcPr>
                <w:p>
                  <w:pPr>
                    <w:pStyle w:val="34"/>
                    <w:rPr>
                      <w:kern w:val="0"/>
                      <w:sz w:val="24"/>
                    </w:rPr>
                  </w:pPr>
                  <w:r>
                    <w:rPr>
                      <w:rFonts w:hint="eastAsia"/>
                      <w:sz w:val="24"/>
                    </w:rPr>
                    <w:t>断电阀</w:t>
                  </w:r>
                </w:p>
              </w:tc>
              <w:tc>
                <w:tcPr>
                  <w:tcW w:w="1983" w:type="dxa"/>
                  <w:vAlign w:val="center"/>
                </w:tcPr>
                <w:p>
                  <w:pPr>
                    <w:pStyle w:val="34"/>
                    <w:rPr>
                      <w:kern w:val="0"/>
                      <w:sz w:val="24"/>
                    </w:rPr>
                  </w:pPr>
                  <w:r>
                    <w:rPr>
                      <w:rFonts w:hint="eastAsia"/>
                      <w:kern w:val="0"/>
                      <w:sz w:val="24"/>
                    </w:rPr>
                    <w:t>/</w:t>
                  </w:r>
                </w:p>
              </w:tc>
              <w:tc>
                <w:tcPr>
                  <w:tcW w:w="1137" w:type="dxa"/>
                  <w:vAlign w:val="center"/>
                </w:tcPr>
                <w:p>
                  <w:pPr>
                    <w:pStyle w:val="34"/>
                    <w:rPr>
                      <w:sz w:val="24"/>
                    </w:rPr>
                  </w:pPr>
                  <w:r>
                    <w:rPr>
                      <w:rFonts w:hint="eastAsia"/>
                      <w:sz w:val="24"/>
                    </w:rPr>
                    <w:t>个</w:t>
                  </w:r>
                </w:p>
              </w:tc>
              <w:tc>
                <w:tcPr>
                  <w:tcW w:w="982" w:type="dxa"/>
                  <w:vAlign w:val="center"/>
                </w:tcPr>
                <w:p>
                  <w:pPr>
                    <w:pStyle w:val="34"/>
                    <w:rPr>
                      <w:kern w:val="0"/>
                      <w:sz w:val="24"/>
                    </w:rPr>
                  </w:pPr>
                  <w:r>
                    <w:rPr>
                      <w:rFonts w:hint="eastAsia"/>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14</w:t>
                  </w:r>
                </w:p>
              </w:tc>
              <w:tc>
                <w:tcPr>
                  <w:tcW w:w="3130" w:type="dxa"/>
                  <w:shd w:val="clear" w:color="auto" w:fill="auto"/>
                  <w:vAlign w:val="center"/>
                </w:tcPr>
                <w:p>
                  <w:pPr>
                    <w:pStyle w:val="34"/>
                    <w:rPr>
                      <w:kern w:val="0"/>
                      <w:sz w:val="24"/>
                    </w:rPr>
                  </w:pPr>
                  <w:r>
                    <w:rPr>
                      <w:rFonts w:hint="eastAsia"/>
                      <w:sz w:val="24"/>
                    </w:rPr>
                    <w:t>真空</w:t>
                  </w:r>
                  <w:r>
                    <w:rPr>
                      <w:sz w:val="24"/>
                    </w:rPr>
                    <w:t>抽油机</w:t>
                  </w:r>
                </w:p>
              </w:tc>
              <w:tc>
                <w:tcPr>
                  <w:tcW w:w="1983" w:type="dxa"/>
                  <w:vAlign w:val="center"/>
                </w:tcPr>
                <w:p>
                  <w:pPr>
                    <w:pStyle w:val="34"/>
                    <w:rPr>
                      <w:kern w:val="0"/>
                      <w:sz w:val="24"/>
                    </w:rPr>
                  </w:pPr>
                  <w:r>
                    <w:rPr>
                      <w:rFonts w:hint="eastAsia"/>
                      <w:kern w:val="0"/>
                      <w:sz w:val="24"/>
                    </w:rPr>
                    <w:t>/</w:t>
                  </w:r>
                </w:p>
              </w:tc>
              <w:tc>
                <w:tcPr>
                  <w:tcW w:w="1137" w:type="dxa"/>
                  <w:vAlign w:val="center"/>
                </w:tcPr>
                <w:p>
                  <w:pPr>
                    <w:pStyle w:val="34"/>
                    <w:rPr>
                      <w:sz w:val="24"/>
                    </w:rPr>
                  </w:pPr>
                  <w:r>
                    <w:rPr>
                      <w:rFonts w:hint="eastAsia"/>
                      <w:sz w:val="24"/>
                    </w:rPr>
                    <w:t>台</w:t>
                  </w:r>
                </w:p>
              </w:tc>
              <w:tc>
                <w:tcPr>
                  <w:tcW w:w="982" w:type="dxa"/>
                  <w:vAlign w:val="center"/>
                </w:tcPr>
                <w:p>
                  <w:pPr>
                    <w:pStyle w:val="34"/>
                    <w:rPr>
                      <w:kern w:val="0"/>
                      <w:sz w:val="24"/>
                    </w:rPr>
                  </w:pPr>
                  <w:r>
                    <w:rPr>
                      <w:rFonts w:hint="eastAsia"/>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15</w:t>
                  </w:r>
                </w:p>
              </w:tc>
              <w:tc>
                <w:tcPr>
                  <w:tcW w:w="3130" w:type="dxa"/>
                  <w:shd w:val="clear" w:color="auto" w:fill="auto"/>
                  <w:vAlign w:val="center"/>
                </w:tcPr>
                <w:p>
                  <w:pPr>
                    <w:pStyle w:val="34"/>
                    <w:rPr>
                      <w:kern w:val="0"/>
                      <w:sz w:val="24"/>
                    </w:rPr>
                  </w:pPr>
                  <w:r>
                    <w:rPr>
                      <w:rFonts w:hint="eastAsia"/>
                      <w:sz w:val="24"/>
                    </w:rPr>
                    <w:t>塑料接口制冷剂</w:t>
                  </w:r>
                  <w:r>
                    <w:rPr>
                      <w:sz w:val="24"/>
                    </w:rPr>
                    <w:t>回收机</w:t>
                  </w:r>
                </w:p>
              </w:tc>
              <w:tc>
                <w:tcPr>
                  <w:tcW w:w="1983" w:type="dxa"/>
                  <w:vAlign w:val="center"/>
                </w:tcPr>
                <w:p>
                  <w:pPr>
                    <w:pStyle w:val="34"/>
                    <w:rPr>
                      <w:kern w:val="0"/>
                      <w:sz w:val="24"/>
                    </w:rPr>
                  </w:pPr>
                  <w:r>
                    <w:rPr>
                      <w:rFonts w:hint="eastAsia"/>
                      <w:kern w:val="0"/>
                      <w:sz w:val="24"/>
                    </w:rPr>
                    <w:t>/</w:t>
                  </w:r>
                </w:p>
              </w:tc>
              <w:tc>
                <w:tcPr>
                  <w:tcW w:w="1137" w:type="dxa"/>
                  <w:vAlign w:val="center"/>
                </w:tcPr>
                <w:p>
                  <w:pPr>
                    <w:pStyle w:val="34"/>
                    <w:rPr>
                      <w:sz w:val="24"/>
                    </w:rPr>
                  </w:pPr>
                  <w:r>
                    <w:rPr>
                      <w:rFonts w:hint="eastAsia"/>
                      <w:sz w:val="24"/>
                    </w:rPr>
                    <w:t>台</w:t>
                  </w:r>
                </w:p>
              </w:tc>
              <w:tc>
                <w:tcPr>
                  <w:tcW w:w="982" w:type="dxa"/>
                  <w:vAlign w:val="center"/>
                </w:tcPr>
                <w:p>
                  <w:pPr>
                    <w:pStyle w:val="34"/>
                    <w:rPr>
                      <w:kern w:val="0"/>
                      <w:sz w:val="24"/>
                    </w:rPr>
                  </w:pPr>
                  <w:r>
                    <w:rPr>
                      <w:rFonts w:hint="eastAsia"/>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16</w:t>
                  </w:r>
                </w:p>
              </w:tc>
              <w:tc>
                <w:tcPr>
                  <w:tcW w:w="3130" w:type="dxa"/>
                  <w:shd w:val="clear" w:color="auto" w:fill="auto"/>
                  <w:vAlign w:val="center"/>
                </w:tcPr>
                <w:p>
                  <w:pPr>
                    <w:pStyle w:val="34"/>
                    <w:rPr>
                      <w:kern w:val="0"/>
                      <w:sz w:val="24"/>
                    </w:rPr>
                  </w:pPr>
                  <w:r>
                    <w:rPr>
                      <w:rFonts w:hint="eastAsia"/>
                      <w:kern w:val="0"/>
                      <w:sz w:val="24"/>
                    </w:rPr>
                    <w:t>双轴撕碎机</w:t>
                  </w:r>
                </w:p>
              </w:tc>
              <w:tc>
                <w:tcPr>
                  <w:tcW w:w="1983" w:type="dxa"/>
                  <w:vAlign w:val="center"/>
                </w:tcPr>
                <w:p>
                  <w:pPr>
                    <w:pStyle w:val="34"/>
                    <w:rPr>
                      <w:kern w:val="0"/>
                      <w:sz w:val="24"/>
                    </w:rPr>
                  </w:pPr>
                  <w:r>
                    <w:rPr>
                      <w:rFonts w:hint="eastAsia"/>
                      <w:kern w:val="0"/>
                      <w:sz w:val="24"/>
                    </w:rPr>
                    <w:t>/</w:t>
                  </w:r>
                </w:p>
              </w:tc>
              <w:tc>
                <w:tcPr>
                  <w:tcW w:w="1137" w:type="dxa"/>
                  <w:vAlign w:val="center"/>
                </w:tcPr>
                <w:p>
                  <w:pPr>
                    <w:pStyle w:val="34"/>
                    <w:rPr>
                      <w:kern w:val="0"/>
                      <w:sz w:val="24"/>
                    </w:rPr>
                  </w:pPr>
                  <w:r>
                    <w:rPr>
                      <w:rFonts w:hint="eastAsia"/>
                      <w:kern w:val="0"/>
                      <w:sz w:val="24"/>
                    </w:rPr>
                    <w:t>台</w:t>
                  </w:r>
                </w:p>
              </w:tc>
              <w:tc>
                <w:tcPr>
                  <w:tcW w:w="982" w:type="dxa"/>
                  <w:vAlign w:val="center"/>
                </w:tcPr>
                <w:p>
                  <w:pPr>
                    <w:pStyle w:val="34"/>
                    <w:rPr>
                      <w:kern w:val="0"/>
                      <w:sz w:val="24"/>
                    </w:rPr>
                  </w:pPr>
                  <w:r>
                    <w:rPr>
                      <w:rFonts w:hint="eastAsia"/>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17</w:t>
                  </w:r>
                </w:p>
              </w:tc>
              <w:tc>
                <w:tcPr>
                  <w:tcW w:w="3130" w:type="dxa"/>
                  <w:shd w:val="clear" w:color="auto" w:fill="auto"/>
                  <w:vAlign w:val="center"/>
                </w:tcPr>
                <w:p>
                  <w:pPr>
                    <w:pStyle w:val="34"/>
                    <w:rPr>
                      <w:sz w:val="24"/>
                    </w:rPr>
                  </w:pPr>
                  <w:r>
                    <w:rPr>
                      <w:rFonts w:hint="eastAsia"/>
                      <w:sz w:val="24"/>
                    </w:rPr>
                    <w:t>立式撕碎机</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kern w:val="0"/>
                      <w:sz w:val="24"/>
                    </w:rPr>
                    <w:t>台</w:t>
                  </w:r>
                </w:p>
              </w:tc>
              <w:tc>
                <w:tcPr>
                  <w:tcW w:w="982" w:type="dxa"/>
                  <w:vAlign w:val="center"/>
                </w:tcPr>
                <w:p>
                  <w:pPr>
                    <w:pStyle w:val="34"/>
                    <w:rPr>
                      <w:kern w:val="0"/>
                      <w:sz w:val="24"/>
                    </w:rPr>
                  </w:pPr>
                  <w:r>
                    <w:rPr>
                      <w:kern w:val="0"/>
                      <w:sz w:val="24"/>
                    </w:rPr>
                    <w:t>1</w:t>
                  </w:r>
                  <w:r>
                    <w:rPr>
                      <w:rFonts w:hint="eastAsia"/>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18</w:t>
                  </w:r>
                </w:p>
              </w:tc>
              <w:tc>
                <w:tcPr>
                  <w:tcW w:w="3130" w:type="dxa"/>
                  <w:shd w:val="clear" w:color="auto" w:fill="auto"/>
                  <w:vAlign w:val="center"/>
                </w:tcPr>
                <w:p>
                  <w:pPr>
                    <w:pStyle w:val="34"/>
                    <w:rPr>
                      <w:sz w:val="24"/>
                    </w:rPr>
                  </w:pPr>
                  <w:r>
                    <w:rPr>
                      <w:rFonts w:hint="eastAsia"/>
                      <w:sz w:val="24"/>
                    </w:rPr>
                    <w:t>压缩机</w:t>
                  </w:r>
                </w:p>
              </w:tc>
              <w:tc>
                <w:tcPr>
                  <w:tcW w:w="1983" w:type="dxa"/>
                  <w:vAlign w:val="center"/>
                </w:tcPr>
                <w:p>
                  <w:pPr>
                    <w:pStyle w:val="34"/>
                    <w:rPr>
                      <w:kern w:val="0"/>
                      <w:sz w:val="24"/>
                    </w:rPr>
                  </w:pPr>
                  <w:r>
                    <w:rPr>
                      <w:rFonts w:hint="eastAsia"/>
                      <w:kern w:val="0"/>
                      <w:sz w:val="24"/>
                    </w:rPr>
                    <w:t>/</w:t>
                  </w:r>
                </w:p>
              </w:tc>
              <w:tc>
                <w:tcPr>
                  <w:tcW w:w="1137" w:type="dxa"/>
                  <w:vAlign w:val="center"/>
                </w:tcPr>
                <w:p>
                  <w:pPr>
                    <w:pStyle w:val="34"/>
                    <w:rPr>
                      <w:sz w:val="24"/>
                    </w:rPr>
                  </w:pPr>
                  <w:r>
                    <w:rPr>
                      <w:rFonts w:hint="eastAsia"/>
                      <w:kern w:val="0"/>
                      <w:sz w:val="24"/>
                    </w:rPr>
                    <w:t>台</w:t>
                  </w:r>
                </w:p>
              </w:tc>
              <w:tc>
                <w:tcPr>
                  <w:tcW w:w="982" w:type="dxa"/>
                  <w:vAlign w:val="center"/>
                </w:tcPr>
                <w:p>
                  <w:pPr>
                    <w:pStyle w:val="34"/>
                    <w:rPr>
                      <w:kern w:val="0"/>
                      <w:sz w:val="24"/>
                    </w:rPr>
                  </w:pPr>
                  <w:r>
                    <w:rPr>
                      <w:rFonts w:hint="eastAsia"/>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19</w:t>
                  </w:r>
                </w:p>
              </w:tc>
              <w:tc>
                <w:tcPr>
                  <w:tcW w:w="3130" w:type="dxa"/>
                  <w:shd w:val="clear" w:color="auto" w:fill="auto"/>
                  <w:vAlign w:val="center"/>
                </w:tcPr>
                <w:p>
                  <w:pPr>
                    <w:pStyle w:val="34"/>
                    <w:rPr>
                      <w:sz w:val="24"/>
                    </w:rPr>
                  </w:pPr>
                  <w:r>
                    <w:rPr>
                      <w:rFonts w:hint="eastAsia"/>
                      <w:sz w:val="24"/>
                    </w:rPr>
                    <w:t>螺旋传送机</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kern w:val="0"/>
                      <w:sz w:val="24"/>
                    </w:rPr>
                    <w:t>台</w:t>
                  </w:r>
                </w:p>
              </w:tc>
              <w:tc>
                <w:tcPr>
                  <w:tcW w:w="982" w:type="dxa"/>
                  <w:vAlign w:val="center"/>
                </w:tcPr>
                <w:p>
                  <w:pPr>
                    <w:pStyle w:val="34"/>
                    <w:rPr>
                      <w:kern w:val="0"/>
                      <w:sz w:val="24"/>
                    </w:rPr>
                  </w:pPr>
                  <w:r>
                    <w:rPr>
                      <w:rFonts w:hint="eastAsia"/>
                      <w:kern w:val="0"/>
                      <w:sz w:val="24"/>
                    </w:rPr>
                    <w:t>1</w:t>
                  </w:r>
                  <w:r>
                    <w:rPr>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20</w:t>
                  </w:r>
                </w:p>
              </w:tc>
              <w:tc>
                <w:tcPr>
                  <w:tcW w:w="3130" w:type="dxa"/>
                  <w:shd w:val="clear" w:color="auto" w:fill="auto"/>
                  <w:vAlign w:val="center"/>
                </w:tcPr>
                <w:p>
                  <w:pPr>
                    <w:pStyle w:val="34"/>
                    <w:rPr>
                      <w:sz w:val="24"/>
                    </w:rPr>
                  </w:pPr>
                  <w:r>
                    <w:rPr>
                      <w:rFonts w:hint="eastAsia"/>
                      <w:sz w:val="24"/>
                    </w:rPr>
                    <w:t>自动化设备集中控制系统</w:t>
                  </w:r>
                </w:p>
              </w:tc>
              <w:tc>
                <w:tcPr>
                  <w:tcW w:w="1983" w:type="dxa"/>
                  <w:vAlign w:val="center"/>
                </w:tcPr>
                <w:p>
                  <w:pPr>
                    <w:pStyle w:val="34"/>
                    <w:rPr>
                      <w:sz w:val="24"/>
                    </w:rPr>
                  </w:pPr>
                  <w:r>
                    <w:rPr>
                      <w:rFonts w:hint="eastAsia"/>
                      <w:sz w:val="24"/>
                    </w:rPr>
                    <w:t>/</w:t>
                  </w:r>
                </w:p>
              </w:tc>
              <w:tc>
                <w:tcPr>
                  <w:tcW w:w="1137" w:type="dxa"/>
                  <w:vAlign w:val="center"/>
                </w:tcPr>
                <w:p>
                  <w:pPr>
                    <w:pStyle w:val="34"/>
                    <w:rPr>
                      <w:sz w:val="24"/>
                    </w:rPr>
                  </w:pPr>
                  <w:r>
                    <w:rPr>
                      <w:rFonts w:hint="eastAsia"/>
                      <w:sz w:val="24"/>
                    </w:rPr>
                    <w:t>套</w:t>
                  </w:r>
                </w:p>
              </w:tc>
              <w:tc>
                <w:tcPr>
                  <w:tcW w:w="982" w:type="dxa"/>
                  <w:vAlign w:val="center"/>
                </w:tcPr>
                <w:p>
                  <w:pPr>
                    <w:pStyle w:val="34"/>
                    <w:rPr>
                      <w:kern w:val="0"/>
                      <w:sz w:val="24"/>
                    </w:rPr>
                  </w:pPr>
                  <w:r>
                    <w:rPr>
                      <w:rFonts w:hint="eastAsia"/>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9" w:type="dxa"/>
                  <w:shd w:val="clear" w:color="auto" w:fill="auto"/>
                  <w:vAlign w:val="center"/>
                </w:tcPr>
                <w:p>
                  <w:pPr>
                    <w:pStyle w:val="34"/>
                    <w:rPr>
                      <w:sz w:val="24"/>
                    </w:rPr>
                  </w:pPr>
                  <w:r>
                    <w:rPr>
                      <w:rFonts w:hint="eastAsia"/>
                      <w:sz w:val="24"/>
                    </w:rPr>
                    <w:t>21</w:t>
                  </w:r>
                </w:p>
              </w:tc>
              <w:tc>
                <w:tcPr>
                  <w:tcW w:w="3130" w:type="dxa"/>
                  <w:shd w:val="clear" w:color="auto" w:fill="auto"/>
                  <w:vAlign w:val="center"/>
                </w:tcPr>
                <w:p>
                  <w:pPr>
                    <w:pStyle w:val="34"/>
                    <w:rPr>
                      <w:sz w:val="24"/>
                    </w:rPr>
                  </w:pPr>
                  <w:r>
                    <w:rPr>
                      <w:rFonts w:hint="eastAsia"/>
                      <w:sz w:val="24"/>
                    </w:rPr>
                    <w:t>风机</w:t>
                  </w:r>
                </w:p>
              </w:tc>
              <w:tc>
                <w:tcPr>
                  <w:tcW w:w="1983" w:type="dxa"/>
                  <w:vAlign w:val="center"/>
                </w:tcPr>
                <w:p>
                  <w:pPr>
                    <w:pStyle w:val="34"/>
                    <w:rPr>
                      <w:sz w:val="24"/>
                    </w:rPr>
                  </w:pPr>
                  <w:r>
                    <w:rPr>
                      <w:rFonts w:hint="eastAsia"/>
                      <w:sz w:val="24"/>
                    </w:rPr>
                    <w:t>配套</w:t>
                  </w:r>
                </w:p>
              </w:tc>
              <w:tc>
                <w:tcPr>
                  <w:tcW w:w="1137" w:type="dxa"/>
                  <w:vAlign w:val="center"/>
                </w:tcPr>
                <w:p>
                  <w:pPr>
                    <w:pStyle w:val="34"/>
                    <w:rPr>
                      <w:sz w:val="24"/>
                    </w:rPr>
                  </w:pPr>
                  <w:r>
                    <w:rPr>
                      <w:rFonts w:hint="eastAsia"/>
                      <w:sz w:val="24"/>
                    </w:rPr>
                    <w:t>台</w:t>
                  </w:r>
                </w:p>
              </w:tc>
              <w:tc>
                <w:tcPr>
                  <w:tcW w:w="982" w:type="dxa"/>
                  <w:vAlign w:val="center"/>
                </w:tcPr>
                <w:p>
                  <w:pPr>
                    <w:pStyle w:val="34"/>
                    <w:rPr>
                      <w:kern w:val="0"/>
                      <w:sz w:val="24"/>
                    </w:rPr>
                  </w:pPr>
                  <w:r>
                    <w:rPr>
                      <w:rFonts w:hint="eastAsia"/>
                      <w:kern w:val="0"/>
                      <w:sz w:val="24"/>
                    </w:rPr>
                    <w:t xml:space="preserve">25 </w:t>
                  </w:r>
                </w:p>
              </w:tc>
            </w:tr>
          </w:tbl>
          <w:p>
            <w:pPr>
              <w:ind w:firstLine="480"/>
              <w:rPr>
                <w:sz w:val="24"/>
                <w:szCs w:val="24"/>
              </w:rPr>
            </w:pPr>
            <w:r>
              <w:rPr>
                <w:sz w:val="24"/>
                <w:szCs w:val="24"/>
              </w:rPr>
              <w:t>7、公用工程</w:t>
            </w:r>
          </w:p>
          <w:p>
            <w:pPr>
              <w:ind w:firstLine="480"/>
              <w:rPr>
                <w:sz w:val="24"/>
                <w:szCs w:val="24"/>
              </w:rPr>
            </w:pPr>
            <w:r>
              <w:rPr>
                <w:rFonts w:hint="eastAsia"/>
                <w:sz w:val="24"/>
                <w:szCs w:val="24"/>
              </w:rPr>
              <w:t>供电：</w:t>
            </w:r>
            <w:r>
              <w:rPr>
                <w:sz w:val="24"/>
                <w:szCs w:val="24"/>
              </w:rPr>
              <w:t>用电依托</w:t>
            </w:r>
            <w:r>
              <w:rPr>
                <w:rFonts w:hint="eastAsia"/>
                <w:sz w:val="24"/>
                <w:szCs w:val="24"/>
              </w:rPr>
              <w:t>市政</w:t>
            </w:r>
            <w:r>
              <w:rPr>
                <w:sz w:val="24"/>
                <w:szCs w:val="24"/>
              </w:rPr>
              <w:t>电网，年用电量45万KW·h。</w:t>
            </w:r>
          </w:p>
          <w:p>
            <w:pPr>
              <w:ind w:firstLine="480"/>
              <w:rPr>
                <w:sz w:val="24"/>
                <w:szCs w:val="24"/>
              </w:rPr>
            </w:pPr>
            <w:r>
              <w:rPr>
                <w:rFonts w:hint="eastAsia"/>
                <w:sz w:val="24"/>
                <w:szCs w:val="24"/>
              </w:rPr>
              <w:t>给排水：本项目用水由周边管网供给。</w:t>
            </w:r>
            <w:r>
              <w:rPr>
                <w:sz w:val="24"/>
                <w:szCs w:val="24"/>
              </w:rPr>
              <w:t>用水</w:t>
            </w:r>
            <w:r>
              <w:rPr>
                <w:rFonts w:hint="eastAsia"/>
                <w:sz w:val="24"/>
                <w:szCs w:val="24"/>
              </w:rPr>
              <w:t>主要为</w:t>
            </w:r>
            <w:r>
              <w:rPr>
                <w:sz w:val="24"/>
                <w:szCs w:val="24"/>
              </w:rPr>
              <w:t>生活用水及车间清洗用水</w:t>
            </w:r>
            <w:r>
              <w:rPr>
                <w:rFonts w:hint="eastAsia"/>
                <w:sz w:val="24"/>
                <w:szCs w:val="24"/>
              </w:rPr>
              <w:t>。</w:t>
            </w:r>
          </w:p>
          <w:p>
            <w:pPr>
              <w:ind w:firstLine="480"/>
              <w:rPr>
                <w:sz w:val="24"/>
                <w:szCs w:val="24"/>
              </w:rPr>
            </w:pPr>
            <w:r>
              <w:rPr>
                <w:sz w:val="24"/>
                <w:szCs w:val="24"/>
              </w:rPr>
              <w:t>本项目</w:t>
            </w:r>
            <w:r>
              <w:rPr>
                <w:rFonts w:hint="eastAsia"/>
                <w:sz w:val="24"/>
                <w:szCs w:val="24"/>
              </w:rPr>
              <w:t>劳动定员</w:t>
            </w:r>
            <w:r>
              <w:rPr>
                <w:sz w:val="24"/>
                <w:szCs w:val="24"/>
              </w:rPr>
              <w:t>40</w:t>
            </w:r>
            <w:r>
              <w:rPr>
                <w:rFonts w:hint="eastAsia"/>
                <w:sz w:val="24"/>
                <w:szCs w:val="24"/>
              </w:rPr>
              <w:t>人，采取三班制，每日在岗人数按3</w:t>
            </w:r>
            <w:r>
              <w:rPr>
                <w:sz w:val="24"/>
                <w:szCs w:val="24"/>
              </w:rPr>
              <w:t>0</w:t>
            </w:r>
            <w:r>
              <w:rPr>
                <w:rFonts w:hint="eastAsia"/>
                <w:sz w:val="24"/>
                <w:szCs w:val="24"/>
              </w:rPr>
              <w:t>人计算，员工生活用水</w:t>
            </w:r>
            <w:r>
              <w:rPr>
                <w:sz w:val="24"/>
                <w:szCs w:val="24"/>
              </w:rPr>
              <w:t>按80L/人</w:t>
            </w:r>
            <w:r>
              <w:rPr>
                <w:rFonts w:hint="eastAsia" w:ascii="MS Mincho" w:hAnsi="MS Mincho" w:eastAsia="MS Mincho" w:cs="MS Mincho"/>
                <w:sz w:val="24"/>
                <w:szCs w:val="24"/>
              </w:rPr>
              <w:t>・</w:t>
            </w:r>
            <w:r>
              <w:rPr>
                <w:rFonts w:hint="eastAsia" w:ascii="宋体" w:hAnsi="宋体" w:cs="宋体"/>
                <w:sz w:val="24"/>
                <w:szCs w:val="24"/>
              </w:rPr>
              <w:t>天计</w:t>
            </w:r>
            <w:r>
              <w:rPr>
                <w:sz w:val="24"/>
                <w:szCs w:val="24"/>
              </w:rPr>
              <w:t>，则职工生活用水量为2.40m</w:t>
            </w:r>
            <w:r>
              <w:rPr>
                <w:sz w:val="24"/>
                <w:szCs w:val="24"/>
                <w:vertAlign w:val="superscript"/>
              </w:rPr>
              <w:t>3</w:t>
            </w:r>
            <w:r>
              <w:rPr>
                <w:sz w:val="24"/>
                <w:szCs w:val="24"/>
              </w:rPr>
              <w:t>/d</w:t>
            </w:r>
            <w:r>
              <w:rPr>
                <w:rFonts w:hint="eastAsia"/>
                <w:sz w:val="24"/>
                <w:szCs w:val="24"/>
              </w:rPr>
              <w:t>，720</w:t>
            </w:r>
            <w:r>
              <w:rPr>
                <w:sz w:val="24"/>
                <w:szCs w:val="24"/>
              </w:rPr>
              <w:t>m</w:t>
            </w:r>
            <w:r>
              <w:rPr>
                <w:sz w:val="24"/>
                <w:szCs w:val="24"/>
                <w:vertAlign w:val="superscript"/>
              </w:rPr>
              <w:t>3</w:t>
            </w:r>
            <w:r>
              <w:rPr>
                <w:sz w:val="24"/>
                <w:szCs w:val="24"/>
              </w:rPr>
              <w:t>/a。生活污水产生系数按照0.8计，则</w:t>
            </w:r>
            <w:r>
              <w:rPr>
                <w:rFonts w:hint="eastAsia"/>
                <w:sz w:val="24"/>
                <w:szCs w:val="24"/>
              </w:rPr>
              <w:t>生活污水</w:t>
            </w:r>
            <w:r>
              <w:rPr>
                <w:sz w:val="24"/>
                <w:szCs w:val="24"/>
              </w:rPr>
              <w:t>产生量为1.92m</w:t>
            </w:r>
            <w:r>
              <w:rPr>
                <w:sz w:val="24"/>
                <w:szCs w:val="24"/>
                <w:vertAlign w:val="superscript"/>
              </w:rPr>
              <w:t>3</w:t>
            </w:r>
            <w:r>
              <w:rPr>
                <w:sz w:val="24"/>
                <w:szCs w:val="24"/>
              </w:rPr>
              <w:t>/d</w:t>
            </w:r>
            <w:r>
              <w:rPr>
                <w:rFonts w:hint="eastAsia"/>
                <w:sz w:val="24"/>
                <w:szCs w:val="24"/>
              </w:rPr>
              <w:t>，</w:t>
            </w:r>
            <w:r>
              <w:rPr>
                <w:sz w:val="24"/>
                <w:szCs w:val="24"/>
              </w:rPr>
              <w:t>576m</w:t>
            </w:r>
            <w:r>
              <w:rPr>
                <w:sz w:val="24"/>
                <w:szCs w:val="24"/>
                <w:vertAlign w:val="superscript"/>
              </w:rPr>
              <w:t>3</w:t>
            </w:r>
            <w:r>
              <w:rPr>
                <w:sz w:val="24"/>
                <w:szCs w:val="24"/>
              </w:rPr>
              <w:t>/a。</w:t>
            </w:r>
            <w:r>
              <w:rPr>
                <w:rFonts w:hint="eastAsia"/>
                <w:sz w:val="24"/>
                <w:szCs w:val="24"/>
              </w:rPr>
              <w:t>厂区建设化粪池收集生活污水。生活污水经化粪池处置后排入市政管网。</w:t>
            </w:r>
          </w:p>
          <w:p>
            <w:pPr>
              <w:ind w:firstLine="480"/>
              <w:rPr>
                <w:sz w:val="24"/>
                <w:szCs w:val="24"/>
              </w:rPr>
            </w:pPr>
            <w:r>
              <w:rPr>
                <w:sz w:val="24"/>
                <w:szCs w:val="24"/>
              </w:rPr>
              <w:t>本项目车间清洗年用水量为</w:t>
            </w:r>
            <w:r>
              <w:rPr>
                <w:rFonts w:hint="eastAsia"/>
                <w:sz w:val="24"/>
                <w:szCs w:val="24"/>
              </w:rPr>
              <w:t>720</w:t>
            </w:r>
            <w:r>
              <w:rPr>
                <w:sz w:val="24"/>
                <w:szCs w:val="24"/>
              </w:rPr>
              <w:t>m</w:t>
            </w:r>
            <w:r>
              <w:rPr>
                <w:sz w:val="24"/>
                <w:szCs w:val="24"/>
                <w:vertAlign w:val="superscript"/>
              </w:rPr>
              <w:t>3</w:t>
            </w:r>
            <w:r>
              <w:rPr>
                <w:sz w:val="24"/>
                <w:szCs w:val="24"/>
              </w:rPr>
              <w:t>/a</w:t>
            </w:r>
            <w:r>
              <w:rPr>
                <w:rFonts w:hint="eastAsia"/>
                <w:sz w:val="24"/>
                <w:szCs w:val="24"/>
              </w:rPr>
              <w:t>，</w:t>
            </w:r>
            <w:r>
              <w:rPr>
                <w:sz w:val="24"/>
                <w:szCs w:val="24"/>
              </w:rPr>
              <w:t>车间清洗废水产生量为</w:t>
            </w:r>
            <w:r>
              <w:rPr>
                <w:rFonts w:hint="eastAsia"/>
                <w:sz w:val="24"/>
                <w:szCs w:val="24"/>
              </w:rPr>
              <w:t>648m</w:t>
            </w:r>
            <w:r>
              <w:rPr>
                <w:rFonts w:hint="eastAsia"/>
                <w:sz w:val="24"/>
                <w:szCs w:val="24"/>
                <w:vertAlign w:val="superscript"/>
              </w:rPr>
              <w:t>3</w:t>
            </w:r>
            <w:r>
              <w:rPr>
                <w:rFonts w:hint="eastAsia"/>
                <w:sz w:val="24"/>
                <w:szCs w:val="24"/>
              </w:rPr>
              <w:t>/a，采取“隔油+絮凝沉淀”</w:t>
            </w:r>
            <w:r>
              <w:rPr>
                <w:rFonts w:hint="eastAsia"/>
                <w:sz w:val="24"/>
              </w:rPr>
              <w:t>的方式处置后回用于厂内绿化、道路洒水</w:t>
            </w:r>
            <w:r>
              <w:rPr>
                <w:rFonts w:hint="eastAsia"/>
                <w:sz w:val="24"/>
                <w:szCs w:val="24"/>
              </w:rPr>
              <w:t>。</w:t>
            </w:r>
          </w:p>
          <w:p>
            <w:pPr>
              <w:widowControl/>
              <w:topLinePunct w:val="0"/>
              <w:ind w:firstLine="480"/>
              <w:jc w:val="both"/>
              <w:rPr>
                <w:sz w:val="24"/>
                <w:szCs w:val="24"/>
              </w:rPr>
            </w:pPr>
            <w:r>
              <w:rPr>
                <w:rFonts w:hint="eastAsia"/>
                <w:sz w:val="24"/>
                <w:szCs w:val="24"/>
              </w:rPr>
              <w:t>供热：本项目生产过程中不设供热设施</w:t>
            </w:r>
            <w:r>
              <w:rPr>
                <w:sz w:val="24"/>
                <w:szCs w:val="24"/>
              </w:rPr>
              <w:t>。</w:t>
            </w:r>
            <w:r>
              <w:rPr>
                <w:sz w:val="24"/>
              </w:rPr>
              <w:t>员工冬季采暖使用立式空调</w:t>
            </w:r>
            <w:r>
              <w:rPr>
                <w:rFonts w:hint="eastAsia"/>
                <w:sz w:val="24"/>
              </w:rPr>
              <w:t>。</w:t>
            </w:r>
          </w:p>
          <w:p>
            <w:pPr>
              <w:ind w:firstLine="480"/>
              <w:rPr>
                <w:sz w:val="24"/>
                <w:szCs w:val="24"/>
              </w:rPr>
            </w:pPr>
            <w:r>
              <w:rPr>
                <w:sz w:val="24"/>
                <w:szCs w:val="24"/>
              </w:rPr>
              <w:t>8</w:t>
            </w:r>
            <w:r>
              <w:rPr>
                <w:rFonts w:hint="eastAsia"/>
                <w:sz w:val="24"/>
                <w:szCs w:val="24"/>
              </w:rPr>
              <w:t>、</w:t>
            </w:r>
            <w:r>
              <w:rPr>
                <w:sz w:val="24"/>
                <w:szCs w:val="24"/>
              </w:rPr>
              <w:t>平面布置合理性分析</w:t>
            </w:r>
          </w:p>
          <w:p>
            <w:pPr>
              <w:ind w:firstLine="480"/>
              <w:rPr>
                <w:sz w:val="24"/>
                <w:szCs w:val="24"/>
              </w:rPr>
            </w:pPr>
            <w:r>
              <w:rPr>
                <w:sz w:val="24"/>
                <w:szCs w:val="24"/>
              </w:rPr>
              <w:t>本项目位于陕西省</w:t>
            </w:r>
            <w:r>
              <w:rPr>
                <w:rFonts w:hint="eastAsia"/>
                <w:sz w:val="24"/>
                <w:szCs w:val="24"/>
              </w:rPr>
              <w:t>安康</w:t>
            </w:r>
            <w:r>
              <w:rPr>
                <w:sz w:val="24"/>
                <w:szCs w:val="24"/>
              </w:rPr>
              <w:t>市</w:t>
            </w:r>
            <w:r>
              <w:rPr>
                <w:rFonts w:hint="eastAsia"/>
                <w:sz w:val="24"/>
                <w:szCs w:val="24"/>
              </w:rPr>
              <w:t>石泉县城关镇丝银坝村二组</w:t>
            </w:r>
            <w:r>
              <w:rPr>
                <w:sz w:val="24"/>
                <w:szCs w:val="24"/>
              </w:rPr>
              <w:t>，地理位置见附图1。</w:t>
            </w:r>
          </w:p>
          <w:p>
            <w:pPr>
              <w:ind w:firstLine="480"/>
              <w:rPr>
                <w:sz w:val="24"/>
                <w:szCs w:val="24"/>
              </w:rPr>
            </w:pPr>
            <w:r>
              <w:rPr>
                <w:sz w:val="24"/>
                <w:szCs w:val="24"/>
              </w:rPr>
              <w:t>本项目</w:t>
            </w:r>
            <w:r>
              <w:rPr>
                <w:rFonts w:hint="eastAsia"/>
                <w:sz w:val="24"/>
                <w:szCs w:val="24"/>
              </w:rPr>
              <w:t>总占地34632.94m</w:t>
            </w:r>
            <w:r>
              <w:rPr>
                <w:rFonts w:hint="eastAsia"/>
                <w:sz w:val="24"/>
                <w:szCs w:val="24"/>
                <w:vertAlign w:val="superscript"/>
              </w:rPr>
              <w:t>2</w:t>
            </w:r>
            <w:r>
              <w:rPr>
                <w:rFonts w:hint="eastAsia"/>
                <w:sz w:val="24"/>
                <w:szCs w:val="24"/>
              </w:rPr>
              <w:t>，</w:t>
            </w:r>
            <w:r>
              <w:rPr>
                <w:sz w:val="24"/>
                <w:szCs w:val="24"/>
              </w:rPr>
              <w:t>主要分为</w:t>
            </w:r>
            <w:r>
              <w:rPr>
                <w:rFonts w:hint="eastAsia"/>
                <w:sz w:val="24"/>
                <w:szCs w:val="24"/>
              </w:rPr>
              <w:t>办公生活区、原料暂存区、</w:t>
            </w:r>
            <w:r>
              <w:rPr>
                <w:sz w:val="24"/>
                <w:szCs w:val="24"/>
              </w:rPr>
              <w:t>生产区</w:t>
            </w:r>
            <w:r>
              <w:rPr>
                <w:rFonts w:hint="eastAsia"/>
                <w:sz w:val="24"/>
                <w:szCs w:val="24"/>
              </w:rPr>
              <w:t>。家电拆解车间与机动车拆解车间相邻，机动车拆解车间内电动汽车设置专用场地。办公生活区紧邻大门，原料暂存于厂区中间专设废弃电器及机动车暂存区域内，交通便利。危废间置于生产区南侧，分类存放。</w:t>
            </w:r>
          </w:p>
          <w:p>
            <w:pPr>
              <w:ind w:firstLine="480"/>
              <w:rPr>
                <w:sz w:val="24"/>
                <w:szCs w:val="24"/>
              </w:rPr>
            </w:pPr>
            <w:r>
              <w:rPr>
                <w:rFonts w:hint="eastAsia"/>
                <w:sz w:val="24"/>
                <w:szCs w:val="24"/>
              </w:rPr>
              <w:t>厂区内生产生活分区布局，平面布置合理。</w:t>
            </w:r>
          </w:p>
          <w:p>
            <w:pPr>
              <w:ind w:firstLine="480"/>
              <w:rPr>
                <w:sz w:val="24"/>
                <w:szCs w:val="24"/>
              </w:rPr>
            </w:pPr>
            <w:r>
              <w:rPr>
                <w:rFonts w:hint="eastAsia"/>
                <w:sz w:val="24"/>
                <w:szCs w:val="24"/>
              </w:rPr>
              <w:t>9、劳动定员及工作制度</w:t>
            </w:r>
          </w:p>
          <w:p>
            <w:pPr>
              <w:ind w:firstLine="480"/>
              <w:rPr>
                <w:sz w:val="24"/>
                <w:szCs w:val="24"/>
              </w:rPr>
            </w:pPr>
            <w:r>
              <w:rPr>
                <w:rFonts w:hint="eastAsia"/>
                <w:sz w:val="24"/>
                <w:szCs w:val="24"/>
              </w:rPr>
              <w:t>本项目设置劳动定员共</w:t>
            </w:r>
            <w:r>
              <w:rPr>
                <w:sz w:val="24"/>
                <w:szCs w:val="24"/>
              </w:rPr>
              <w:t>40</w:t>
            </w:r>
            <w:r>
              <w:rPr>
                <w:rFonts w:hint="eastAsia"/>
                <w:sz w:val="24"/>
                <w:szCs w:val="24"/>
              </w:rPr>
              <w:t>人。厂区年运行天数为</w:t>
            </w:r>
            <w:r>
              <w:rPr>
                <w:sz w:val="24"/>
                <w:szCs w:val="24"/>
              </w:rPr>
              <w:t>30</w:t>
            </w:r>
            <w:r>
              <w:rPr>
                <w:rFonts w:hint="eastAsia"/>
                <w:sz w:val="24"/>
                <w:szCs w:val="24"/>
              </w:rPr>
              <w:t>0d，每日运行16h。员工采取三班工作制，每班工作8h。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34"/>
              <w:rPr>
                <w:sz w:val="24"/>
              </w:rPr>
            </w:pPr>
            <w:r>
              <w:rPr>
                <w:rFonts w:hint="eastAsia"/>
                <w:sz w:val="24"/>
              </w:rPr>
              <w:t>工艺</w:t>
            </w:r>
          </w:p>
          <w:p>
            <w:pPr>
              <w:pStyle w:val="34"/>
              <w:rPr>
                <w:sz w:val="24"/>
              </w:rPr>
            </w:pPr>
            <w:r>
              <w:rPr>
                <w:rFonts w:hint="eastAsia"/>
                <w:sz w:val="24"/>
              </w:rPr>
              <w:t>流程</w:t>
            </w:r>
          </w:p>
          <w:p>
            <w:pPr>
              <w:pStyle w:val="34"/>
              <w:rPr>
                <w:sz w:val="24"/>
              </w:rPr>
            </w:pPr>
            <w:r>
              <w:rPr>
                <w:rFonts w:hint="eastAsia"/>
                <w:sz w:val="24"/>
              </w:rPr>
              <w:t>和产</w:t>
            </w:r>
          </w:p>
          <w:p>
            <w:pPr>
              <w:pStyle w:val="34"/>
              <w:rPr>
                <w:sz w:val="24"/>
              </w:rPr>
            </w:pPr>
            <w:r>
              <w:rPr>
                <w:rFonts w:hint="eastAsia"/>
                <w:sz w:val="24"/>
              </w:rPr>
              <w:t>排污</w:t>
            </w:r>
          </w:p>
          <w:p>
            <w:pPr>
              <w:pStyle w:val="34"/>
              <w:rPr>
                <w:sz w:val="24"/>
              </w:rPr>
            </w:pPr>
            <w:r>
              <w:rPr>
                <w:rFonts w:hint="eastAsia"/>
                <w:sz w:val="24"/>
              </w:rPr>
              <w:t>环节</w:t>
            </w:r>
          </w:p>
        </w:tc>
        <w:tc>
          <w:tcPr>
            <w:tcW w:w="8327" w:type="dxa"/>
          </w:tcPr>
          <w:p>
            <w:pPr>
              <w:ind w:firstLine="480" w:firstLineChars="0"/>
              <w:rPr>
                <w:bCs/>
                <w:sz w:val="24"/>
                <w:szCs w:val="24"/>
              </w:rPr>
            </w:pPr>
            <w:r>
              <w:rPr>
                <w:bCs/>
                <w:sz w:val="24"/>
                <w:szCs w:val="24"/>
              </w:rPr>
              <w:t>1</w:t>
            </w:r>
            <w:r>
              <w:rPr>
                <w:rFonts w:hAnsi="宋体"/>
                <w:bCs/>
                <w:sz w:val="24"/>
                <w:szCs w:val="24"/>
              </w:rPr>
              <w:t>、施工期工艺流程及产污环节</w:t>
            </w:r>
          </w:p>
          <w:p>
            <w:pPr>
              <w:ind w:firstLine="480"/>
              <w:rPr>
                <w:b/>
                <w:sz w:val="24"/>
                <w:szCs w:val="24"/>
              </w:rPr>
            </w:pPr>
            <w:r>
              <w:rPr>
                <w:sz w:val="24"/>
                <w:szCs w:val="24"/>
              </w:rPr>
              <w:t>本项目</w:t>
            </w:r>
            <w:r>
              <w:rPr>
                <w:rFonts w:hint="eastAsia"/>
                <w:sz w:val="24"/>
                <w:szCs w:val="24"/>
              </w:rPr>
              <w:t>生产区</w:t>
            </w:r>
            <w:r>
              <w:rPr>
                <w:sz w:val="24"/>
                <w:szCs w:val="24"/>
              </w:rPr>
              <w:t>已建设完成</w:t>
            </w:r>
            <w:r>
              <w:rPr>
                <w:rFonts w:hint="eastAsia"/>
                <w:sz w:val="24"/>
                <w:szCs w:val="24"/>
              </w:rPr>
              <w:t>，</w:t>
            </w:r>
            <w:r>
              <w:rPr>
                <w:sz w:val="24"/>
                <w:szCs w:val="24"/>
              </w:rPr>
              <w:t>施工期主要</w:t>
            </w:r>
            <w:r>
              <w:rPr>
                <w:rFonts w:hint="eastAsia"/>
                <w:sz w:val="24"/>
                <w:szCs w:val="24"/>
              </w:rPr>
              <w:t>工作</w:t>
            </w:r>
            <w:r>
              <w:rPr>
                <w:sz w:val="24"/>
                <w:szCs w:val="24"/>
              </w:rPr>
              <w:t>内容为设备安装</w:t>
            </w:r>
            <w:r>
              <w:rPr>
                <w:rFonts w:hint="eastAsia"/>
                <w:sz w:val="24"/>
                <w:szCs w:val="24"/>
              </w:rPr>
              <w:t>、</w:t>
            </w:r>
            <w:r>
              <w:rPr>
                <w:sz w:val="24"/>
                <w:szCs w:val="24"/>
              </w:rPr>
              <w:t>办公生活区域建设及相关辅助工程建设。在施工期间的设备安装等建设工序将产生扬尘、固体废弃物、废水及噪声等污染物。</w:t>
            </w:r>
          </w:p>
          <w:p>
            <w:pPr>
              <w:ind w:firstLine="480"/>
              <w:rPr>
                <w:sz w:val="24"/>
                <w:szCs w:val="24"/>
              </w:rPr>
            </w:pPr>
            <w:r>
              <w:rPr>
                <w:sz w:val="24"/>
                <w:szCs w:val="24"/>
              </w:rPr>
              <w:t>2、运营期工艺流程及产污环节</w:t>
            </w:r>
          </w:p>
          <w:p>
            <w:pPr>
              <w:ind w:firstLine="480"/>
              <w:rPr>
                <w:sz w:val="24"/>
                <w:szCs w:val="24"/>
              </w:rPr>
            </w:pPr>
            <w:r>
              <w:rPr>
                <w:sz w:val="24"/>
                <w:szCs w:val="24"/>
              </w:rPr>
              <w:t>本项目主要进行废弃机动车及废弃电器</w:t>
            </w:r>
            <w:r>
              <w:rPr>
                <w:rFonts w:hint="eastAsia"/>
                <w:sz w:val="24"/>
                <w:szCs w:val="24"/>
              </w:rPr>
              <w:t>拆解。</w:t>
            </w:r>
          </w:p>
          <w:p>
            <w:pPr>
              <w:ind w:firstLine="480"/>
              <w:rPr>
                <w:sz w:val="24"/>
                <w:szCs w:val="24"/>
              </w:rPr>
            </w:pPr>
            <w:r>
              <w:rPr>
                <w:rFonts w:hint="eastAsia"/>
                <w:sz w:val="24"/>
                <w:szCs w:val="24"/>
              </w:rPr>
              <w:t>废弃电器拆解总述：</w:t>
            </w:r>
          </w:p>
          <w:p>
            <w:pPr>
              <w:ind w:firstLine="480"/>
              <w:rPr>
                <w:sz w:val="24"/>
                <w:szCs w:val="24"/>
              </w:rPr>
            </w:pPr>
            <w:r>
              <w:rPr>
                <w:rFonts w:hint="eastAsia"/>
                <w:sz w:val="24"/>
                <w:szCs w:val="24"/>
              </w:rPr>
              <w:t>本项目对废弃冰箱、空调、洗衣机、电视机、电脑（四机一脑）的拆解，首先采用人工方式简单拆解预处理，再分别采用机械加工方式对拆解预处理后的箱体、机体等进行破碎、分选，满足金属回收及减容要求。</w:t>
            </w:r>
          </w:p>
          <w:p>
            <w:pPr>
              <w:ind w:firstLine="480"/>
              <w:rPr>
                <w:sz w:val="24"/>
                <w:szCs w:val="24"/>
              </w:rPr>
            </w:pPr>
            <w:r>
              <w:rPr>
                <w:rFonts w:hint="eastAsia"/>
                <w:sz w:val="24"/>
                <w:szCs w:val="24"/>
              </w:rPr>
              <w:t>①建设单位收集到的废弃电器进入厂区后，在卸货平台进行卸货，如实记载每批废弃电器的来源、类型、重量或数量、收集（接收）储存的时间，对所收集的废弃电器进行登记管理，做到每台废弃电器都能够有效的追溯，以便于相关主管部门对废弃电器回收处理的监督管理。废弃电器暂存于暂存区，待进入拆解车间进行拆解。</w:t>
            </w:r>
          </w:p>
          <w:p>
            <w:pPr>
              <w:ind w:firstLine="480"/>
              <w:rPr>
                <w:sz w:val="24"/>
                <w:szCs w:val="24"/>
              </w:rPr>
            </w:pPr>
            <w:r>
              <w:rPr>
                <w:rFonts w:hint="eastAsia"/>
                <w:sz w:val="24"/>
                <w:szCs w:val="24"/>
              </w:rPr>
              <w:t>②各类废弃电器进场后，分类堆放在原料堆放区，然后使用手动液压叉车运送至各个拆解工位进行拆解预处理，拆解预处理工艺采用人工方式进行，预处理后的箱体、机体破碎采用机械设备进行金属回收及减容处理后外售。</w:t>
            </w:r>
          </w:p>
          <w:p>
            <w:pPr>
              <w:ind w:firstLine="480"/>
              <w:rPr>
                <w:sz w:val="24"/>
                <w:szCs w:val="24"/>
              </w:rPr>
            </w:pPr>
            <w:r>
              <w:rPr>
                <w:rFonts w:hint="eastAsia"/>
                <w:sz w:val="24"/>
                <w:szCs w:val="24"/>
              </w:rPr>
              <w:t>③经过预处理后的拆解产物根据类别分类收集暂存。一般固体废物暂存于各类别的拆解产物暂存区，危险废物暂存于危险废物暂存库，其中制冷剂用钢瓶回收贮存。根据拆解产物性质不同，将采取不同的处理方式。</w:t>
            </w:r>
          </w:p>
          <w:p>
            <w:pPr>
              <w:ind w:firstLine="480"/>
              <w:rPr>
                <w:sz w:val="24"/>
                <w:szCs w:val="24"/>
              </w:rPr>
            </w:pPr>
            <w:r>
              <w:rPr>
                <w:rFonts w:hint="eastAsia"/>
                <w:sz w:val="24"/>
                <w:szCs w:val="24"/>
              </w:rPr>
              <w:t>④拆解预处理：本项目家电拆解线各设置一个预处理平台，分别对废弃冰箱、空调、洗衣机、电视机、电脑（四机一脑）拆解预处理，每个平台上方分别设置负压收集装置收集拆解粉尘，收集的拆解粉尘经脉冲袋式除尘器处理后，通过1根15m 高的电器拆解废气排气筒排放。</w:t>
            </w:r>
          </w:p>
          <w:p>
            <w:pPr>
              <w:ind w:firstLine="480"/>
              <w:rPr>
                <w:sz w:val="24"/>
                <w:szCs w:val="24"/>
              </w:rPr>
            </w:pPr>
            <w:r>
              <w:rPr>
                <w:rFonts w:hint="eastAsia"/>
                <w:sz w:val="24"/>
                <w:szCs w:val="24"/>
              </w:rPr>
              <w:t>（1）废弃冰箱拆解生产线</w:t>
            </w:r>
          </w:p>
          <w:p>
            <w:pPr>
              <w:ind w:firstLine="480"/>
              <w:rPr>
                <w:sz w:val="24"/>
                <w:szCs w:val="24"/>
              </w:rPr>
            </w:pPr>
            <w:r>
              <w:rPr>
                <w:rFonts w:hint="eastAsia"/>
                <w:sz w:val="24"/>
                <w:szCs w:val="24"/>
              </w:rPr>
              <w:t>工艺流程简述：</w:t>
            </w:r>
          </w:p>
          <w:p>
            <w:pPr>
              <w:ind w:firstLine="480"/>
              <w:rPr>
                <w:sz w:val="24"/>
                <w:szCs w:val="24"/>
              </w:rPr>
            </w:pPr>
            <w:r>
              <w:rPr>
                <w:rFonts w:hint="eastAsia"/>
                <w:sz w:val="24"/>
                <w:szCs w:val="24"/>
              </w:rPr>
              <w:t>①冷媒回收或排放</w:t>
            </w:r>
          </w:p>
          <w:p>
            <w:pPr>
              <w:ind w:firstLine="480"/>
              <w:rPr>
                <w:sz w:val="24"/>
                <w:szCs w:val="24"/>
              </w:rPr>
            </w:pPr>
            <w:r>
              <w:rPr>
                <w:rFonts w:hint="eastAsia"/>
                <w:sz w:val="24"/>
                <w:szCs w:val="24"/>
              </w:rPr>
              <w:t>R600a（异丁烷）冰箱的冷媒在指定区域稀释排放，并采取强制排风措施；其他冰箱冷媒首先通过冷媒回收装置回收（保存在密闭钢瓶内），再送入预处理平台进行处理。回收的冷媒不进行进一步处置，保存于密闭钢瓶内，作为产品外售。</w:t>
            </w:r>
          </w:p>
          <w:p>
            <w:pPr>
              <w:ind w:firstLine="480"/>
              <w:rPr>
                <w:sz w:val="24"/>
                <w:szCs w:val="24"/>
              </w:rPr>
            </w:pPr>
            <w:r>
              <w:rPr>
                <w:rFonts w:hint="eastAsia"/>
                <w:sz w:val="24"/>
                <w:szCs w:val="24"/>
              </w:rPr>
              <w:t>此过程会产生非甲烷总烃、噪声。</w:t>
            </w:r>
          </w:p>
          <w:p>
            <w:pPr>
              <w:ind w:firstLine="480"/>
              <w:rPr>
                <w:sz w:val="24"/>
                <w:szCs w:val="24"/>
              </w:rPr>
            </w:pPr>
            <w:r>
              <w:rPr>
                <w:rFonts w:hint="eastAsia"/>
                <w:sz w:val="24"/>
                <w:szCs w:val="24"/>
              </w:rPr>
              <w:t>②预处理</w:t>
            </w:r>
          </w:p>
          <w:p>
            <w:pPr>
              <w:ind w:firstLine="480"/>
              <w:rPr>
                <w:sz w:val="24"/>
                <w:szCs w:val="24"/>
              </w:rPr>
            </w:pPr>
            <w:r>
              <w:rPr>
                <w:rFonts w:hint="eastAsia"/>
                <w:sz w:val="24"/>
                <w:szCs w:val="24"/>
              </w:rPr>
              <w:t>冷媒排放或回收后的冰箱输送至人工操作平台，进行人工拆卸预处理，将冰箱的橡胶条、外壳塑料、铁架、玻璃、废电线、电源等拆卸下来，分类放置在回收篮中。</w:t>
            </w:r>
          </w:p>
          <w:p>
            <w:pPr>
              <w:ind w:firstLine="480"/>
              <w:rPr>
                <w:sz w:val="24"/>
                <w:szCs w:val="24"/>
              </w:rPr>
            </w:pPr>
            <w:r>
              <w:rPr>
                <w:rFonts w:hint="eastAsia"/>
                <w:sz w:val="24"/>
                <w:szCs w:val="24"/>
              </w:rPr>
              <w:t>此过程会产生粉尘、噪声。</w:t>
            </w:r>
          </w:p>
          <w:p>
            <w:pPr>
              <w:ind w:firstLine="480"/>
              <w:rPr>
                <w:sz w:val="24"/>
                <w:szCs w:val="24"/>
              </w:rPr>
            </w:pPr>
            <w:r>
              <w:rPr>
                <w:rFonts w:hint="eastAsia"/>
                <w:sz w:val="24"/>
                <w:szCs w:val="24"/>
              </w:rPr>
              <w:t>③人工拆卸压缩机</w:t>
            </w:r>
          </w:p>
          <w:p>
            <w:pPr>
              <w:ind w:firstLine="480"/>
              <w:rPr>
                <w:sz w:val="24"/>
                <w:szCs w:val="24"/>
              </w:rPr>
            </w:pPr>
            <w:r>
              <w:rPr>
                <w:rFonts w:hint="eastAsia"/>
                <w:sz w:val="24"/>
                <w:szCs w:val="24"/>
              </w:rPr>
              <w:t>冰箱预处理后进行人工拆卸压缩机，拆卸后的压缩机直接外售，不再进一步拆解。</w:t>
            </w:r>
          </w:p>
          <w:p>
            <w:pPr>
              <w:ind w:firstLine="480"/>
              <w:rPr>
                <w:sz w:val="24"/>
                <w:szCs w:val="24"/>
              </w:rPr>
            </w:pPr>
            <w:r>
              <w:rPr>
                <w:rFonts w:hint="eastAsia"/>
                <w:sz w:val="24"/>
                <w:szCs w:val="24"/>
              </w:rPr>
              <w:t>此过程会产生粉尘、噪声、废压缩机。</w:t>
            </w:r>
          </w:p>
          <w:p>
            <w:pPr>
              <w:ind w:firstLine="480"/>
              <w:rPr>
                <w:sz w:val="24"/>
                <w:szCs w:val="24"/>
              </w:rPr>
            </w:pPr>
            <w:r>
              <w:rPr>
                <w:rFonts w:hint="eastAsia"/>
                <w:sz w:val="24"/>
                <w:szCs w:val="24"/>
              </w:rPr>
              <w:t>拆解后的箱体进入进入机械加工处理线进行破碎分选、减容加工。</w:t>
            </w:r>
          </w:p>
          <w:p>
            <w:pPr>
              <w:ind w:firstLine="0" w:firstLineChars="0"/>
              <w:jc w:val="center"/>
              <w:rPr>
                <w:sz w:val="24"/>
                <w:szCs w:val="24"/>
              </w:rPr>
            </w:pPr>
            <w:r>
              <w:rPr>
                <w:sz w:val="24"/>
                <w:szCs w:val="24"/>
              </w:rPr>
              <w:drawing>
                <wp:inline distT="0" distB="0" distL="0" distR="0">
                  <wp:extent cx="4861560" cy="2901950"/>
                  <wp:effectExtent l="1905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pic:cNvPicPr>
                        </pic:nvPicPr>
                        <pic:blipFill>
                          <a:blip r:embed="rId11" cstate="print"/>
                          <a:stretch>
                            <a:fillRect/>
                          </a:stretch>
                        </pic:blipFill>
                        <pic:spPr>
                          <a:xfrm>
                            <a:off x="0" y="0"/>
                            <a:ext cx="4862283" cy="2902350"/>
                          </a:xfrm>
                          <a:prstGeom prst="rect">
                            <a:avLst/>
                          </a:prstGeom>
                        </pic:spPr>
                      </pic:pic>
                    </a:graphicData>
                  </a:graphic>
                </wp:inline>
              </w:drawing>
            </w:r>
          </w:p>
          <w:p>
            <w:pPr>
              <w:ind w:firstLine="482"/>
              <w:jc w:val="center"/>
              <w:rPr>
                <w:sz w:val="24"/>
                <w:szCs w:val="24"/>
              </w:rPr>
            </w:pPr>
            <w:r>
              <w:rPr>
                <w:rFonts w:hint="eastAsia"/>
                <w:b/>
                <w:sz w:val="24"/>
              </w:rPr>
              <w:t>图</w:t>
            </w:r>
            <w:r>
              <w:rPr>
                <w:b/>
                <w:sz w:val="24"/>
              </w:rPr>
              <w:t>2-</w:t>
            </w:r>
            <w:r>
              <w:rPr>
                <w:rFonts w:hint="eastAsia"/>
                <w:b/>
                <w:sz w:val="24"/>
              </w:rPr>
              <w:t>2</w:t>
            </w:r>
            <w:r>
              <w:rPr>
                <w:b/>
                <w:sz w:val="24"/>
              </w:rPr>
              <w:t xml:space="preserve">  </w:t>
            </w:r>
            <w:r>
              <w:rPr>
                <w:rFonts w:hint="eastAsia"/>
                <w:b/>
                <w:sz w:val="24"/>
              </w:rPr>
              <w:t>废弃冰箱拆解生产线</w:t>
            </w:r>
            <w:r>
              <w:rPr>
                <w:rFonts w:hint="eastAsia"/>
                <w:b/>
                <w:bCs/>
                <w:sz w:val="24"/>
              </w:rPr>
              <w:t>拆解</w:t>
            </w:r>
            <w:r>
              <w:rPr>
                <w:b/>
                <w:sz w:val="24"/>
              </w:rPr>
              <w:t>工序及产污环节图</w:t>
            </w:r>
          </w:p>
          <w:p>
            <w:pPr>
              <w:ind w:firstLine="480"/>
              <w:rPr>
                <w:sz w:val="24"/>
                <w:szCs w:val="24"/>
              </w:rPr>
            </w:pPr>
            <w:r>
              <w:rPr>
                <w:rFonts w:hint="eastAsia"/>
                <w:sz w:val="24"/>
                <w:szCs w:val="24"/>
              </w:rPr>
              <w:t>（2）废弃空调拆解生产线</w:t>
            </w:r>
          </w:p>
          <w:p>
            <w:pPr>
              <w:ind w:firstLine="480"/>
              <w:rPr>
                <w:sz w:val="24"/>
                <w:szCs w:val="24"/>
              </w:rPr>
            </w:pPr>
            <w:r>
              <w:rPr>
                <w:rFonts w:hint="eastAsia"/>
                <w:sz w:val="24"/>
                <w:szCs w:val="24"/>
              </w:rPr>
              <w:t>工艺流程简述：</w:t>
            </w:r>
          </w:p>
          <w:p>
            <w:pPr>
              <w:ind w:firstLine="480"/>
              <w:rPr>
                <w:sz w:val="24"/>
                <w:szCs w:val="24"/>
              </w:rPr>
            </w:pPr>
            <w:r>
              <w:rPr>
                <w:rFonts w:hint="eastAsia"/>
                <w:sz w:val="24"/>
                <w:szCs w:val="24"/>
              </w:rPr>
              <w:t>① 上盖板拆解</w:t>
            </w:r>
          </w:p>
          <w:p>
            <w:pPr>
              <w:ind w:firstLine="480"/>
              <w:rPr>
                <w:sz w:val="24"/>
                <w:szCs w:val="24"/>
              </w:rPr>
            </w:pPr>
            <w:r>
              <w:rPr>
                <w:rFonts w:hint="eastAsia"/>
                <w:sz w:val="24"/>
                <w:szCs w:val="24"/>
              </w:rPr>
              <w:t>人工拆解通过皮带输送来废空调外机上盖板，并拆解出废铁、电路板、废塑料、电子杂件等，分类放置在回收篮内。</w:t>
            </w:r>
          </w:p>
          <w:p>
            <w:pPr>
              <w:ind w:firstLine="480"/>
              <w:rPr>
                <w:sz w:val="24"/>
                <w:szCs w:val="24"/>
              </w:rPr>
            </w:pPr>
            <w:r>
              <w:rPr>
                <w:rFonts w:hint="eastAsia"/>
                <w:sz w:val="24"/>
                <w:szCs w:val="24"/>
              </w:rPr>
              <w:t>此过程可能会产生粉尘、噪声、废铁、电路板、废塑 料、电子杂件等。</w:t>
            </w:r>
          </w:p>
          <w:p>
            <w:pPr>
              <w:ind w:firstLine="480"/>
              <w:rPr>
                <w:sz w:val="24"/>
                <w:szCs w:val="24"/>
              </w:rPr>
            </w:pPr>
            <w:r>
              <w:rPr>
                <w:rFonts w:hint="eastAsia"/>
                <w:sz w:val="24"/>
                <w:szCs w:val="24"/>
              </w:rPr>
              <w:t>② 侧盖板拆解</w:t>
            </w:r>
          </w:p>
          <w:p>
            <w:pPr>
              <w:ind w:firstLine="480"/>
              <w:rPr>
                <w:sz w:val="24"/>
                <w:szCs w:val="24"/>
              </w:rPr>
            </w:pPr>
            <w:r>
              <w:rPr>
                <w:rFonts w:hint="eastAsia"/>
                <w:sz w:val="24"/>
                <w:szCs w:val="24"/>
              </w:rPr>
              <w:t>拆解上盖板后的空调外机输送至侧盖板拆解工位，人工拆解出侧盖板（一般为铝制件），放置在回收篮内。</w:t>
            </w:r>
          </w:p>
          <w:p>
            <w:pPr>
              <w:ind w:firstLine="480"/>
              <w:rPr>
                <w:sz w:val="24"/>
                <w:szCs w:val="24"/>
              </w:rPr>
            </w:pPr>
            <w:r>
              <w:rPr>
                <w:rFonts w:hint="eastAsia"/>
                <w:sz w:val="24"/>
                <w:szCs w:val="24"/>
              </w:rPr>
              <w:t>此过程会产生粉尘、噪声、废铝等。</w:t>
            </w:r>
          </w:p>
          <w:p>
            <w:pPr>
              <w:ind w:firstLine="480"/>
              <w:rPr>
                <w:sz w:val="24"/>
                <w:szCs w:val="24"/>
              </w:rPr>
            </w:pPr>
            <w:r>
              <w:rPr>
                <w:rFonts w:hint="eastAsia"/>
                <w:sz w:val="24"/>
                <w:szCs w:val="24"/>
              </w:rPr>
              <w:t>③ 冷媒回收</w:t>
            </w:r>
          </w:p>
          <w:p>
            <w:pPr>
              <w:ind w:firstLine="480"/>
              <w:rPr>
                <w:sz w:val="24"/>
                <w:szCs w:val="24"/>
              </w:rPr>
            </w:pPr>
            <w:r>
              <w:rPr>
                <w:rFonts w:hint="eastAsia"/>
                <w:sz w:val="24"/>
                <w:szCs w:val="24"/>
              </w:rPr>
              <w:t>拆除侧盖板的空调外机采用冷媒回收装置收集冷媒（主要为氟利昂等），冷媒均保存在密闭钢瓶内。回收的冷媒不进行进一步处置，保存于密闭钢瓶内，作为产品外售。</w:t>
            </w:r>
          </w:p>
          <w:p>
            <w:pPr>
              <w:ind w:firstLine="480"/>
              <w:rPr>
                <w:sz w:val="24"/>
                <w:szCs w:val="24"/>
              </w:rPr>
            </w:pPr>
            <w:r>
              <w:rPr>
                <w:rFonts w:hint="eastAsia"/>
                <w:sz w:val="24"/>
                <w:szCs w:val="24"/>
              </w:rPr>
              <w:t>此过程会产生噪声。</w:t>
            </w:r>
          </w:p>
          <w:p>
            <w:pPr>
              <w:ind w:firstLine="480"/>
              <w:rPr>
                <w:sz w:val="24"/>
                <w:szCs w:val="24"/>
              </w:rPr>
            </w:pPr>
            <w:r>
              <w:rPr>
                <w:rFonts w:hint="eastAsia"/>
                <w:sz w:val="24"/>
                <w:szCs w:val="24"/>
              </w:rPr>
              <w:t>④ 压缩机拆解</w:t>
            </w:r>
          </w:p>
          <w:p>
            <w:pPr>
              <w:ind w:firstLine="480"/>
              <w:rPr>
                <w:sz w:val="24"/>
                <w:szCs w:val="24"/>
              </w:rPr>
            </w:pPr>
            <w:r>
              <w:rPr>
                <w:rFonts w:hint="eastAsia"/>
                <w:sz w:val="24"/>
                <w:szCs w:val="24"/>
              </w:rPr>
              <w:t>冷媒回收后的空调外机进行人工拆卸压缩机，拆卸后的压缩机直接外售，不再进一步拆解。</w:t>
            </w:r>
          </w:p>
          <w:p>
            <w:pPr>
              <w:ind w:firstLine="480"/>
              <w:rPr>
                <w:sz w:val="24"/>
                <w:szCs w:val="24"/>
              </w:rPr>
            </w:pPr>
            <w:r>
              <w:rPr>
                <w:rFonts w:hint="eastAsia"/>
                <w:sz w:val="24"/>
                <w:szCs w:val="24"/>
              </w:rPr>
              <w:t>此过程会产生粉尘、噪声、废压缩机。</w:t>
            </w:r>
          </w:p>
          <w:p>
            <w:pPr>
              <w:ind w:firstLine="480"/>
              <w:rPr>
                <w:sz w:val="24"/>
                <w:szCs w:val="24"/>
              </w:rPr>
            </w:pPr>
            <w:r>
              <w:rPr>
                <w:rFonts w:hint="eastAsia"/>
                <w:sz w:val="24"/>
                <w:szCs w:val="24"/>
              </w:rPr>
              <w:t>⑤ 风扇拆解</w:t>
            </w:r>
          </w:p>
          <w:p>
            <w:pPr>
              <w:ind w:firstLine="480"/>
              <w:rPr>
                <w:sz w:val="24"/>
                <w:szCs w:val="24"/>
              </w:rPr>
            </w:pPr>
            <w:r>
              <w:rPr>
                <w:rFonts w:hint="eastAsia"/>
                <w:sz w:val="24"/>
                <w:szCs w:val="24"/>
              </w:rPr>
              <w:t>冷媒回收后的空调外机采用人工方式拆解出电机、叶片（塑料或金属制品）、废电线等，分类放置在回收篮中。</w:t>
            </w:r>
          </w:p>
          <w:p>
            <w:pPr>
              <w:ind w:firstLine="480"/>
              <w:rPr>
                <w:sz w:val="24"/>
                <w:szCs w:val="24"/>
              </w:rPr>
            </w:pPr>
            <w:r>
              <w:rPr>
                <w:rFonts w:hint="eastAsia"/>
                <w:sz w:val="24"/>
                <w:szCs w:val="24"/>
              </w:rPr>
              <w:t>此过程会产生粉尘、噪声、废电机、废电线、废塑料或废金属等。</w:t>
            </w:r>
          </w:p>
          <w:p>
            <w:pPr>
              <w:ind w:firstLine="480"/>
              <w:rPr>
                <w:sz w:val="24"/>
                <w:szCs w:val="24"/>
              </w:rPr>
            </w:pPr>
            <w:r>
              <w:rPr>
                <w:rFonts w:hint="eastAsia"/>
                <w:sz w:val="24"/>
                <w:szCs w:val="24"/>
              </w:rPr>
              <w:t>⑥ 冷排拆解</w:t>
            </w:r>
          </w:p>
          <w:p>
            <w:pPr>
              <w:ind w:firstLine="480"/>
              <w:rPr>
                <w:sz w:val="24"/>
                <w:szCs w:val="24"/>
              </w:rPr>
            </w:pPr>
            <w:r>
              <w:rPr>
                <w:rFonts w:hint="eastAsia"/>
                <w:sz w:val="24"/>
                <w:szCs w:val="24"/>
              </w:rPr>
              <w:t>空调冷排主要为内机，采取人工方式将其拆解出铜件、塑料件、电子杂件等，并分类放置在回收篮中。</w:t>
            </w:r>
          </w:p>
          <w:p>
            <w:pPr>
              <w:ind w:firstLine="480"/>
              <w:rPr>
                <w:sz w:val="24"/>
                <w:szCs w:val="24"/>
              </w:rPr>
            </w:pPr>
            <w:r>
              <w:rPr>
                <w:rFonts w:hint="eastAsia"/>
                <w:sz w:val="24"/>
                <w:szCs w:val="24"/>
              </w:rPr>
              <w:t>此过程会产生粉尘、噪声、废铜、废塑料、电子杂件等。</w:t>
            </w:r>
          </w:p>
          <w:p>
            <w:pPr>
              <w:ind w:firstLine="480"/>
              <w:rPr>
                <w:sz w:val="24"/>
                <w:szCs w:val="24"/>
              </w:rPr>
            </w:pPr>
            <w:r>
              <w:rPr>
                <w:rFonts w:hint="eastAsia"/>
                <w:sz w:val="24"/>
                <w:szCs w:val="24"/>
              </w:rPr>
              <w:t>拆解后的箱体进入进入机械加工处理线进行破碎分选、减容加工。</w:t>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r>
              <w:rPr>
                <w:sz w:val="24"/>
                <w:szCs w:val="24"/>
              </w:rPr>
              <w:drawing>
                <wp:anchor distT="0" distB="0" distL="0" distR="0" simplePos="0" relativeHeight="251659264" behindDoc="0" locked="0" layoutInCell="1" allowOverlap="1">
                  <wp:simplePos x="0" y="0"/>
                  <wp:positionH relativeFrom="page">
                    <wp:posOffset>655955</wp:posOffset>
                  </wp:positionH>
                  <wp:positionV relativeFrom="paragraph">
                    <wp:posOffset>91440</wp:posOffset>
                  </wp:positionV>
                  <wp:extent cx="4064000" cy="3499485"/>
                  <wp:effectExtent l="1905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a:picLocks noChangeAspect="1"/>
                          </pic:cNvPicPr>
                        </pic:nvPicPr>
                        <pic:blipFill>
                          <a:blip r:embed="rId12" cstate="print"/>
                          <a:stretch>
                            <a:fillRect/>
                          </a:stretch>
                        </pic:blipFill>
                        <pic:spPr>
                          <a:xfrm>
                            <a:off x="0" y="0"/>
                            <a:ext cx="4064000" cy="3499485"/>
                          </a:xfrm>
                          <a:prstGeom prst="rect">
                            <a:avLst/>
                          </a:prstGeom>
                        </pic:spPr>
                      </pic:pic>
                    </a:graphicData>
                  </a:graphic>
                </wp:anchor>
              </w:drawing>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0" w:firstLineChars="0"/>
              <w:jc w:val="center"/>
              <w:rPr>
                <w:sz w:val="24"/>
                <w:szCs w:val="24"/>
              </w:rPr>
            </w:pPr>
            <w:r>
              <w:rPr>
                <w:rFonts w:hint="eastAsia"/>
                <w:b/>
                <w:sz w:val="24"/>
              </w:rPr>
              <w:t>图</w:t>
            </w:r>
            <w:r>
              <w:rPr>
                <w:b/>
                <w:sz w:val="24"/>
              </w:rPr>
              <w:t>2-</w:t>
            </w:r>
            <w:r>
              <w:rPr>
                <w:rFonts w:hint="eastAsia"/>
                <w:b/>
                <w:sz w:val="24"/>
              </w:rPr>
              <w:t>3</w:t>
            </w:r>
            <w:r>
              <w:rPr>
                <w:b/>
                <w:sz w:val="24"/>
              </w:rPr>
              <w:t xml:space="preserve">  </w:t>
            </w:r>
            <w:r>
              <w:rPr>
                <w:rFonts w:hint="eastAsia"/>
                <w:b/>
                <w:sz w:val="24"/>
              </w:rPr>
              <w:t>废弃空调拆解生产线</w:t>
            </w:r>
            <w:r>
              <w:rPr>
                <w:rFonts w:hint="eastAsia"/>
                <w:b/>
                <w:bCs/>
                <w:sz w:val="24"/>
              </w:rPr>
              <w:t>拆解</w:t>
            </w:r>
            <w:r>
              <w:rPr>
                <w:b/>
                <w:sz w:val="24"/>
              </w:rPr>
              <w:t>工序及产污环节图</w:t>
            </w:r>
          </w:p>
          <w:p>
            <w:pPr>
              <w:ind w:firstLine="480"/>
              <w:rPr>
                <w:sz w:val="24"/>
                <w:szCs w:val="24"/>
              </w:rPr>
            </w:pPr>
            <w:r>
              <w:rPr>
                <w:rFonts w:hint="eastAsia"/>
                <w:sz w:val="24"/>
                <w:szCs w:val="24"/>
              </w:rPr>
              <w:t>（3）废弃洗衣机拆解生产线</w:t>
            </w:r>
          </w:p>
          <w:p>
            <w:pPr>
              <w:ind w:firstLine="480"/>
              <w:rPr>
                <w:sz w:val="24"/>
                <w:szCs w:val="24"/>
              </w:rPr>
            </w:pPr>
            <w:r>
              <w:rPr>
                <w:rFonts w:hint="eastAsia"/>
                <w:sz w:val="24"/>
                <w:szCs w:val="24"/>
              </w:rPr>
              <w:t>① 上盖板拆解</w:t>
            </w:r>
          </w:p>
          <w:p>
            <w:pPr>
              <w:ind w:firstLine="480"/>
              <w:rPr>
                <w:sz w:val="24"/>
                <w:szCs w:val="24"/>
              </w:rPr>
            </w:pPr>
            <w:r>
              <w:rPr>
                <w:rFonts w:hint="eastAsia"/>
                <w:sz w:val="24"/>
                <w:szCs w:val="24"/>
              </w:rPr>
              <w:t>人工拆解通过皮带输送来的废洗衣机上盖板，并拆解出螺丝钉、废电容器、电源，以及电磁阀、计时器等电子杂物，分类放置在回收篮内。</w:t>
            </w:r>
          </w:p>
          <w:p>
            <w:pPr>
              <w:ind w:firstLine="480"/>
              <w:rPr>
                <w:sz w:val="24"/>
                <w:szCs w:val="24"/>
              </w:rPr>
            </w:pPr>
            <w:r>
              <w:rPr>
                <w:rFonts w:hint="eastAsia"/>
                <w:sz w:val="24"/>
                <w:szCs w:val="24"/>
              </w:rPr>
              <w:t>此过程会产生粉尘、噪声、废铁、废电容器、电源、电子杂物等。</w:t>
            </w:r>
          </w:p>
          <w:p>
            <w:pPr>
              <w:ind w:firstLine="480"/>
              <w:rPr>
                <w:sz w:val="24"/>
                <w:szCs w:val="24"/>
              </w:rPr>
            </w:pPr>
            <w:r>
              <w:rPr>
                <w:rFonts w:hint="eastAsia"/>
                <w:sz w:val="24"/>
                <w:szCs w:val="24"/>
              </w:rPr>
              <w:t>② 侧盖板拆解</w:t>
            </w:r>
          </w:p>
          <w:p>
            <w:pPr>
              <w:ind w:firstLine="480"/>
              <w:rPr>
                <w:sz w:val="24"/>
                <w:szCs w:val="24"/>
              </w:rPr>
            </w:pPr>
            <w:r>
              <w:rPr>
                <w:rFonts w:hint="eastAsia"/>
                <w:sz w:val="24"/>
                <w:szCs w:val="24"/>
              </w:rPr>
              <w:t>拆解上盖板后的洗衣机输送至侧盖板拆解工位，人工拆解出侧盖板（一般为铝制件），放置在回收篮内。</w:t>
            </w:r>
          </w:p>
          <w:p>
            <w:pPr>
              <w:ind w:firstLine="480"/>
              <w:rPr>
                <w:sz w:val="24"/>
                <w:szCs w:val="24"/>
              </w:rPr>
            </w:pPr>
            <w:r>
              <w:rPr>
                <w:rFonts w:hint="eastAsia"/>
                <w:sz w:val="24"/>
                <w:szCs w:val="24"/>
              </w:rPr>
              <w:t>此过程会产生粉尘、噪声、废铝等。</w:t>
            </w:r>
          </w:p>
          <w:p>
            <w:pPr>
              <w:ind w:firstLine="480"/>
              <w:rPr>
                <w:sz w:val="24"/>
                <w:szCs w:val="24"/>
              </w:rPr>
            </w:pPr>
            <w:r>
              <w:rPr>
                <w:rFonts w:hint="eastAsia"/>
                <w:sz w:val="24"/>
                <w:szCs w:val="24"/>
              </w:rPr>
              <w:t>③ 底座拆解</w:t>
            </w:r>
          </w:p>
          <w:p>
            <w:pPr>
              <w:ind w:firstLine="480"/>
              <w:rPr>
                <w:sz w:val="24"/>
                <w:szCs w:val="24"/>
              </w:rPr>
            </w:pPr>
            <w:r>
              <w:rPr>
                <w:rFonts w:hint="eastAsia"/>
                <w:sz w:val="24"/>
                <w:szCs w:val="24"/>
              </w:rPr>
              <w:t>拆解侧盖板后的洗衣机输送至底座拆解工位，人工打开底座并拆解出废铜件、洗衣机配重材料（主要为水泥块）、废电线、平衡环等，分类放置在回收篮内。</w:t>
            </w:r>
          </w:p>
          <w:p>
            <w:pPr>
              <w:ind w:firstLine="480"/>
              <w:rPr>
                <w:sz w:val="24"/>
                <w:szCs w:val="24"/>
              </w:rPr>
            </w:pPr>
            <w:r>
              <w:rPr>
                <w:rFonts w:hint="eastAsia"/>
                <w:sz w:val="24"/>
                <w:szCs w:val="24"/>
              </w:rPr>
              <w:t>此过程可能会产生粉尘、噪声、废电线、废铜、配置材料等。</w:t>
            </w:r>
          </w:p>
          <w:p>
            <w:pPr>
              <w:ind w:firstLine="480"/>
              <w:rPr>
                <w:sz w:val="24"/>
                <w:szCs w:val="24"/>
              </w:rPr>
            </w:pPr>
            <w:r>
              <w:rPr>
                <w:rFonts w:hint="eastAsia"/>
                <w:sz w:val="24"/>
                <w:szCs w:val="24"/>
              </w:rPr>
              <w:t>④ 筒体拆解</w:t>
            </w:r>
          </w:p>
          <w:p>
            <w:pPr>
              <w:ind w:firstLine="480"/>
              <w:rPr>
                <w:sz w:val="24"/>
                <w:szCs w:val="24"/>
              </w:rPr>
            </w:pPr>
            <w:r>
              <w:rPr>
                <w:rFonts w:hint="eastAsia"/>
                <w:sz w:val="24"/>
                <w:szCs w:val="24"/>
              </w:rPr>
              <w:t>拆解底座后的洗衣机剩余部分输送至筒体拆解工位，人工拆解出洗衣机皮带、电动机、废塑料等，分类放置在回收篮内。</w:t>
            </w:r>
          </w:p>
          <w:p>
            <w:pPr>
              <w:ind w:firstLine="480"/>
              <w:rPr>
                <w:sz w:val="24"/>
                <w:szCs w:val="24"/>
              </w:rPr>
            </w:pPr>
            <w:r>
              <w:rPr>
                <w:rFonts w:hint="eastAsia"/>
                <w:sz w:val="24"/>
                <w:szCs w:val="24"/>
              </w:rPr>
              <w:t>此过程可能会产生粉尘、噪声、废电机、废皮带（橡胶制品）、废塑料、废铁（外壳铁板）等。</w:t>
            </w:r>
          </w:p>
          <w:p>
            <w:pPr>
              <w:ind w:firstLine="480"/>
              <w:rPr>
                <w:sz w:val="24"/>
                <w:szCs w:val="24"/>
              </w:rPr>
            </w:pPr>
            <w:r>
              <w:rPr>
                <w:rFonts w:hint="eastAsia"/>
                <w:sz w:val="24"/>
                <w:szCs w:val="24"/>
              </w:rPr>
              <w:t>拆解后的机体进入进入机械加工处理线进行破碎分选、减容加工。</w:t>
            </w:r>
          </w:p>
          <w:p>
            <w:pPr>
              <w:pStyle w:val="7"/>
              <w:ind w:firstLine="210"/>
            </w:pPr>
            <w:r>
              <w:drawing>
                <wp:anchor distT="0" distB="0" distL="0" distR="0" simplePos="0" relativeHeight="251660288" behindDoc="0" locked="0" layoutInCell="1" allowOverlap="1">
                  <wp:simplePos x="0" y="0"/>
                  <wp:positionH relativeFrom="page">
                    <wp:posOffset>898525</wp:posOffset>
                  </wp:positionH>
                  <wp:positionV relativeFrom="paragraph">
                    <wp:posOffset>73025</wp:posOffset>
                  </wp:positionV>
                  <wp:extent cx="3838575" cy="2768600"/>
                  <wp:effectExtent l="19050" t="0" r="9525"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3" cstate="print"/>
                          <a:stretch>
                            <a:fillRect/>
                          </a:stretch>
                        </pic:blipFill>
                        <pic:spPr>
                          <a:xfrm>
                            <a:off x="0" y="0"/>
                            <a:ext cx="3838575" cy="2768600"/>
                          </a:xfrm>
                          <a:prstGeom prst="rect">
                            <a:avLst/>
                          </a:prstGeom>
                        </pic:spPr>
                      </pic:pic>
                    </a:graphicData>
                  </a:graphic>
                </wp:anchor>
              </w:drawing>
            </w:r>
          </w:p>
          <w:p>
            <w:pPr>
              <w:ind w:firstLine="420"/>
            </w:pPr>
          </w:p>
          <w:p>
            <w:pPr>
              <w:pStyle w:val="15"/>
            </w:pPr>
          </w:p>
          <w:p>
            <w:pPr>
              <w:pStyle w:val="7"/>
              <w:ind w:firstLine="210"/>
            </w:pPr>
          </w:p>
          <w:p>
            <w:pPr>
              <w:pStyle w:val="15"/>
            </w:pPr>
          </w:p>
          <w:p>
            <w:pPr>
              <w:pStyle w:val="7"/>
              <w:ind w:firstLine="210"/>
            </w:pPr>
          </w:p>
          <w:p>
            <w:pPr>
              <w:ind w:firstLine="420"/>
            </w:pPr>
          </w:p>
          <w:p>
            <w:pPr>
              <w:pStyle w:val="15"/>
            </w:pPr>
          </w:p>
          <w:p>
            <w:pPr>
              <w:pStyle w:val="7"/>
              <w:ind w:firstLine="210"/>
            </w:pPr>
          </w:p>
          <w:p>
            <w:pPr>
              <w:ind w:firstLine="420"/>
            </w:pPr>
          </w:p>
          <w:p>
            <w:pPr>
              <w:pStyle w:val="15"/>
            </w:pPr>
          </w:p>
          <w:p>
            <w:pPr>
              <w:ind w:firstLine="420"/>
            </w:pPr>
          </w:p>
          <w:p>
            <w:pPr>
              <w:ind w:firstLine="482"/>
              <w:jc w:val="center"/>
              <w:rPr>
                <w:sz w:val="24"/>
                <w:szCs w:val="24"/>
              </w:rPr>
            </w:pPr>
            <w:r>
              <w:rPr>
                <w:rFonts w:hint="eastAsia"/>
                <w:b/>
                <w:sz w:val="24"/>
              </w:rPr>
              <w:t>图</w:t>
            </w:r>
            <w:r>
              <w:rPr>
                <w:b/>
                <w:sz w:val="24"/>
              </w:rPr>
              <w:t>2-</w:t>
            </w:r>
            <w:r>
              <w:rPr>
                <w:rFonts w:hint="eastAsia"/>
                <w:b/>
                <w:sz w:val="24"/>
              </w:rPr>
              <w:t>4</w:t>
            </w:r>
            <w:r>
              <w:rPr>
                <w:b/>
                <w:sz w:val="24"/>
              </w:rPr>
              <w:t xml:space="preserve">  </w:t>
            </w:r>
            <w:r>
              <w:rPr>
                <w:rFonts w:hint="eastAsia"/>
                <w:b/>
                <w:sz w:val="24"/>
              </w:rPr>
              <w:t>废弃洗衣机拆解生产线</w:t>
            </w:r>
            <w:r>
              <w:rPr>
                <w:rFonts w:hint="eastAsia"/>
                <w:b/>
                <w:bCs/>
                <w:sz w:val="24"/>
              </w:rPr>
              <w:t>拆解</w:t>
            </w:r>
            <w:r>
              <w:rPr>
                <w:b/>
                <w:sz w:val="24"/>
              </w:rPr>
              <w:t>工序及产污环节图</w:t>
            </w:r>
          </w:p>
          <w:p>
            <w:pPr>
              <w:ind w:firstLine="480"/>
              <w:rPr>
                <w:sz w:val="24"/>
                <w:szCs w:val="24"/>
              </w:rPr>
            </w:pPr>
            <w:r>
              <w:rPr>
                <w:rFonts w:hint="eastAsia"/>
                <w:sz w:val="24"/>
                <w:szCs w:val="24"/>
              </w:rPr>
              <w:t>（4）废电视和废电脑拆解</w:t>
            </w:r>
          </w:p>
          <w:p>
            <w:pPr>
              <w:ind w:firstLine="480"/>
              <w:rPr>
                <w:sz w:val="24"/>
                <w:szCs w:val="24"/>
              </w:rPr>
            </w:pPr>
            <w:r>
              <w:rPr>
                <w:rFonts w:hint="eastAsia"/>
                <w:sz w:val="24"/>
                <w:szCs w:val="24"/>
              </w:rPr>
              <w:t>①CRT电视机、CRT电脑显示器拆解</w:t>
            </w:r>
          </w:p>
          <w:p>
            <w:pPr>
              <w:ind w:firstLine="480"/>
              <w:rPr>
                <w:sz w:val="24"/>
                <w:szCs w:val="24"/>
              </w:rPr>
            </w:pPr>
            <w:r>
              <w:rPr>
                <w:rFonts w:hint="eastAsia"/>
                <w:sz w:val="24"/>
                <w:szCs w:val="24"/>
              </w:rPr>
              <w:t>工艺流程简述：</w:t>
            </w:r>
          </w:p>
          <w:p>
            <w:pPr>
              <w:ind w:firstLine="480"/>
              <w:rPr>
                <w:sz w:val="24"/>
                <w:szCs w:val="24"/>
              </w:rPr>
            </w:pPr>
            <w:r>
              <w:rPr>
                <w:rFonts w:hint="eastAsia"/>
                <w:sz w:val="24"/>
                <w:szCs w:val="24"/>
              </w:rPr>
              <w:t>1）后盖拆卸</w:t>
            </w:r>
          </w:p>
          <w:p>
            <w:pPr>
              <w:ind w:firstLine="480"/>
              <w:rPr>
                <w:sz w:val="24"/>
                <w:szCs w:val="24"/>
              </w:rPr>
            </w:pPr>
            <w:r>
              <w:rPr>
                <w:rFonts w:hint="eastAsia"/>
                <w:sz w:val="24"/>
                <w:szCs w:val="24"/>
              </w:rPr>
              <w:t>通过皮带输送来的废 CRT 电视机和 CRT 电脑显示器由人工拆卸后盖，拆解出的塑料后盖壳放置在回收篮内，其余物件进入下一操作平台。</w:t>
            </w:r>
          </w:p>
          <w:p>
            <w:pPr>
              <w:ind w:firstLine="480"/>
              <w:rPr>
                <w:sz w:val="24"/>
                <w:szCs w:val="24"/>
              </w:rPr>
            </w:pPr>
            <w:r>
              <w:rPr>
                <w:rFonts w:hint="eastAsia"/>
                <w:sz w:val="24"/>
                <w:szCs w:val="24"/>
              </w:rPr>
              <w:t>此过程会产生粉尘、噪声、废铁（螺丝钉）、废塑料。</w:t>
            </w:r>
          </w:p>
          <w:p>
            <w:pPr>
              <w:ind w:firstLine="480"/>
              <w:rPr>
                <w:sz w:val="24"/>
                <w:szCs w:val="24"/>
              </w:rPr>
            </w:pPr>
            <w:r>
              <w:rPr>
                <w:rFonts w:hint="eastAsia"/>
                <w:sz w:val="24"/>
                <w:szCs w:val="24"/>
              </w:rPr>
              <w:t>2）线路拆解</w:t>
            </w:r>
          </w:p>
          <w:p>
            <w:pPr>
              <w:ind w:firstLine="480"/>
              <w:rPr>
                <w:sz w:val="24"/>
                <w:szCs w:val="24"/>
              </w:rPr>
            </w:pPr>
            <w:r>
              <w:rPr>
                <w:rFonts w:hint="eastAsia"/>
                <w:sz w:val="24"/>
                <w:szCs w:val="24"/>
              </w:rPr>
              <w:t>人工拆解出电路板、高频头、废电线等，分类放置在回收篮内，其余物件进入下一操作平台。</w:t>
            </w:r>
          </w:p>
          <w:p>
            <w:pPr>
              <w:ind w:firstLine="480"/>
              <w:rPr>
                <w:sz w:val="24"/>
                <w:szCs w:val="24"/>
              </w:rPr>
            </w:pPr>
            <w:r>
              <w:rPr>
                <w:rFonts w:hint="eastAsia"/>
                <w:sz w:val="24"/>
                <w:szCs w:val="24"/>
              </w:rPr>
              <w:t>此过程会产生粉尘、噪声、废电线、电路板、电子杂件等。</w:t>
            </w:r>
          </w:p>
          <w:p>
            <w:pPr>
              <w:ind w:firstLine="480"/>
              <w:rPr>
                <w:sz w:val="24"/>
                <w:szCs w:val="24"/>
              </w:rPr>
            </w:pPr>
            <w:r>
              <w:rPr>
                <w:rFonts w:hint="eastAsia"/>
                <w:sz w:val="24"/>
                <w:szCs w:val="24"/>
              </w:rPr>
              <w:t>3）线圈拆解</w:t>
            </w:r>
          </w:p>
          <w:p>
            <w:pPr>
              <w:ind w:firstLine="480"/>
              <w:rPr>
                <w:sz w:val="24"/>
                <w:szCs w:val="24"/>
              </w:rPr>
            </w:pPr>
            <w:r>
              <w:rPr>
                <w:rFonts w:hint="eastAsia"/>
                <w:sz w:val="24"/>
                <w:szCs w:val="24"/>
              </w:rPr>
              <w:t>人工拆解出偏转线圈、消磁线圈，分类放置在回收篮内。  此过程会产生粉尘、噪声、电子杂件等。</w:t>
            </w:r>
          </w:p>
          <w:p>
            <w:pPr>
              <w:ind w:firstLine="480"/>
              <w:rPr>
                <w:sz w:val="24"/>
                <w:szCs w:val="24"/>
              </w:rPr>
            </w:pPr>
            <w:r>
              <w:rPr>
                <w:rFonts w:hint="eastAsia"/>
                <w:sz w:val="24"/>
                <w:szCs w:val="24"/>
              </w:rPr>
              <w:t>4）机壳拆解</w:t>
            </w:r>
          </w:p>
          <w:p>
            <w:pPr>
              <w:ind w:firstLine="480"/>
              <w:rPr>
                <w:sz w:val="24"/>
                <w:szCs w:val="24"/>
              </w:rPr>
            </w:pPr>
            <w:r>
              <w:rPr>
                <w:rFonts w:hint="eastAsia"/>
                <w:sz w:val="24"/>
                <w:szCs w:val="24"/>
              </w:rPr>
              <w:t>取出前盖螺丝钉，人工拆解出显像管、塑料机壳、前面玻璃、喇叭、按钮等；塑料机壳、玻璃、喇叭、按钮、废 CRT 显像管等分类放置在回收篮内。废 CRT 显像管不再进一步拆解。</w:t>
            </w:r>
          </w:p>
          <w:p>
            <w:pPr>
              <w:ind w:firstLine="480"/>
              <w:rPr>
                <w:sz w:val="24"/>
                <w:szCs w:val="24"/>
              </w:rPr>
            </w:pPr>
            <w:r>
              <w:rPr>
                <w:rFonts w:hint="eastAsia"/>
                <w:sz w:val="24"/>
                <w:szCs w:val="24"/>
              </w:rPr>
              <w:drawing>
                <wp:anchor distT="0" distB="0" distL="0" distR="0" simplePos="0" relativeHeight="251661312" behindDoc="0" locked="0" layoutInCell="1" allowOverlap="1">
                  <wp:simplePos x="0" y="0"/>
                  <wp:positionH relativeFrom="page">
                    <wp:posOffset>480060</wp:posOffset>
                  </wp:positionH>
                  <wp:positionV relativeFrom="paragraph">
                    <wp:posOffset>505460</wp:posOffset>
                  </wp:positionV>
                  <wp:extent cx="4361815" cy="3733800"/>
                  <wp:effectExtent l="19050" t="0" r="54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4" cstate="print"/>
                          <a:stretch>
                            <a:fillRect/>
                          </a:stretch>
                        </pic:blipFill>
                        <pic:spPr>
                          <a:xfrm>
                            <a:off x="0" y="0"/>
                            <a:ext cx="4361910" cy="3733800"/>
                          </a:xfrm>
                          <a:prstGeom prst="rect">
                            <a:avLst/>
                          </a:prstGeom>
                        </pic:spPr>
                      </pic:pic>
                    </a:graphicData>
                  </a:graphic>
                </wp:anchor>
              </w:drawing>
            </w:r>
            <w:r>
              <w:rPr>
                <w:rFonts w:hint="eastAsia"/>
                <w:sz w:val="24"/>
                <w:szCs w:val="24"/>
              </w:rPr>
              <w:t>此过程会产生粉尘、噪声、玻璃、废铁、废塑料、电子杂件、废 CRT 显像管等。拆解后的壳体进入机械加工线进行破碎减容处理。</w:t>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pStyle w:val="15"/>
              <w:ind w:firstLine="482"/>
              <w:rPr>
                <w:sz w:val="24"/>
                <w:szCs w:val="24"/>
              </w:rPr>
            </w:pPr>
            <w:r>
              <w:rPr>
                <w:rFonts w:hint="eastAsia"/>
                <w:b/>
                <w:sz w:val="24"/>
              </w:rPr>
              <w:t>图</w:t>
            </w:r>
            <w:r>
              <w:rPr>
                <w:b/>
                <w:sz w:val="24"/>
              </w:rPr>
              <w:t>2-</w:t>
            </w:r>
            <w:r>
              <w:rPr>
                <w:rFonts w:hint="eastAsia"/>
                <w:b/>
                <w:sz w:val="24"/>
              </w:rPr>
              <w:t>5</w:t>
            </w:r>
            <w:r>
              <w:rPr>
                <w:b/>
                <w:sz w:val="24"/>
              </w:rPr>
              <w:t xml:space="preserve">  </w:t>
            </w:r>
            <w:r>
              <w:rPr>
                <w:rFonts w:hint="eastAsia"/>
                <w:b/>
                <w:sz w:val="24"/>
              </w:rPr>
              <w:t>CRT电视机、CRT电脑显示器</w:t>
            </w:r>
            <w:r>
              <w:rPr>
                <w:rFonts w:hint="eastAsia"/>
                <w:b/>
                <w:bCs/>
                <w:sz w:val="24"/>
              </w:rPr>
              <w:t>拆解</w:t>
            </w:r>
            <w:r>
              <w:rPr>
                <w:b/>
                <w:sz w:val="24"/>
              </w:rPr>
              <w:t>工序及产污环节图</w:t>
            </w:r>
          </w:p>
          <w:p>
            <w:pPr>
              <w:ind w:firstLine="480"/>
              <w:rPr>
                <w:sz w:val="24"/>
                <w:szCs w:val="24"/>
              </w:rPr>
            </w:pPr>
            <w:r>
              <w:rPr>
                <w:rFonts w:hint="eastAsia"/>
                <w:sz w:val="24"/>
                <w:szCs w:val="24"/>
              </w:rPr>
              <w:t>②电脑主机拆解</w:t>
            </w:r>
          </w:p>
          <w:p>
            <w:pPr>
              <w:ind w:firstLine="480"/>
              <w:rPr>
                <w:sz w:val="24"/>
                <w:szCs w:val="24"/>
              </w:rPr>
            </w:pPr>
            <w:r>
              <w:rPr>
                <w:rFonts w:hint="eastAsia"/>
                <w:sz w:val="24"/>
                <w:szCs w:val="24"/>
              </w:rPr>
              <w:t>工艺流程简述：</w:t>
            </w:r>
          </w:p>
          <w:p>
            <w:pPr>
              <w:ind w:firstLine="480"/>
              <w:rPr>
                <w:sz w:val="24"/>
                <w:szCs w:val="24"/>
              </w:rPr>
            </w:pPr>
            <w:r>
              <w:rPr>
                <w:rFonts w:hint="eastAsia"/>
                <w:sz w:val="24"/>
                <w:szCs w:val="24"/>
              </w:rPr>
              <w:t>1）侧盖板拆解</w:t>
            </w:r>
          </w:p>
          <w:p>
            <w:pPr>
              <w:ind w:firstLine="480"/>
              <w:rPr>
                <w:sz w:val="24"/>
                <w:szCs w:val="24"/>
              </w:rPr>
            </w:pPr>
            <w:r>
              <w:rPr>
                <w:rFonts w:hint="eastAsia"/>
                <w:sz w:val="24"/>
                <w:szCs w:val="24"/>
              </w:rPr>
              <w:t>通过皮带输送来废电脑主机采用人工方式拆解侧盖板，拆解出的螺丝钉、废电线分类放置在回收篮中。</w:t>
            </w:r>
          </w:p>
          <w:p>
            <w:pPr>
              <w:ind w:firstLine="480"/>
              <w:rPr>
                <w:sz w:val="24"/>
                <w:szCs w:val="24"/>
              </w:rPr>
            </w:pPr>
            <w:r>
              <w:rPr>
                <w:rFonts w:hint="eastAsia"/>
                <w:sz w:val="24"/>
                <w:szCs w:val="24"/>
              </w:rPr>
              <w:t>此过程会产生粉尘、噪声、废铁、废电线等。</w:t>
            </w:r>
          </w:p>
          <w:p>
            <w:pPr>
              <w:ind w:firstLine="480"/>
              <w:rPr>
                <w:sz w:val="24"/>
                <w:szCs w:val="24"/>
              </w:rPr>
            </w:pPr>
            <w:r>
              <w:rPr>
                <w:rFonts w:hint="eastAsia"/>
                <w:sz w:val="24"/>
                <w:szCs w:val="24"/>
              </w:rPr>
              <w:t>2）机箱内附件拆解</w:t>
            </w:r>
          </w:p>
          <w:p>
            <w:pPr>
              <w:ind w:firstLine="480"/>
              <w:rPr>
                <w:sz w:val="24"/>
                <w:szCs w:val="24"/>
              </w:rPr>
            </w:pPr>
            <w:r>
              <w:rPr>
                <w:rFonts w:hint="eastAsia"/>
                <w:sz w:val="24"/>
                <w:szCs w:val="24"/>
              </w:rPr>
              <w:t>拆解侧盖板后的电脑主机输送至机内附件拆解工位，人工拆解出电路板（主板、CPU、内存条、显卡、声卡、网卡、3D 卡等）、废电线、电池（锂电池）、风扇、按钮、喇叭及电动机等，分类放置在回收篮内。</w:t>
            </w:r>
          </w:p>
          <w:p>
            <w:pPr>
              <w:ind w:firstLine="480"/>
              <w:rPr>
                <w:sz w:val="24"/>
                <w:szCs w:val="24"/>
              </w:rPr>
            </w:pPr>
            <w:r>
              <w:rPr>
                <w:rFonts w:hint="eastAsia"/>
                <w:sz w:val="24"/>
                <w:szCs w:val="24"/>
              </w:rPr>
              <w:t>此过程会产生粉尘、噪声、电路板、废电线、电池、电子杂件等。</w:t>
            </w:r>
          </w:p>
          <w:p>
            <w:pPr>
              <w:ind w:firstLine="480"/>
              <w:rPr>
                <w:sz w:val="24"/>
                <w:szCs w:val="24"/>
              </w:rPr>
            </w:pPr>
            <w:r>
              <w:rPr>
                <w:rFonts w:hint="eastAsia"/>
                <w:sz w:val="24"/>
                <w:szCs w:val="24"/>
              </w:rPr>
              <w:t>3）机壳拆解</w:t>
            </w:r>
          </w:p>
          <w:p>
            <w:pPr>
              <w:ind w:firstLine="480"/>
              <w:rPr>
                <w:sz w:val="24"/>
                <w:szCs w:val="24"/>
              </w:rPr>
            </w:pPr>
            <w:r>
              <w:rPr>
                <w:rFonts w:hint="eastAsia"/>
                <w:sz w:val="24"/>
                <w:szCs w:val="24"/>
              </w:rPr>
              <w:t>在机箱内附件拆解后，进行人工拆解电源、光驱、硬盘、软驱等部件，分类放置在回收篮内；此过程会产生粉尘、噪声、电源、光驱、硬盘、软驱、废铁、废塑料等。</w:t>
            </w:r>
          </w:p>
          <w:p>
            <w:pPr>
              <w:ind w:firstLine="480"/>
              <w:rPr>
                <w:sz w:val="24"/>
                <w:szCs w:val="24"/>
              </w:rPr>
            </w:pPr>
            <w:r>
              <w:rPr>
                <w:rFonts w:hint="eastAsia"/>
                <w:sz w:val="24"/>
                <w:szCs w:val="24"/>
              </w:rPr>
              <w:t>拆解后的壳体进入机械加工线进行破碎减容处理。</w:t>
            </w:r>
          </w:p>
          <w:p>
            <w:pPr>
              <w:ind w:firstLine="482"/>
              <w:jc w:val="center"/>
              <w:rPr>
                <w:sz w:val="24"/>
                <w:szCs w:val="24"/>
              </w:rPr>
            </w:pPr>
            <w:r>
              <w:rPr>
                <w:rFonts w:hint="eastAsia"/>
                <w:b/>
                <w:sz w:val="24"/>
              </w:rPr>
              <w:drawing>
                <wp:anchor distT="0" distB="0" distL="0" distR="0" simplePos="0" relativeHeight="251662336" behindDoc="0" locked="0" layoutInCell="1" allowOverlap="1">
                  <wp:simplePos x="0" y="0"/>
                  <wp:positionH relativeFrom="page">
                    <wp:posOffset>296545</wp:posOffset>
                  </wp:positionH>
                  <wp:positionV relativeFrom="paragraph">
                    <wp:posOffset>55880</wp:posOffset>
                  </wp:positionV>
                  <wp:extent cx="4659630" cy="3321050"/>
                  <wp:effectExtent l="19050" t="0" r="7620" b="0"/>
                  <wp:wrapTopAndBottom/>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a:picLocks noChangeAspect="1"/>
                          </pic:cNvPicPr>
                        </pic:nvPicPr>
                        <pic:blipFill>
                          <a:blip r:embed="rId15" cstate="print"/>
                          <a:stretch>
                            <a:fillRect/>
                          </a:stretch>
                        </pic:blipFill>
                        <pic:spPr>
                          <a:xfrm>
                            <a:off x="0" y="0"/>
                            <a:ext cx="4659630" cy="3321050"/>
                          </a:xfrm>
                          <a:prstGeom prst="rect">
                            <a:avLst/>
                          </a:prstGeom>
                        </pic:spPr>
                      </pic:pic>
                    </a:graphicData>
                  </a:graphic>
                </wp:anchor>
              </w:drawing>
            </w:r>
            <w:r>
              <w:rPr>
                <w:rFonts w:hint="eastAsia"/>
                <w:b/>
                <w:sz w:val="24"/>
              </w:rPr>
              <w:t>图</w:t>
            </w:r>
            <w:r>
              <w:rPr>
                <w:b/>
                <w:sz w:val="24"/>
              </w:rPr>
              <w:t>2-</w:t>
            </w:r>
            <w:r>
              <w:rPr>
                <w:rFonts w:hint="eastAsia"/>
                <w:b/>
                <w:sz w:val="24"/>
              </w:rPr>
              <w:t>6</w:t>
            </w:r>
            <w:r>
              <w:rPr>
                <w:b/>
                <w:sz w:val="24"/>
              </w:rPr>
              <w:t xml:space="preserve">  </w:t>
            </w:r>
            <w:r>
              <w:rPr>
                <w:rFonts w:hint="eastAsia"/>
                <w:b/>
                <w:sz w:val="24"/>
              </w:rPr>
              <w:t>电脑主机</w:t>
            </w:r>
            <w:r>
              <w:rPr>
                <w:rFonts w:hint="eastAsia"/>
                <w:b/>
                <w:bCs/>
                <w:sz w:val="24"/>
              </w:rPr>
              <w:t>拆解</w:t>
            </w:r>
            <w:r>
              <w:rPr>
                <w:b/>
                <w:sz w:val="24"/>
              </w:rPr>
              <w:t>工序及产污环节图</w:t>
            </w:r>
          </w:p>
          <w:p>
            <w:pPr>
              <w:ind w:firstLine="480"/>
              <w:rPr>
                <w:sz w:val="24"/>
                <w:szCs w:val="24"/>
              </w:rPr>
            </w:pPr>
            <w:r>
              <w:rPr>
                <w:rFonts w:hint="eastAsia"/>
                <w:sz w:val="24"/>
                <w:szCs w:val="24"/>
              </w:rPr>
              <w:t>③液晶电视、液晶电脑显示器拆解</w:t>
            </w:r>
          </w:p>
          <w:p>
            <w:pPr>
              <w:ind w:firstLine="480"/>
              <w:rPr>
                <w:sz w:val="24"/>
                <w:szCs w:val="24"/>
              </w:rPr>
            </w:pPr>
            <w:r>
              <w:rPr>
                <w:rFonts w:hint="eastAsia"/>
                <w:sz w:val="24"/>
                <w:szCs w:val="24"/>
              </w:rPr>
              <w:t>工艺流程简述：</w:t>
            </w:r>
          </w:p>
          <w:p>
            <w:pPr>
              <w:ind w:firstLine="480"/>
              <w:rPr>
                <w:sz w:val="24"/>
                <w:szCs w:val="24"/>
              </w:rPr>
            </w:pPr>
            <w:r>
              <w:rPr>
                <w:rFonts w:hint="eastAsia"/>
                <w:sz w:val="24"/>
                <w:szCs w:val="24"/>
              </w:rPr>
              <w:t>① 底座拆解</w:t>
            </w:r>
          </w:p>
          <w:p>
            <w:pPr>
              <w:ind w:firstLine="480"/>
              <w:rPr>
                <w:sz w:val="24"/>
                <w:szCs w:val="24"/>
              </w:rPr>
            </w:pPr>
            <w:r>
              <w:rPr>
                <w:rFonts w:hint="eastAsia"/>
                <w:sz w:val="24"/>
                <w:szCs w:val="24"/>
              </w:rPr>
              <w:t>通过皮带输送来的液晶电视机和液晶电脑显示器由人工将底座与机体分离，采用气动旋具等小型设备人工拆解出废铁（螺丝钉等）和废塑料等，分类放置在回收篮内。</w:t>
            </w:r>
          </w:p>
          <w:p>
            <w:pPr>
              <w:ind w:firstLine="480"/>
              <w:rPr>
                <w:sz w:val="24"/>
                <w:szCs w:val="24"/>
              </w:rPr>
            </w:pPr>
            <w:r>
              <w:rPr>
                <w:rFonts w:hint="eastAsia"/>
                <w:sz w:val="24"/>
                <w:szCs w:val="24"/>
              </w:rPr>
              <w:t>此过程会产生粉尘、噪声、废铁、废塑料等。</w:t>
            </w:r>
          </w:p>
          <w:p>
            <w:pPr>
              <w:ind w:firstLine="480"/>
              <w:rPr>
                <w:sz w:val="24"/>
                <w:szCs w:val="24"/>
              </w:rPr>
            </w:pPr>
            <w:r>
              <w:rPr>
                <w:rFonts w:hint="eastAsia"/>
                <w:sz w:val="24"/>
                <w:szCs w:val="24"/>
              </w:rPr>
              <w:t>② 后盖拆解</w:t>
            </w:r>
          </w:p>
          <w:p>
            <w:pPr>
              <w:ind w:firstLine="480"/>
              <w:rPr>
                <w:sz w:val="24"/>
                <w:szCs w:val="24"/>
              </w:rPr>
            </w:pPr>
            <w:r>
              <w:rPr>
                <w:rFonts w:hint="eastAsia"/>
                <w:sz w:val="24"/>
                <w:szCs w:val="24"/>
              </w:rPr>
              <w:t>采用气动旋具等小型设备拆卸后盖，并人工拆解出废铁、废塑料、废电线、电路板及喇叭、按钮等废电子杂件，分类放置在回收篮内。</w:t>
            </w:r>
          </w:p>
          <w:p>
            <w:pPr>
              <w:ind w:firstLine="480"/>
              <w:rPr>
                <w:sz w:val="24"/>
                <w:szCs w:val="24"/>
              </w:rPr>
            </w:pPr>
            <w:r>
              <w:rPr>
                <w:rFonts w:hint="eastAsia"/>
                <w:sz w:val="24"/>
                <w:szCs w:val="24"/>
              </w:rPr>
              <w:t>此过程会产生粉尘、噪声、废铁、 废塑料、电路板、废电线、电子杂件等。</w:t>
            </w:r>
          </w:p>
          <w:p>
            <w:pPr>
              <w:ind w:firstLine="480"/>
              <w:rPr>
                <w:sz w:val="24"/>
                <w:szCs w:val="24"/>
              </w:rPr>
            </w:pPr>
            <w:r>
              <w:rPr>
                <w:rFonts w:hint="eastAsia"/>
                <w:sz w:val="24"/>
                <w:szCs w:val="24"/>
              </w:rPr>
              <w:t>③ 面板拆解</w:t>
            </w:r>
          </w:p>
          <w:p>
            <w:pPr>
              <w:ind w:firstLine="480"/>
              <w:rPr>
                <w:sz w:val="24"/>
                <w:szCs w:val="24"/>
              </w:rPr>
            </w:pPr>
            <w:r>
              <w:rPr>
                <w:rFonts w:hint="eastAsia"/>
                <w:sz w:val="24"/>
                <w:szCs w:val="24"/>
              </w:rPr>
              <w:t>采用气动旋具等小型设备拆卸液晶屏，废液晶屏（含背光灯管，不再进一步拆解），放置在回收篮内。</w:t>
            </w:r>
          </w:p>
          <w:p>
            <w:pPr>
              <w:ind w:firstLine="480"/>
              <w:rPr>
                <w:sz w:val="24"/>
                <w:szCs w:val="24"/>
              </w:rPr>
            </w:pPr>
            <w:r>
              <w:rPr>
                <w:rFonts w:hint="eastAsia"/>
                <w:sz w:val="24"/>
                <w:szCs w:val="24"/>
              </w:rPr>
              <w:t xml:space="preserve">此过程会产生粉尘、噪声、废铁、废塑料、废液晶屏等。 </w:t>
            </w:r>
          </w:p>
          <w:p>
            <w:pPr>
              <w:ind w:firstLine="480"/>
              <w:rPr>
                <w:sz w:val="24"/>
                <w:szCs w:val="24"/>
              </w:rPr>
            </w:pPr>
            <w:r>
              <w:rPr>
                <w:rFonts w:hint="eastAsia"/>
                <w:sz w:val="24"/>
                <w:szCs w:val="24"/>
              </w:rPr>
              <w:drawing>
                <wp:anchor distT="0" distB="0" distL="0" distR="0" simplePos="0" relativeHeight="251663360" behindDoc="0" locked="0" layoutInCell="1" allowOverlap="1">
                  <wp:simplePos x="0" y="0"/>
                  <wp:positionH relativeFrom="page">
                    <wp:posOffset>367665</wp:posOffset>
                  </wp:positionH>
                  <wp:positionV relativeFrom="paragraph">
                    <wp:posOffset>233680</wp:posOffset>
                  </wp:positionV>
                  <wp:extent cx="4149090" cy="2878455"/>
                  <wp:effectExtent l="19050" t="0" r="3711"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6" cstate="print"/>
                          <a:stretch>
                            <a:fillRect/>
                          </a:stretch>
                        </pic:blipFill>
                        <pic:spPr>
                          <a:xfrm>
                            <a:off x="0" y="0"/>
                            <a:ext cx="4148386" cy="2877741"/>
                          </a:xfrm>
                          <a:prstGeom prst="rect">
                            <a:avLst/>
                          </a:prstGeom>
                        </pic:spPr>
                      </pic:pic>
                    </a:graphicData>
                  </a:graphic>
                </wp:anchor>
              </w:drawing>
            </w:r>
            <w:r>
              <w:rPr>
                <w:rFonts w:hint="eastAsia"/>
                <w:sz w:val="24"/>
                <w:szCs w:val="24"/>
              </w:rPr>
              <w:t>拆解后的壳体进行破碎减容处理。</w:t>
            </w:r>
          </w:p>
          <w:p>
            <w:pPr>
              <w:pStyle w:val="15"/>
            </w:pPr>
          </w:p>
          <w:p>
            <w:pPr>
              <w:pStyle w:val="7"/>
              <w:ind w:firstLine="210"/>
            </w:pPr>
          </w:p>
          <w:p>
            <w:pPr>
              <w:pStyle w:val="15"/>
            </w:pPr>
          </w:p>
          <w:p>
            <w:pPr>
              <w:pStyle w:val="7"/>
              <w:ind w:firstLine="210"/>
            </w:pPr>
          </w:p>
          <w:p>
            <w:pPr>
              <w:ind w:firstLine="420"/>
            </w:pPr>
          </w:p>
          <w:p>
            <w:pPr>
              <w:pStyle w:val="15"/>
            </w:pPr>
          </w:p>
          <w:p>
            <w:pPr>
              <w:pStyle w:val="7"/>
              <w:ind w:firstLine="210"/>
            </w:pPr>
          </w:p>
          <w:p>
            <w:pPr>
              <w:ind w:firstLine="420"/>
            </w:pPr>
          </w:p>
          <w:p>
            <w:pPr>
              <w:pStyle w:val="15"/>
            </w:pPr>
          </w:p>
          <w:p>
            <w:pPr>
              <w:pStyle w:val="7"/>
              <w:ind w:firstLine="210"/>
            </w:pPr>
          </w:p>
          <w:p>
            <w:pPr>
              <w:ind w:firstLine="420"/>
            </w:pPr>
          </w:p>
          <w:p>
            <w:pPr>
              <w:ind w:firstLine="482"/>
              <w:jc w:val="center"/>
              <w:rPr>
                <w:sz w:val="24"/>
                <w:szCs w:val="24"/>
              </w:rPr>
            </w:pPr>
            <w:r>
              <w:rPr>
                <w:rFonts w:hint="eastAsia"/>
                <w:b/>
                <w:sz w:val="24"/>
              </w:rPr>
              <w:t>图</w:t>
            </w:r>
            <w:r>
              <w:rPr>
                <w:b/>
                <w:sz w:val="24"/>
              </w:rPr>
              <w:t>2-</w:t>
            </w:r>
            <w:r>
              <w:rPr>
                <w:rFonts w:hint="eastAsia"/>
                <w:b/>
                <w:sz w:val="24"/>
              </w:rPr>
              <w:t>7</w:t>
            </w:r>
            <w:r>
              <w:rPr>
                <w:b/>
                <w:sz w:val="24"/>
              </w:rPr>
              <w:t xml:space="preserve">  </w:t>
            </w:r>
            <w:r>
              <w:rPr>
                <w:rFonts w:hint="eastAsia"/>
                <w:b/>
                <w:sz w:val="24"/>
              </w:rPr>
              <w:t>液晶电视、液晶显示器</w:t>
            </w:r>
            <w:r>
              <w:rPr>
                <w:rFonts w:hint="eastAsia"/>
                <w:b/>
                <w:bCs/>
                <w:sz w:val="24"/>
              </w:rPr>
              <w:t>拆解</w:t>
            </w:r>
            <w:r>
              <w:rPr>
                <w:b/>
                <w:sz w:val="24"/>
              </w:rPr>
              <w:t>工序及产污环节图</w:t>
            </w:r>
          </w:p>
          <w:p>
            <w:pPr>
              <w:ind w:firstLine="480"/>
              <w:rPr>
                <w:sz w:val="24"/>
                <w:szCs w:val="24"/>
              </w:rPr>
            </w:pPr>
            <w:r>
              <w:rPr>
                <w:rFonts w:hint="eastAsia"/>
                <w:sz w:val="24"/>
                <w:szCs w:val="24"/>
              </w:rPr>
              <w:t>（5）废弃电器拆解机械加工线</w:t>
            </w:r>
          </w:p>
          <w:p>
            <w:pPr>
              <w:ind w:firstLine="480"/>
              <w:rPr>
                <w:sz w:val="24"/>
                <w:szCs w:val="24"/>
              </w:rPr>
            </w:pPr>
            <w:r>
              <w:rPr>
                <w:rFonts w:hint="eastAsia"/>
                <w:sz w:val="24"/>
                <w:szCs w:val="24"/>
              </w:rPr>
              <w:t>本项目废弃电器拆解后，对拆解后的废电器箱体、机体等部件进行破碎、分选，回收铜、铝等金属，并对拆解产物进行减容加工，方便后续运输及使用。</w:t>
            </w:r>
          </w:p>
          <w:p>
            <w:pPr>
              <w:ind w:firstLine="480"/>
              <w:rPr>
                <w:sz w:val="24"/>
                <w:szCs w:val="24"/>
              </w:rPr>
            </w:pPr>
            <w:r>
              <w:rPr>
                <w:rFonts w:hint="eastAsia"/>
                <w:sz w:val="24"/>
                <w:szCs w:val="24"/>
              </w:rPr>
              <w:t>每条废弃电器拆解生产线配套1条机械加工线，共计5条机械加工线，工艺均相同。</w:t>
            </w:r>
          </w:p>
          <w:p>
            <w:pPr>
              <w:ind w:firstLine="480"/>
              <w:rPr>
                <w:sz w:val="24"/>
                <w:szCs w:val="24"/>
              </w:rPr>
            </w:pPr>
            <w:r>
              <w:rPr>
                <w:rFonts w:hint="eastAsia"/>
                <w:sz w:val="24"/>
                <w:szCs w:val="24"/>
              </w:rPr>
              <w:t>工艺流程简述：</w:t>
            </w:r>
          </w:p>
          <w:p>
            <w:pPr>
              <w:ind w:firstLine="480"/>
              <w:rPr>
                <w:sz w:val="24"/>
                <w:szCs w:val="24"/>
              </w:rPr>
            </w:pPr>
            <w:r>
              <w:rPr>
                <w:rFonts w:hint="eastAsia"/>
                <w:sz w:val="24"/>
                <w:szCs w:val="24"/>
              </w:rPr>
              <w:t>①撕碎</w:t>
            </w:r>
          </w:p>
          <w:p>
            <w:pPr>
              <w:ind w:firstLine="480"/>
              <w:rPr>
                <w:sz w:val="24"/>
                <w:szCs w:val="24"/>
              </w:rPr>
            </w:pPr>
            <w:r>
              <w:rPr>
                <w:rFonts w:hint="eastAsia"/>
                <w:sz w:val="24"/>
                <w:szCs w:val="24"/>
              </w:rPr>
              <w:t>经拆解预处理后的废弃电器箱体、机体等部件经输送机送入撕碎机内进行初破，该过程在密闭状态下进行，撕碎产物尺寸约为 50×500mm 的细小长条。</w:t>
            </w:r>
          </w:p>
          <w:p>
            <w:pPr>
              <w:ind w:firstLine="480"/>
              <w:rPr>
                <w:sz w:val="24"/>
                <w:szCs w:val="24"/>
              </w:rPr>
            </w:pPr>
            <w:r>
              <w:rPr>
                <w:rFonts w:hint="eastAsia"/>
                <w:sz w:val="24"/>
                <w:szCs w:val="24"/>
              </w:rPr>
              <w:t>此过程会产生粉尘、噪声、非甲烷总烃（冰箱箱体、空调机体在保温泡沫破碎过程释放的发泡剂，主要为氟利昂、环戊烷等）。</w:t>
            </w:r>
          </w:p>
          <w:p>
            <w:pPr>
              <w:ind w:firstLine="480"/>
              <w:rPr>
                <w:sz w:val="24"/>
                <w:szCs w:val="24"/>
              </w:rPr>
            </w:pPr>
            <w:r>
              <w:rPr>
                <w:rFonts w:hint="eastAsia"/>
                <w:sz w:val="24"/>
                <w:szCs w:val="24"/>
              </w:rPr>
              <w:t>②破碎</w:t>
            </w:r>
          </w:p>
          <w:p>
            <w:pPr>
              <w:ind w:firstLine="480"/>
              <w:rPr>
                <w:sz w:val="24"/>
                <w:szCs w:val="24"/>
              </w:rPr>
            </w:pPr>
            <w:r>
              <w:rPr>
                <w:rFonts w:hint="eastAsia"/>
                <w:sz w:val="24"/>
                <w:szCs w:val="24"/>
              </w:rPr>
              <w:t>撕碎后的产物送入破碎机内破碎，该破碎在密闭状态下进行，破碎产物尺寸约在0-80mm 左右。</w:t>
            </w:r>
          </w:p>
          <w:p>
            <w:pPr>
              <w:ind w:firstLine="480"/>
              <w:rPr>
                <w:sz w:val="24"/>
                <w:szCs w:val="24"/>
              </w:rPr>
            </w:pPr>
            <w:r>
              <w:rPr>
                <w:rFonts w:hint="eastAsia"/>
                <w:sz w:val="24"/>
                <w:szCs w:val="24"/>
              </w:rPr>
              <w:t>此过程会产生粉尘、噪声、非甲烷总烃（环戊烷）。</w:t>
            </w:r>
          </w:p>
          <w:p>
            <w:pPr>
              <w:ind w:firstLine="480"/>
              <w:rPr>
                <w:sz w:val="24"/>
                <w:szCs w:val="24"/>
              </w:rPr>
            </w:pPr>
            <w:r>
              <w:rPr>
                <w:rFonts w:hint="eastAsia"/>
                <w:sz w:val="24"/>
                <w:szCs w:val="24"/>
              </w:rPr>
              <w:t>③筛分机选、风选</w:t>
            </w:r>
          </w:p>
          <w:p>
            <w:pPr>
              <w:ind w:firstLine="480"/>
              <w:rPr>
                <w:sz w:val="24"/>
                <w:szCs w:val="24"/>
              </w:rPr>
            </w:pPr>
            <w:r>
              <w:rPr>
                <w:rFonts w:hint="eastAsia"/>
                <w:sz w:val="24"/>
                <w:szCs w:val="24"/>
              </w:rPr>
              <w:t>将破碎后的各产物送至筛分机内，通过振动+鼓风机鼓风分离出较轻的保温泡沫，其他产物进入下一步处理工序，保温泡沫袋装收集。</w:t>
            </w:r>
          </w:p>
          <w:p>
            <w:pPr>
              <w:ind w:firstLine="480"/>
              <w:rPr>
                <w:sz w:val="24"/>
                <w:szCs w:val="24"/>
              </w:rPr>
            </w:pPr>
            <w:r>
              <w:rPr>
                <w:rFonts w:hint="eastAsia"/>
                <w:sz w:val="24"/>
                <w:szCs w:val="24"/>
              </w:rPr>
              <w:t>此过程会产生粉尘、噪声、废保温泡沫（聚氨酯）。</w:t>
            </w:r>
          </w:p>
          <w:p>
            <w:pPr>
              <w:ind w:firstLine="480"/>
              <w:rPr>
                <w:sz w:val="24"/>
                <w:szCs w:val="24"/>
              </w:rPr>
            </w:pPr>
            <w:r>
              <w:rPr>
                <w:rFonts w:hint="eastAsia"/>
                <w:sz w:val="24"/>
                <w:szCs w:val="24"/>
              </w:rPr>
              <w:t>④磁选</w:t>
            </w:r>
          </w:p>
          <w:p>
            <w:pPr>
              <w:ind w:firstLine="480"/>
              <w:rPr>
                <w:sz w:val="24"/>
                <w:szCs w:val="24"/>
              </w:rPr>
            </w:pPr>
            <w:r>
              <w:rPr>
                <w:rFonts w:hint="eastAsia"/>
                <w:sz w:val="24"/>
                <w:szCs w:val="24"/>
              </w:rPr>
              <w:t>经振动风选后的产物送至滚筒磁选机内，通过磁力将磁性金属（铁）与其他产物分开，分离出的铁袋装收集。</w:t>
            </w:r>
          </w:p>
          <w:p>
            <w:pPr>
              <w:ind w:firstLine="480"/>
              <w:rPr>
                <w:sz w:val="24"/>
                <w:szCs w:val="24"/>
              </w:rPr>
            </w:pPr>
            <w:r>
              <w:rPr>
                <w:rFonts w:hint="eastAsia"/>
                <w:sz w:val="24"/>
                <w:szCs w:val="24"/>
              </w:rPr>
              <w:t>此过程会产生粉尘、噪声、废铁。</w:t>
            </w:r>
          </w:p>
          <w:p>
            <w:pPr>
              <w:ind w:firstLine="480"/>
              <w:rPr>
                <w:sz w:val="24"/>
                <w:szCs w:val="24"/>
              </w:rPr>
            </w:pPr>
            <w:r>
              <w:rPr>
                <w:rFonts w:hint="eastAsia"/>
                <w:sz w:val="24"/>
                <w:szCs w:val="24"/>
              </w:rPr>
              <w:t>⑤涡电流分选</w:t>
            </w:r>
          </w:p>
          <w:p>
            <w:pPr>
              <w:ind w:firstLine="480"/>
              <w:rPr>
                <w:sz w:val="24"/>
                <w:szCs w:val="24"/>
              </w:rPr>
            </w:pPr>
            <w:r>
              <w:rPr>
                <w:rFonts w:hint="eastAsia"/>
                <w:sz w:val="24"/>
                <w:szCs w:val="24"/>
              </w:rPr>
              <w:t>磁选后的产物送至涡电流分选机内，利用磁场作用将有色金属与塑料分离，分离出来的塑料袋装收集，有色金属主要为铜和铝，采用人工分拣方式将废铜和废铝分开收集。</w:t>
            </w:r>
          </w:p>
          <w:p>
            <w:pPr>
              <w:ind w:firstLine="480"/>
              <w:rPr>
                <w:sz w:val="24"/>
                <w:szCs w:val="24"/>
              </w:rPr>
            </w:pPr>
            <w:r>
              <w:rPr>
                <w:rFonts w:hint="eastAsia"/>
                <w:sz w:val="24"/>
                <w:szCs w:val="24"/>
              </w:rPr>
              <w:t>此过程会产生粉尘、噪声、废塑料、废铜、废铝。</w:t>
            </w:r>
          </w:p>
          <w:p>
            <w:pPr>
              <w:ind w:firstLine="480"/>
              <w:rPr>
                <w:sz w:val="24"/>
                <w:szCs w:val="24"/>
              </w:rPr>
            </w:pPr>
            <w:r>
              <w:rPr>
                <w:rFonts w:hint="eastAsia"/>
                <w:sz w:val="24"/>
                <w:szCs w:val="24"/>
              </w:rPr>
              <w:t>机械加工线产生的破碎、分选废气主要为颗粒物，非甲烷总烃（冰箱箱体、空调机体在保温泡沫破碎过程释放的发泡剂，主要为环戊烷等），经集气罩收集后，由引风机引入 “旋风除尘+脉冲袋式除尘器+紫外光氧+活性炭吸附”装置净化处理后，通过1根 15m 高破碎、分选废气排气筒排放。</w:t>
            </w:r>
          </w:p>
          <w:p>
            <w:pPr>
              <w:pStyle w:val="15"/>
            </w:pPr>
          </w:p>
          <w:p>
            <w:pPr>
              <w:pStyle w:val="7"/>
              <w:ind w:firstLine="21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pStyle w:val="7"/>
              <w:ind w:firstLine="210"/>
            </w:pPr>
            <w:r>
              <w:drawing>
                <wp:anchor distT="0" distB="0" distL="0" distR="0" simplePos="0" relativeHeight="251664384" behindDoc="0" locked="0" layoutInCell="1" allowOverlap="1">
                  <wp:simplePos x="0" y="0"/>
                  <wp:positionH relativeFrom="page">
                    <wp:posOffset>182880</wp:posOffset>
                  </wp:positionH>
                  <wp:positionV relativeFrom="paragraph">
                    <wp:posOffset>92710</wp:posOffset>
                  </wp:positionV>
                  <wp:extent cx="4946650" cy="4697730"/>
                  <wp:effectExtent l="19050" t="0" r="635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7" cstate="print"/>
                          <a:stretch>
                            <a:fillRect/>
                          </a:stretch>
                        </pic:blipFill>
                        <pic:spPr>
                          <a:xfrm>
                            <a:off x="0" y="0"/>
                            <a:ext cx="4946650" cy="4697730"/>
                          </a:xfrm>
                          <a:prstGeom prst="rect">
                            <a:avLst/>
                          </a:prstGeom>
                        </pic:spPr>
                      </pic:pic>
                    </a:graphicData>
                  </a:graphic>
                </wp:anchor>
              </w:drawing>
            </w:r>
          </w:p>
          <w:p>
            <w:pPr>
              <w:pStyle w:val="7"/>
              <w:ind w:firstLine="210"/>
            </w:pPr>
          </w:p>
          <w:p>
            <w:pPr>
              <w:ind w:firstLine="420"/>
            </w:pPr>
          </w:p>
          <w:p>
            <w:pPr>
              <w:pStyle w:val="15"/>
            </w:pPr>
          </w:p>
          <w:p>
            <w:pPr>
              <w:pStyle w:val="7"/>
              <w:ind w:firstLine="210"/>
            </w:pPr>
          </w:p>
          <w:p>
            <w:pPr>
              <w:ind w:firstLine="420"/>
            </w:pPr>
          </w:p>
          <w:p>
            <w:pPr>
              <w:pStyle w:val="15"/>
            </w:pPr>
          </w:p>
          <w:p>
            <w:pPr>
              <w:pStyle w:val="7"/>
              <w:ind w:firstLine="210"/>
            </w:pPr>
          </w:p>
          <w:p>
            <w:pPr>
              <w:ind w:firstLine="420"/>
            </w:pPr>
          </w:p>
          <w:p>
            <w:pPr>
              <w:ind w:firstLine="420"/>
            </w:pPr>
          </w:p>
          <w:p>
            <w:pPr>
              <w:ind w:firstLine="420"/>
            </w:pPr>
          </w:p>
          <w:p>
            <w:pPr>
              <w:pStyle w:val="15"/>
            </w:pPr>
          </w:p>
          <w:p>
            <w:pPr>
              <w:pStyle w:val="7"/>
              <w:ind w:firstLine="210"/>
            </w:pPr>
          </w:p>
          <w:p>
            <w:pPr>
              <w:ind w:firstLine="420"/>
            </w:pPr>
          </w:p>
          <w:p>
            <w:pPr>
              <w:pStyle w:val="15"/>
            </w:pPr>
          </w:p>
          <w:p>
            <w:pPr>
              <w:pStyle w:val="7"/>
              <w:ind w:firstLine="210"/>
            </w:pPr>
          </w:p>
          <w:p>
            <w:pPr>
              <w:ind w:firstLine="420"/>
            </w:pPr>
          </w:p>
          <w:p>
            <w:pPr>
              <w:pStyle w:val="15"/>
            </w:pPr>
          </w:p>
          <w:p>
            <w:pPr>
              <w:pStyle w:val="7"/>
              <w:ind w:firstLine="210"/>
            </w:pPr>
          </w:p>
          <w:p>
            <w:pPr>
              <w:ind w:firstLine="420"/>
            </w:pPr>
          </w:p>
          <w:p>
            <w:pPr>
              <w:ind w:firstLine="482"/>
              <w:jc w:val="center"/>
              <w:rPr>
                <w:sz w:val="24"/>
                <w:szCs w:val="24"/>
              </w:rPr>
            </w:pPr>
            <w:r>
              <w:rPr>
                <w:b/>
                <w:sz w:val="24"/>
              </w:rPr>
              <w:t>2</w:t>
            </w:r>
            <w:r>
              <w:rPr>
                <w:rFonts w:hint="eastAsia"/>
                <w:b/>
                <w:sz w:val="24"/>
              </w:rPr>
              <w:t>-8</w:t>
            </w:r>
            <w:r>
              <w:rPr>
                <w:b/>
                <w:sz w:val="24"/>
              </w:rPr>
              <w:t xml:space="preserve">  </w:t>
            </w:r>
            <w:r>
              <w:rPr>
                <w:rFonts w:hint="eastAsia"/>
                <w:b/>
                <w:sz w:val="24"/>
              </w:rPr>
              <w:t>机械拆解加工</w:t>
            </w:r>
            <w:r>
              <w:rPr>
                <w:b/>
                <w:sz w:val="24"/>
              </w:rPr>
              <w:t>工序及产污环节图</w:t>
            </w:r>
          </w:p>
          <w:p>
            <w:pPr>
              <w:ind w:firstLine="480"/>
              <w:rPr>
                <w:sz w:val="24"/>
                <w:szCs w:val="24"/>
              </w:rPr>
            </w:pPr>
            <w:r>
              <w:rPr>
                <w:rFonts w:hint="eastAsia"/>
                <w:sz w:val="24"/>
                <w:szCs w:val="24"/>
              </w:rPr>
              <w:t>（6）废机动车拆解生产线</w:t>
            </w:r>
          </w:p>
          <w:p>
            <w:pPr>
              <w:ind w:firstLine="480"/>
              <w:rPr>
                <w:sz w:val="24"/>
                <w:szCs w:val="24"/>
              </w:rPr>
            </w:pPr>
            <w:r>
              <w:rPr>
                <w:rFonts w:hint="eastAsia"/>
                <w:sz w:val="24"/>
                <w:szCs w:val="24"/>
              </w:rPr>
              <w:t>①报废传统燃料汽车拆解</w:t>
            </w:r>
          </w:p>
          <w:p>
            <w:pPr>
              <w:ind w:firstLine="480"/>
              <w:rPr>
                <w:sz w:val="24"/>
                <w:szCs w:val="24"/>
              </w:rPr>
            </w:pPr>
            <w:r>
              <w:rPr>
                <w:rFonts w:hint="eastAsia"/>
                <w:sz w:val="24"/>
                <w:szCs w:val="24"/>
              </w:rPr>
              <w:t>工艺流程简述：</w:t>
            </w:r>
          </w:p>
          <w:p>
            <w:pPr>
              <w:ind w:firstLine="480"/>
              <w:rPr>
                <w:sz w:val="24"/>
                <w:szCs w:val="24"/>
              </w:rPr>
            </w:pPr>
            <w:r>
              <w:rPr>
                <w:rFonts w:hint="eastAsia"/>
                <w:sz w:val="24"/>
                <w:szCs w:val="24"/>
              </w:rPr>
              <w:t>1）检查和登记</w:t>
            </w:r>
          </w:p>
          <w:p>
            <w:pPr>
              <w:ind w:firstLine="480"/>
              <w:rPr>
                <w:sz w:val="24"/>
                <w:szCs w:val="24"/>
              </w:rPr>
            </w:pPr>
            <w:r>
              <w:rPr>
                <w:rFonts w:hint="eastAsia"/>
                <w:sz w:val="24"/>
                <w:szCs w:val="24"/>
              </w:rPr>
              <w:t>A.将报废汽车所有人（单位）名称、有效证件号码、牌照号码、车型、品牌型号、车身颜色、重量、发动机号和/或动力蓄电池编码、车辆识别代号（或车架号）、出厂年份、接收或收购日期等主要信息及报废汽车车身照片按要求录入“全国汽车流通信息管理系统”。相关信息记录至少保存3年。</w:t>
            </w:r>
          </w:p>
          <w:p>
            <w:pPr>
              <w:ind w:firstLine="480"/>
              <w:rPr>
                <w:sz w:val="24"/>
                <w:szCs w:val="24"/>
              </w:rPr>
            </w:pPr>
            <w:r>
              <w:rPr>
                <w:rFonts w:hint="eastAsia"/>
                <w:sz w:val="24"/>
                <w:szCs w:val="24"/>
              </w:rPr>
              <w:t>B.检查报废汽车发动机/铅蓄电池、散热器、变速器、差速器、油箱等总成部件的密封、破损情况。对于出现泄漏的总成部件，应采用适当的方式收集泄漏的液体或封住泄漏处，防止废液渗入地下。对于出现动力蓄电池破损、裸露电极头和线束等存在漏电风险的电动汽车，应及时采用适当的方式进行绝缘处理。</w:t>
            </w:r>
          </w:p>
          <w:p>
            <w:pPr>
              <w:ind w:firstLine="480"/>
              <w:rPr>
                <w:sz w:val="24"/>
                <w:szCs w:val="24"/>
              </w:rPr>
            </w:pPr>
            <w:r>
              <w:rPr>
                <w:rFonts w:hint="eastAsia"/>
                <w:sz w:val="24"/>
                <w:szCs w:val="24"/>
              </w:rPr>
              <w:t>C.将报废汽车的机动车登记证书、号牌、行驶证交公安机关交通管理部门办理注销登记。</w:t>
            </w:r>
          </w:p>
          <w:p>
            <w:pPr>
              <w:ind w:firstLine="480"/>
              <w:rPr>
                <w:sz w:val="24"/>
                <w:szCs w:val="24"/>
              </w:rPr>
            </w:pPr>
            <w:r>
              <w:rPr>
                <w:rFonts w:hint="eastAsia"/>
                <w:sz w:val="24"/>
                <w:szCs w:val="24"/>
              </w:rPr>
              <w:t>D.向报废汽车车主发放《报废汽车回收证明》及有关注销书面材料。</w:t>
            </w:r>
          </w:p>
          <w:p>
            <w:pPr>
              <w:ind w:firstLine="480"/>
              <w:rPr>
                <w:sz w:val="24"/>
                <w:szCs w:val="24"/>
              </w:rPr>
            </w:pPr>
            <w:r>
              <w:rPr>
                <w:rFonts w:hint="eastAsia"/>
                <w:sz w:val="24"/>
                <w:szCs w:val="24"/>
              </w:rPr>
              <w:t>2）拆解预处理</w:t>
            </w:r>
          </w:p>
          <w:p>
            <w:pPr>
              <w:ind w:firstLine="480"/>
              <w:rPr>
                <w:sz w:val="24"/>
                <w:szCs w:val="24"/>
              </w:rPr>
            </w:pPr>
            <w:r>
              <w:rPr>
                <w:rFonts w:hint="eastAsia"/>
                <w:sz w:val="24"/>
                <w:szCs w:val="24"/>
              </w:rPr>
              <w:t>A.在室内或有防雨顶棚的拆解预处理平台上使用专用工具排空存留在车内的废液，并使用专用容器分类回收，各种废液的排空率应不低于90%。</w:t>
            </w:r>
          </w:p>
          <w:p>
            <w:pPr>
              <w:ind w:firstLine="480"/>
              <w:rPr>
                <w:sz w:val="24"/>
                <w:szCs w:val="24"/>
              </w:rPr>
            </w:pPr>
            <w:r>
              <w:rPr>
                <w:rFonts w:hint="eastAsia"/>
                <w:sz w:val="24"/>
                <w:szCs w:val="24"/>
              </w:rPr>
              <w:t>B.拆除蓄电池。尤其对破损蓄电池和泄漏电解液采用专门的密闭容器收集后暂存于危废仓库废铅蓄电池暂存区，避免铅酸电解液污染水体环境。</w:t>
            </w:r>
          </w:p>
          <w:p>
            <w:pPr>
              <w:ind w:firstLine="480"/>
              <w:rPr>
                <w:sz w:val="24"/>
                <w:szCs w:val="24"/>
              </w:rPr>
            </w:pPr>
            <w:r>
              <w:rPr>
                <w:rFonts w:hint="eastAsia"/>
                <w:sz w:val="24"/>
                <w:szCs w:val="24"/>
              </w:rPr>
              <w:t>C.回收空调制冷剂。采用冷媒回收机抽取空调系统中的制冷剂（R12或R134a）至专用的密闭容器。</w:t>
            </w:r>
          </w:p>
          <w:p>
            <w:pPr>
              <w:ind w:firstLine="480"/>
              <w:rPr>
                <w:sz w:val="24"/>
                <w:szCs w:val="24"/>
              </w:rPr>
            </w:pPr>
            <w:r>
              <w:rPr>
                <w:rFonts w:hint="eastAsia"/>
                <w:sz w:val="24"/>
                <w:szCs w:val="24"/>
              </w:rPr>
              <w:t>D.拆除油箱。油箱分为塑料材质和金属材质，拆除后分类存放。</w:t>
            </w:r>
          </w:p>
          <w:p>
            <w:pPr>
              <w:ind w:firstLine="480"/>
              <w:rPr>
                <w:sz w:val="24"/>
                <w:szCs w:val="24"/>
              </w:rPr>
            </w:pPr>
            <w:r>
              <w:rPr>
                <w:rFonts w:hint="eastAsia"/>
                <w:sz w:val="24"/>
                <w:szCs w:val="24"/>
              </w:rPr>
              <w:t>E.拆除安全气囊组件，采用安全气囊引爆器引爆气囊。安全气囊充气剂主要为叠氮化钠（NaN3），在近乎爆炸的化学反应快速发生的同时，会产生大量无害的以氮气为主的气体，将气囊充气至饱满的状态。同时在充气剂点燃的过程之中，点火器总成中的金属网罩可冷却快速膨胀的气体，随即气囊可由设计好的小排气口排气，排出的气体主要成分为氮气。引爆后的安全气囊不再具有环境风险，可作为一般尼龙材。</w:t>
            </w:r>
          </w:p>
          <w:p>
            <w:pPr>
              <w:ind w:firstLine="480"/>
              <w:rPr>
                <w:sz w:val="24"/>
                <w:szCs w:val="24"/>
              </w:rPr>
            </w:pPr>
            <w:r>
              <w:rPr>
                <w:rFonts w:hint="eastAsia"/>
                <w:sz w:val="24"/>
                <w:szCs w:val="24"/>
              </w:rPr>
              <w:t>F.拆除尾气净化装置、电容器</w:t>
            </w:r>
          </w:p>
          <w:p>
            <w:pPr>
              <w:ind w:firstLine="480"/>
              <w:rPr>
                <w:sz w:val="24"/>
                <w:szCs w:val="24"/>
              </w:rPr>
            </w:pPr>
            <w:r>
              <w:rPr>
                <w:rFonts w:hint="eastAsia"/>
                <w:sz w:val="24"/>
                <w:szCs w:val="24"/>
              </w:rPr>
              <w:t>尾气净化催化器是安装在汽车排气系统中机外净化装置，可将汽车尾气排出的CO、HC和NOx等有害气体通过氧化和还原作用转变为无害的CO</w:t>
            </w:r>
            <w:r>
              <w:rPr>
                <w:rFonts w:hint="eastAsia"/>
                <w:sz w:val="24"/>
                <w:szCs w:val="24"/>
                <w:vertAlign w:val="subscript"/>
              </w:rPr>
              <w:t>2</w:t>
            </w:r>
            <w:r>
              <w:rPr>
                <w:rFonts w:hint="eastAsia"/>
                <w:sz w:val="24"/>
                <w:szCs w:val="24"/>
              </w:rPr>
              <w:t>、O</w:t>
            </w:r>
            <w:r>
              <w:rPr>
                <w:rFonts w:hint="eastAsia"/>
                <w:sz w:val="24"/>
                <w:szCs w:val="24"/>
                <w:vertAlign w:val="subscript"/>
              </w:rPr>
              <w:t>2</w:t>
            </w:r>
            <w:r>
              <w:rPr>
                <w:rFonts w:hint="eastAsia"/>
                <w:sz w:val="24"/>
                <w:szCs w:val="24"/>
              </w:rPr>
              <w:t>和H</w:t>
            </w:r>
            <w:r>
              <w:rPr>
                <w:rFonts w:hint="eastAsia"/>
                <w:sz w:val="24"/>
                <w:szCs w:val="24"/>
                <w:vertAlign w:val="subscript"/>
              </w:rPr>
              <w:t>2</w:t>
            </w:r>
            <w:r>
              <w:rPr>
                <w:rFonts w:hint="eastAsia"/>
                <w:sz w:val="24"/>
                <w:szCs w:val="24"/>
              </w:rPr>
              <w:t>O。催化剂常用金的是属铂、铑、钯，将其中一种喷涂在载体上，就构成了净化剂。拆除后的尾气净化装置整个送至暂存库内，不再进行拆解，定期交由资质单位处置。</w:t>
            </w:r>
          </w:p>
          <w:p>
            <w:pPr>
              <w:ind w:firstLine="480"/>
              <w:rPr>
                <w:sz w:val="24"/>
                <w:szCs w:val="24"/>
              </w:rPr>
            </w:pPr>
            <w:r>
              <w:rPr>
                <w:rFonts w:hint="eastAsia"/>
                <w:sz w:val="24"/>
                <w:szCs w:val="24"/>
              </w:rPr>
              <w:t>汽车电容器含多氯联苯，属于危险废物。拆除后的汽车电容器不再拆解，与三元催化器分区储存，定期交由资质单位处置。</w:t>
            </w:r>
          </w:p>
          <w:p>
            <w:pPr>
              <w:ind w:firstLine="480"/>
              <w:rPr>
                <w:sz w:val="24"/>
                <w:szCs w:val="24"/>
              </w:rPr>
            </w:pPr>
            <w:r>
              <w:rPr>
                <w:rFonts w:hint="eastAsia"/>
                <w:sz w:val="24"/>
                <w:szCs w:val="24"/>
              </w:rPr>
              <w:t>3）未拆解报废汽车的暂存</w:t>
            </w:r>
          </w:p>
          <w:p>
            <w:pPr>
              <w:ind w:firstLine="480"/>
              <w:rPr>
                <w:sz w:val="24"/>
                <w:szCs w:val="24"/>
              </w:rPr>
            </w:pPr>
            <w:r>
              <w:rPr>
                <w:rFonts w:hint="eastAsia"/>
                <w:sz w:val="24"/>
                <w:szCs w:val="24"/>
              </w:rPr>
              <w:t>A.预处理后的报废汽车移入报废机动车贮存区暂存或直接进行拆解。</w:t>
            </w:r>
          </w:p>
          <w:p>
            <w:pPr>
              <w:ind w:firstLine="480"/>
              <w:rPr>
                <w:sz w:val="24"/>
                <w:szCs w:val="24"/>
              </w:rPr>
            </w:pPr>
            <w:r>
              <w:rPr>
                <w:rFonts w:hint="eastAsia"/>
                <w:sz w:val="24"/>
                <w:szCs w:val="24"/>
              </w:rPr>
              <w:t>B.所有车辆应避免侧放、倒放，电动汽车在动力蓄电池未拆卸前不允许叠放。</w:t>
            </w:r>
          </w:p>
          <w:p>
            <w:pPr>
              <w:ind w:firstLine="480"/>
              <w:rPr>
                <w:sz w:val="24"/>
                <w:szCs w:val="24"/>
              </w:rPr>
            </w:pPr>
            <w:r>
              <w:rPr>
                <w:rFonts w:hint="eastAsia"/>
                <w:sz w:val="24"/>
                <w:szCs w:val="24"/>
              </w:rPr>
              <w:t>C.汽车如需要叠放，应使上下车辆的重心尽量重合，以防掉落，且叠放时外侧高度不超过3m，内侧高度不超过3.5m；对大型车辆应单层平置。采用框架结构存放的，要考虑其承重安全性，做到结构合理，可靠性好，并且能够合理装卸。</w:t>
            </w:r>
          </w:p>
          <w:p>
            <w:pPr>
              <w:ind w:firstLine="480"/>
              <w:rPr>
                <w:sz w:val="24"/>
                <w:szCs w:val="24"/>
              </w:rPr>
            </w:pPr>
            <w:r>
              <w:rPr>
                <w:rFonts w:hint="eastAsia"/>
                <w:sz w:val="24"/>
                <w:szCs w:val="24"/>
              </w:rPr>
              <w:t>D.电动汽车在动力蓄电池未拆卸前应单独存储，应采取防火、防水、防爆、绝缘、隔热等安全保障措施。</w:t>
            </w:r>
          </w:p>
          <w:p>
            <w:pPr>
              <w:ind w:firstLine="480"/>
              <w:rPr>
                <w:sz w:val="24"/>
                <w:szCs w:val="24"/>
              </w:rPr>
            </w:pPr>
            <w:r>
              <w:rPr>
                <w:rFonts w:hint="eastAsia"/>
                <w:sz w:val="24"/>
                <w:szCs w:val="24"/>
              </w:rPr>
              <w:t>E.电动汽车中的事故车、测试车以及发生电池破损的车辆应隔离存放。</w:t>
            </w:r>
          </w:p>
          <w:p>
            <w:pPr>
              <w:ind w:firstLine="480"/>
              <w:rPr>
                <w:sz w:val="24"/>
                <w:szCs w:val="24"/>
              </w:rPr>
            </w:pPr>
            <w:r>
              <w:rPr>
                <w:rFonts w:hint="eastAsia"/>
                <w:sz w:val="24"/>
                <w:szCs w:val="24"/>
              </w:rPr>
              <w:t>4）拆解</w:t>
            </w:r>
          </w:p>
          <w:p>
            <w:pPr>
              <w:ind w:firstLine="480"/>
              <w:rPr>
                <w:sz w:val="24"/>
                <w:szCs w:val="24"/>
              </w:rPr>
            </w:pPr>
            <w:r>
              <w:rPr>
                <w:rFonts w:hint="eastAsia"/>
                <w:sz w:val="24"/>
                <w:szCs w:val="24"/>
              </w:rPr>
              <w:t>A.拆除玻璃；</w:t>
            </w:r>
          </w:p>
          <w:p>
            <w:pPr>
              <w:ind w:firstLine="480"/>
              <w:rPr>
                <w:sz w:val="24"/>
                <w:szCs w:val="24"/>
              </w:rPr>
            </w:pPr>
            <w:r>
              <w:rPr>
                <w:rFonts w:hint="eastAsia"/>
                <w:sz w:val="24"/>
                <w:szCs w:val="24"/>
              </w:rPr>
              <w:t>B.拆除包含有毒物质的部件（含有铅、汞、镉及六价铬的部件）；</w:t>
            </w:r>
          </w:p>
          <w:p>
            <w:pPr>
              <w:ind w:firstLine="480"/>
              <w:rPr>
                <w:sz w:val="24"/>
                <w:szCs w:val="24"/>
              </w:rPr>
            </w:pPr>
            <w:r>
              <w:rPr>
                <w:rFonts w:hint="eastAsia"/>
                <w:sz w:val="24"/>
                <w:szCs w:val="24"/>
              </w:rPr>
              <w:t>C.拆除消声器、转向锁总成、停车装置、倒车雷达及电子控制模块；</w:t>
            </w:r>
          </w:p>
          <w:p>
            <w:pPr>
              <w:ind w:firstLine="480"/>
              <w:rPr>
                <w:sz w:val="24"/>
                <w:szCs w:val="24"/>
              </w:rPr>
            </w:pPr>
            <w:r>
              <w:rPr>
                <w:rFonts w:hint="eastAsia"/>
                <w:sz w:val="24"/>
                <w:szCs w:val="24"/>
              </w:rPr>
              <w:t>D.拆除车轮并拆下轮胎；</w:t>
            </w:r>
          </w:p>
          <w:p>
            <w:pPr>
              <w:ind w:firstLine="480"/>
              <w:rPr>
                <w:sz w:val="24"/>
                <w:szCs w:val="24"/>
              </w:rPr>
            </w:pPr>
            <w:r>
              <w:rPr>
                <w:rFonts w:hint="eastAsia"/>
                <w:sz w:val="24"/>
                <w:szCs w:val="24"/>
              </w:rPr>
              <w:t>E.拆除能有效回收的含金属铜、铝、镁的部件，</w:t>
            </w:r>
          </w:p>
          <w:p>
            <w:pPr>
              <w:ind w:firstLine="480"/>
              <w:rPr>
                <w:sz w:val="24"/>
                <w:szCs w:val="24"/>
              </w:rPr>
            </w:pPr>
            <w:r>
              <w:rPr>
                <w:rFonts w:hint="eastAsia"/>
                <w:sz w:val="24"/>
                <w:szCs w:val="24"/>
              </w:rPr>
              <w:t>F.拆除能有效回收的大型塑料件（保险杠、仪表板、液体容器等）；</w:t>
            </w:r>
          </w:p>
          <w:p>
            <w:pPr>
              <w:ind w:firstLine="480"/>
              <w:rPr>
                <w:sz w:val="24"/>
                <w:szCs w:val="24"/>
              </w:rPr>
            </w:pPr>
            <w:r>
              <w:rPr>
                <w:rFonts w:hint="eastAsia"/>
                <w:sz w:val="24"/>
                <w:szCs w:val="24"/>
              </w:rPr>
              <w:t>G.拆除橡胶制品部件；</w:t>
            </w:r>
          </w:p>
          <w:p>
            <w:pPr>
              <w:ind w:firstLine="480"/>
              <w:rPr>
                <w:sz w:val="24"/>
                <w:szCs w:val="24"/>
              </w:rPr>
            </w:pPr>
            <w:r>
              <w:rPr>
                <w:rFonts w:hint="eastAsia"/>
                <w:sz w:val="24"/>
                <w:szCs w:val="24"/>
              </w:rPr>
              <w:t>H.拆解有关总成和其他零部件，并符合相关法规要求。</w:t>
            </w:r>
          </w:p>
          <w:p>
            <w:pPr>
              <w:ind w:firstLine="480"/>
              <w:rPr>
                <w:sz w:val="24"/>
                <w:szCs w:val="24"/>
              </w:rPr>
            </w:pPr>
            <w:r>
              <w:rPr>
                <w:rFonts w:hint="eastAsia"/>
                <w:sz w:val="24"/>
                <w:szCs w:val="24"/>
              </w:rPr>
              <w:t>拆解过程按从外到里，分成车身外观件拆除、车内装拆除和总成拆除三个部分，难拆解部分使用电切割，拆解后对发动机等五大总成不再进行破碎等工序处理，作为成品；不对电路板进一步拆解；拆解后的车门、车身、悬架等运至打包区，直接压块打包后外售。</w:t>
            </w:r>
          </w:p>
          <w:p>
            <w:pPr>
              <w:ind w:firstLine="480"/>
              <w:rPr>
                <w:sz w:val="24"/>
                <w:szCs w:val="24"/>
              </w:rPr>
            </w:pPr>
            <w:r>
              <w:rPr>
                <w:rFonts w:hint="eastAsia"/>
                <w:sz w:val="24"/>
                <w:szCs w:val="24"/>
              </w:rPr>
              <w:t>报废的大型客货车及其他营运车辆应按照国家有关规定在公安机关交通管理部门的监督下解体。</w:t>
            </w:r>
          </w:p>
          <w:p>
            <w:pPr>
              <w:ind w:firstLine="480"/>
              <w:rPr>
                <w:sz w:val="24"/>
                <w:szCs w:val="24"/>
              </w:rPr>
            </w:pPr>
            <w:r>
              <w:rPr>
                <w:rFonts w:hint="eastAsia"/>
                <w:sz w:val="24"/>
                <w:szCs w:val="24"/>
              </w:rPr>
              <w:t>5）分类存储和管理</w:t>
            </w:r>
          </w:p>
          <w:p>
            <w:pPr>
              <w:ind w:firstLine="480"/>
              <w:rPr>
                <w:sz w:val="24"/>
                <w:szCs w:val="24"/>
              </w:rPr>
            </w:pPr>
            <w:r>
              <w:rPr>
                <w:rFonts w:hint="eastAsia"/>
                <w:sz w:val="24"/>
                <w:szCs w:val="24"/>
              </w:rPr>
              <w:t>对拆解下来的零部件进行分类，分别储存。</w:t>
            </w:r>
          </w:p>
          <w:p>
            <w:pPr>
              <w:ind w:firstLine="480"/>
              <w:rPr>
                <w:sz w:val="24"/>
                <w:szCs w:val="24"/>
              </w:rPr>
            </w:pPr>
            <w:r>
              <w:rPr>
                <w:rFonts w:hint="eastAsia"/>
                <w:sz w:val="24"/>
                <w:szCs w:val="24"/>
              </w:rPr>
              <w:t>A.使用专用密闭容器存储废液，防止废液挥发，并交给合法的废液回收处理企业。</w:t>
            </w:r>
          </w:p>
          <w:p>
            <w:pPr>
              <w:ind w:firstLine="480"/>
              <w:rPr>
                <w:sz w:val="24"/>
                <w:szCs w:val="24"/>
              </w:rPr>
            </w:pPr>
            <w:r>
              <w:rPr>
                <w:rFonts w:hint="eastAsia"/>
                <w:sz w:val="24"/>
                <w:szCs w:val="24"/>
              </w:rPr>
              <w:t>B.拆解后废弃物的储存严格按照GB18599和GB18597要求执行，对存储的各种零部件、材料、废弃物的容器进行标识，避免混合、混放。</w:t>
            </w:r>
          </w:p>
          <w:p>
            <w:pPr>
              <w:ind w:firstLine="480"/>
              <w:rPr>
                <w:sz w:val="24"/>
                <w:szCs w:val="24"/>
              </w:rPr>
            </w:pPr>
            <w:r>
              <w:rPr>
                <w:rFonts w:hint="eastAsia"/>
                <w:sz w:val="24"/>
                <w:szCs w:val="24"/>
              </w:rPr>
              <w:t>C.对拆解后的所有的材料、废弃物进行分类存储和标识，含有害物质的部件标明有害物质的种类。对于不可利用的废钢铁进行打包、存放。</w:t>
            </w:r>
          </w:p>
          <w:p>
            <w:pPr>
              <w:ind w:firstLine="480"/>
              <w:rPr>
                <w:sz w:val="24"/>
                <w:szCs w:val="24"/>
              </w:rPr>
            </w:pPr>
            <w:r>
              <w:rPr>
                <w:rFonts w:hint="eastAsia"/>
                <w:sz w:val="24"/>
                <w:szCs w:val="24"/>
              </w:rPr>
              <w:t>D.危险废物交由具有相应资质的单位进行处理处置。</w:t>
            </w:r>
          </w:p>
          <w:p>
            <w:pPr>
              <w:ind w:firstLine="480"/>
              <w:rPr>
                <w:sz w:val="24"/>
                <w:szCs w:val="24"/>
              </w:rPr>
            </w:pPr>
            <w:r>
              <w:rPr>
                <w:rFonts w:hint="eastAsia"/>
                <w:sz w:val="24"/>
                <w:szCs w:val="24"/>
              </w:rPr>
              <w:t>E.制定报废机动车拆解台账登记制度，建立详实完整的报废机动车回收拆解档案和数据库，对回收的报废汽车逐车登记。如实记录每批报废机动车的来源、类型、重量（数量），接受、拆解、贮存、处置的时间，运输单位的名称和联系方式，拆解得到的产品和不可回收利用的废物的数量和去向。对于事故车辆等，还应包括车辆破损情况、缺失部件等详细信息，并留存相应照片。档案和数据库的保存期不少于3年。拆解报废后的发动机号码、车架号码的拓印膜、照片等资料完整留存备查。</w:t>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0" w:firstLineChars="0"/>
              <w:jc w:val="center"/>
              <w:rPr>
                <w:sz w:val="24"/>
                <w:szCs w:val="24"/>
              </w:rPr>
            </w:pPr>
            <w:r>
              <w:rPr>
                <w:sz w:val="24"/>
                <w:szCs w:val="24"/>
              </w:rPr>
              <w:drawing>
                <wp:inline distT="0" distB="0" distL="0" distR="0">
                  <wp:extent cx="5355590" cy="7819390"/>
                  <wp:effectExtent l="1905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noChangeArrowheads="1"/>
                          </pic:cNvPicPr>
                        </pic:nvPicPr>
                        <pic:blipFill>
                          <a:blip r:embed="rId18" cstate="print"/>
                          <a:srcRect/>
                          <a:stretch>
                            <a:fillRect/>
                          </a:stretch>
                        </pic:blipFill>
                        <pic:spPr>
                          <a:xfrm>
                            <a:off x="0" y="0"/>
                            <a:ext cx="5357634" cy="7821876"/>
                          </a:xfrm>
                          <a:prstGeom prst="rect">
                            <a:avLst/>
                          </a:prstGeom>
                          <a:noFill/>
                          <a:ln w="9525">
                            <a:noFill/>
                            <a:miter lim="800000"/>
                            <a:headEnd/>
                            <a:tailEnd/>
                          </a:ln>
                        </pic:spPr>
                      </pic:pic>
                    </a:graphicData>
                  </a:graphic>
                </wp:inline>
              </w:drawing>
            </w:r>
          </w:p>
          <w:p>
            <w:pPr>
              <w:pStyle w:val="34"/>
              <w:ind w:firstLine="422"/>
              <w:rPr>
                <w:b/>
                <w:sz w:val="24"/>
              </w:rPr>
            </w:pPr>
            <w:r>
              <w:rPr>
                <w:rFonts w:hint="eastAsia"/>
                <w:b/>
                <w:sz w:val="24"/>
              </w:rPr>
              <w:t>图</w:t>
            </w:r>
            <w:r>
              <w:rPr>
                <w:b/>
                <w:sz w:val="24"/>
              </w:rPr>
              <w:t>2-</w:t>
            </w:r>
            <w:r>
              <w:rPr>
                <w:rFonts w:hint="eastAsia"/>
                <w:b/>
                <w:sz w:val="24"/>
              </w:rPr>
              <w:t>9</w:t>
            </w:r>
            <w:r>
              <w:rPr>
                <w:b/>
                <w:sz w:val="24"/>
              </w:rPr>
              <w:t xml:space="preserve">  </w:t>
            </w:r>
            <w:r>
              <w:rPr>
                <w:rFonts w:hint="eastAsia"/>
                <w:b/>
                <w:sz w:val="24"/>
              </w:rPr>
              <w:t>报废</w:t>
            </w:r>
            <w:r>
              <w:rPr>
                <w:rFonts w:hint="eastAsia"/>
                <w:b/>
                <w:bCs/>
                <w:sz w:val="24"/>
              </w:rPr>
              <w:t>传统燃料汽车拆解</w:t>
            </w:r>
            <w:r>
              <w:rPr>
                <w:b/>
                <w:sz w:val="24"/>
              </w:rPr>
              <w:t>工序及产污环节图</w:t>
            </w:r>
          </w:p>
          <w:p>
            <w:pPr>
              <w:ind w:firstLine="480"/>
              <w:rPr>
                <w:sz w:val="24"/>
                <w:szCs w:val="24"/>
              </w:rPr>
            </w:pPr>
            <w:r>
              <w:rPr>
                <w:rFonts w:hint="eastAsia"/>
                <w:sz w:val="24"/>
                <w:szCs w:val="24"/>
              </w:rPr>
              <w:t>②报废电动汽车拆解</w:t>
            </w:r>
          </w:p>
          <w:p>
            <w:pPr>
              <w:ind w:firstLine="480"/>
              <w:rPr>
                <w:sz w:val="24"/>
                <w:szCs w:val="24"/>
              </w:rPr>
            </w:pPr>
            <w:r>
              <w:rPr>
                <w:rFonts w:hint="eastAsia"/>
                <w:sz w:val="24"/>
                <w:szCs w:val="24"/>
              </w:rPr>
              <w:t>1）拆解预处理</w:t>
            </w:r>
          </w:p>
          <w:p>
            <w:pPr>
              <w:ind w:firstLine="480"/>
              <w:rPr>
                <w:sz w:val="24"/>
                <w:szCs w:val="24"/>
              </w:rPr>
            </w:pPr>
            <w:r>
              <w:rPr>
                <w:rFonts w:hint="eastAsia"/>
                <w:sz w:val="24"/>
                <w:szCs w:val="24"/>
              </w:rPr>
              <w:t>A.检查车身有无漏液、有无带电；</w:t>
            </w:r>
          </w:p>
          <w:p>
            <w:pPr>
              <w:ind w:firstLine="480"/>
              <w:rPr>
                <w:sz w:val="24"/>
                <w:szCs w:val="24"/>
              </w:rPr>
            </w:pPr>
            <w:r>
              <w:rPr>
                <w:rFonts w:hint="eastAsia"/>
                <w:sz w:val="24"/>
                <w:szCs w:val="24"/>
              </w:rPr>
              <w:t>B.检查动力蓄电池布局和安装位置，确认诊断接口是否完好；</w:t>
            </w:r>
          </w:p>
          <w:p>
            <w:pPr>
              <w:ind w:firstLine="480"/>
              <w:rPr>
                <w:sz w:val="24"/>
                <w:szCs w:val="24"/>
              </w:rPr>
            </w:pPr>
            <w:r>
              <w:rPr>
                <w:rFonts w:hint="eastAsia"/>
                <w:sz w:val="24"/>
                <w:szCs w:val="24"/>
              </w:rPr>
              <w:t>C.对动力蓄电池电压、温度等参数进行检测，评估其安全状态；</w:t>
            </w:r>
          </w:p>
          <w:p>
            <w:pPr>
              <w:ind w:firstLine="480"/>
              <w:rPr>
                <w:sz w:val="24"/>
                <w:szCs w:val="24"/>
              </w:rPr>
            </w:pPr>
            <w:r>
              <w:rPr>
                <w:rFonts w:hint="eastAsia"/>
                <w:sz w:val="24"/>
                <w:szCs w:val="24"/>
              </w:rPr>
              <w:t>D.断开动力蓄电池电源；</w:t>
            </w:r>
          </w:p>
          <w:p>
            <w:pPr>
              <w:ind w:firstLine="480"/>
              <w:rPr>
                <w:sz w:val="24"/>
                <w:szCs w:val="24"/>
              </w:rPr>
            </w:pPr>
            <w:r>
              <w:rPr>
                <w:rFonts w:hint="eastAsia"/>
                <w:sz w:val="24"/>
                <w:szCs w:val="24"/>
              </w:rPr>
              <w:t>E.在室内或有防雨顶棚的拆解预处理平台上使用防静电专用工具排空存留在车内的废液，并使用专用容器分类回收，各种废液的排空率应不低于90%；</w:t>
            </w:r>
          </w:p>
          <w:p>
            <w:pPr>
              <w:ind w:firstLine="480"/>
              <w:rPr>
                <w:sz w:val="24"/>
                <w:szCs w:val="24"/>
              </w:rPr>
            </w:pPr>
            <w:r>
              <w:rPr>
                <w:rFonts w:hint="eastAsia"/>
                <w:sz w:val="24"/>
                <w:szCs w:val="24"/>
              </w:rPr>
              <w:t>F.使用防静电专门设备回收汽车空调制冷剂；</w:t>
            </w:r>
          </w:p>
          <w:p>
            <w:pPr>
              <w:ind w:firstLine="480"/>
              <w:rPr>
                <w:sz w:val="24"/>
                <w:szCs w:val="24"/>
              </w:rPr>
            </w:pPr>
            <w:r>
              <w:rPr>
                <w:rFonts w:hint="eastAsia"/>
                <w:sz w:val="24"/>
                <w:szCs w:val="24"/>
              </w:rPr>
              <w:t>G.其他预处理作业内容参照报废汽车（新能源汽车）。</w:t>
            </w:r>
          </w:p>
          <w:p>
            <w:pPr>
              <w:ind w:firstLine="480"/>
              <w:rPr>
                <w:sz w:val="24"/>
                <w:szCs w:val="24"/>
              </w:rPr>
            </w:pPr>
            <w:r>
              <w:rPr>
                <w:rFonts w:hint="eastAsia"/>
                <w:sz w:val="24"/>
                <w:szCs w:val="24"/>
              </w:rPr>
              <w:t>2）拆解</w:t>
            </w:r>
          </w:p>
          <w:p>
            <w:pPr>
              <w:ind w:firstLine="480"/>
              <w:rPr>
                <w:sz w:val="24"/>
                <w:szCs w:val="24"/>
              </w:rPr>
            </w:pPr>
            <w:r>
              <w:rPr>
                <w:rFonts w:hint="eastAsia"/>
                <w:sz w:val="24"/>
                <w:szCs w:val="24"/>
              </w:rPr>
              <w:t>A.拆卸动力蓄电池阻挡部件，如引擎盖、行李箱盖、车门等；</w:t>
            </w:r>
          </w:p>
          <w:p>
            <w:pPr>
              <w:ind w:firstLine="480"/>
              <w:rPr>
                <w:sz w:val="24"/>
                <w:szCs w:val="24"/>
              </w:rPr>
            </w:pPr>
            <w:r>
              <w:rPr>
                <w:rFonts w:hint="eastAsia"/>
                <w:sz w:val="24"/>
                <w:szCs w:val="24"/>
              </w:rPr>
              <w:t>B.断开电压线束（电缆）；采用相应方式拆卸不同安装位置的动力蓄电池；</w:t>
            </w:r>
          </w:p>
          <w:p>
            <w:pPr>
              <w:ind w:firstLine="480"/>
              <w:rPr>
                <w:sz w:val="24"/>
                <w:szCs w:val="24"/>
              </w:rPr>
            </w:pPr>
            <w:r>
              <w:rPr>
                <w:rFonts w:hint="eastAsia"/>
                <w:sz w:val="24"/>
                <w:szCs w:val="24"/>
              </w:rPr>
              <w:t>C.收集采用液冷结构方式散热的动力蓄电池包（组）内的冷却液；</w:t>
            </w:r>
          </w:p>
          <w:p>
            <w:pPr>
              <w:ind w:firstLine="480"/>
              <w:rPr>
                <w:sz w:val="24"/>
                <w:szCs w:val="24"/>
              </w:rPr>
            </w:pPr>
            <w:r>
              <w:rPr>
                <w:rFonts w:hint="eastAsia"/>
                <w:sz w:val="24"/>
                <w:szCs w:val="24"/>
              </w:rPr>
              <w:t>D.对拆卸下的动力蓄电池线束接头、正负极片等外露线束和金属物进行绝缘处理，并在其明显位置处贴上标签，标明绝缘状况；</w:t>
            </w:r>
          </w:p>
          <w:p>
            <w:pPr>
              <w:ind w:firstLine="480"/>
              <w:rPr>
                <w:sz w:val="24"/>
                <w:szCs w:val="24"/>
              </w:rPr>
            </w:pPr>
            <w:r>
              <w:rPr>
                <w:rFonts w:hint="eastAsia"/>
                <w:sz w:val="24"/>
                <w:szCs w:val="24"/>
              </w:rPr>
              <w:t>E.收集驱动电机总成内残余冷却液后，拆除驱动电机；</w:t>
            </w:r>
          </w:p>
          <w:p>
            <w:pPr>
              <w:ind w:firstLine="480"/>
              <w:rPr>
                <w:sz w:val="24"/>
                <w:szCs w:val="24"/>
              </w:rPr>
            </w:pPr>
            <w:r>
              <w:rPr>
                <w:rFonts w:hint="eastAsia"/>
                <w:sz w:val="24"/>
                <w:szCs w:val="24"/>
              </w:rPr>
              <w:t>F.其他拆解作业内容参照报废传统燃料汽车。</w:t>
            </w:r>
          </w:p>
          <w:p>
            <w:pPr>
              <w:ind w:firstLine="480"/>
              <w:rPr>
                <w:sz w:val="24"/>
                <w:szCs w:val="24"/>
              </w:rPr>
            </w:pPr>
          </w:p>
          <w:p>
            <w:pPr>
              <w:pStyle w:val="15"/>
            </w:pPr>
          </w:p>
          <w:p>
            <w:pPr>
              <w:pStyle w:val="7"/>
              <w:ind w:firstLine="210"/>
            </w:pPr>
          </w:p>
          <w:p>
            <w:pPr>
              <w:ind w:firstLine="420"/>
            </w:pPr>
          </w:p>
          <w:p>
            <w:pPr>
              <w:pStyle w:val="15"/>
            </w:pPr>
          </w:p>
          <w:p>
            <w:pPr>
              <w:pStyle w:val="7"/>
              <w:ind w:firstLine="210"/>
            </w:pPr>
          </w:p>
          <w:p>
            <w:pPr>
              <w:ind w:firstLine="420"/>
            </w:pPr>
          </w:p>
          <w:p>
            <w:pPr>
              <w:ind w:firstLine="420"/>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2"/>
              <w:rPr>
                <w:b/>
                <w:sz w:val="24"/>
                <w:szCs w:val="24"/>
              </w:rPr>
            </w:pPr>
            <w:r>
              <w:rPr>
                <w:b/>
                <w:sz w:val="24"/>
                <w:szCs w:val="24"/>
              </w:rPr>
              <w:drawing>
                <wp:inline distT="0" distB="0" distL="0" distR="0">
                  <wp:extent cx="5074920" cy="8090535"/>
                  <wp:effectExtent l="0" t="0" r="5080" b="1206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19" cstate="print"/>
                          <a:srcRect/>
                          <a:stretch>
                            <a:fillRect/>
                          </a:stretch>
                        </pic:blipFill>
                        <pic:spPr>
                          <a:xfrm>
                            <a:off x="0" y="0"/>
                            <a:ext cx="5076299" cy="8092392"/>
                          </a:xfrm>
                          <a:prstGeom prst="rect">
                            <a:avLst/>
                          </a:prstGeom>
                          <a:noFill/>
                          <a:ln w="9525">
                            <a:noFill/>
                            <a:miter lim="800000"/>
                            <a:headEnd/>
                            <a:tailEnd/>
                          </a:ln>
                        </pic:spPr>
                      </pic:pic>
                    </a:graphicData>
                  </a:graphic>
                </wp:inline>
              </w:drawing>
            </w:r>
          </w:p>
          <w:p>
            <w:pPr>
              <w:ind w:firstLine="482"/>
              <w:jc w:val="center"/>
              <w:rPr>
                <w:b/>
                <w:sz w:val="24"/>
                <w:szCs w:val="24"/>
              </w:rPr>
            </w:pPr>
            <w:r>
              <w:rPr>
                <w:rFonts w:hint="eastAsia"/>
                <w:b/>
                <w:sz w:val="24"/>
              </w:rPr>
              <w:t>图</w:t>
            </w:r>
            <w:r>
              <w:rPr>
                <w:b/>
                <w:sz w:val="24"/>
              </w:rPr>
              <w:t>2-</w:t>
            </w:r>
            <w:r>
              <w:rPr>
                <w:rFonts w:hint="eastAsia"/>
                <w:b/>
                <w:sz w:val="24"/>
              </w:rPr>
              <w:t>10</w:t>
            </w:r>
            <w:r>
              <w:rPr>
                <w:b/>
                <w:sz w:val="24"/>
              </w:rPr>
              <w:t xml:space="preserve">  </w:t>
            </w:r>
            <w:r>
              <w:rPr>
                <w:rFonts w:hint="eastAsia"/>
                <w:b/>
                <w:sz w:val="24"/>
              </w:rPr>
              <w:t>报废电动汽车</w:t>
            </w:r>
            <w:r>
              <w:rPr>
                <w:rFonts w:hint="eastAsia"/>
                <w:b/>
                <w:bCs/>
                <w:sz w:val="24"/>
              </w:rPr>
              <w:t>拆解</w:t>
            </w:r>
            <w:r>
              <w:rPr>
                <w:b/>
                <w:sz w:val="24"/>
              </w:rPr>
              <w:t>工序及产污环节图</w:t>
            </w:r>
          </w:p>
          <w:p>
            <w:pPr>
              <w:ind w:firstLine="480"/>
              <w:rPr>
                <w:sz w:val="24"/>
                <w:szCs w:val="24"/>
              </w:rPr>
            </w:pPr>
          </w:p>
          <w:p>
            <w:pPr>
              <w:ind w:firstLine="480"/>
              <w:rPr>
                <w:sz w:val="24"/>
                <w:szCs w:val="24"/>
              </w:rPr>
            </w:pPr>
            <w:r>
              <w:rPr>
                <w:rFonts w:hint="eastAsia"/>
                <w:sz w:val="24"/>
                <w:szCs w:val="24"/>
              </w:rPr>
              <w:t>③报废摩托车拆解</w:t>
            </w:r>
          </w:p>
          <w:p>
            <w:pPr>
              <w:ind w:firstLine="480"/>
              <w:rPr>
                <w:sz w:val="24"/>
                <w:szCs w:val="24"/>
              </w:rPr>
            </w:pPr>
            <w:r>
              <w:rPr>
                <w:rFonts w:hint="eastAsia"/>
                <w:sz w:val="24"/>
                <w:szCs w:val="24"/>
              </w:rPr>
              <w:t>工艺流程简述：</w:t>
            </w:r>
          </w:p>
          <w:p>
            <w:pPr>
              <w:ind w:firstLine="480"/>
              <w:rPr>
                <w:sz w:val="24"/>
                <w:szCs w:val="24"/>
              </w:rPr>
            </w:pPr>
            <w:r>
              <w:rPr>
                <w:rFonts w:hint="eastAsia"/>
                <w:sz w:val="24"/>
                <w:szCs w:val="24"/>
              </w:rPr>
              <w:t>1）拆解预处理</w:t>
            </w:r>
          </w:p>
          <w:p>
            <w:pPr>
              <w:ind w:firstLine="480"/>
              <w:rPr>
                <w:sz w:val="24"/>
                <w:szCs w:val="24"/>
              </w:rPr>
            </w:pPr>
            <w:r>
              <w:rPr>
                <w:rFonts w:hint="eastAsia"/>
                <w:sz w:val="24"/>
                <w:szCs w:val="24"/>
              </w:rPr>
              <w:t>A.使用专用工具和容器排空和收集车内的废油液。</w:t>
            </w:r>
          </w:p>
          <w:p>
            <w:pPr>
              <w:ind w:firstLine="480"/>
              <w:rPr>
                <w:sz w:val="24"/>
                <w:szCs w:val="24"/>
              </w:rPr>
            </w:pPr>
            <w:r>
              <w:rPr>
                <w:rFonts w:hint="eastAsia"/>
                <w:sz w:val="24"/>
                <w:szCs w:val="24"/>
              </w:rPr>
              <w:t>B.拆除蓄电池，将蓄电池送至危废暂存仓库内暂存。</w:t>
            </w:r>
          </w:p>
          <w:p>
            <w:pPr>
              <w:ind w:firstLine="480"/>
              <w:rPr>
                <w:sz w:val="24"/>
                <w:szCs w:val="24"/>
              </w:rPr>
            </w:pPr>
            <w:r>
              <w:rPr>
                <w:rFonts w:hint="eastAsia"/>
                <w:sz w:val="24"/>
                <w:szCs w:val="24"/>
              </w:rPr>
              <w:t>C.拆除油箱，在废燃料油回收区排空油液。</w:t>
            </w:r>
          </w:p>
          <w:p>
            <w:pPr>
              <w:ind w:firstLine="480"/>
              <w:rPr>
                <w:sz w:val="24"/>
                <w:szCs w:val="24"/>
              </w:rPr>
            </w:pPr>
            <w:r>
              <w:rPr>
                <w:rFonts w:hint="eastAsia"/>
                <w:sz w:val="24"/>
                <w:szCs w:val="24"/>
              </w:rPr>
              <w:t>D.拆除催化系统。</w:t>
            </w:r>
          </w:p>
          <w:p>
            <w:pPr>
              <w:ind w:firstLine="480"/>
              <w:rPr>
                <w:sz w:val="24"/>
                <w:szCs w:val="24"/>
              </w:rPr>
            </w:pPr>
            <w:r>
              <w:rPr>
                <w:rFonts w:hint="eastAsia"/>
                <w:sz w:val="24"/>
                <w:szCs w:val="24"/>
              </w:rPr>
              <w:t>2）拆解</w:t>
            </w:r>
          </w:p>
          <w:p>
            <w:pPr>
              <w:ind w:firstLine="480"/>
              <w:rPr>
                <w:sz w:val="24"/>
                <w:szCs w:val="24"/>
              </w:rPr>
            </w:pPr>
            <w:r>
              <w:rPr>
                <w:rFonts w:hint="eastAsia"/>
                <w:sz w:val="24"/>
                <w:szCs w:val="24"/>
              </w:rPr>
              <w:t>A.拆除车身的全部电线，拆除仪表、照明系统、信号系统等电器设备；</w:t>
            </w:r>
          </w:p>
          <w:p>
            <w:pPr>
              <w:ind w:firstLine="480"/>
              <w:rPr>
                <w:sz w:val="24"/>
                <w:szCs w:val="24"/>
              </w:rPr>
            </w:pPr>
            <w:r>
              <w:rPr>
                <w:rFonts w:hint="eastAsia"/>
                <w:sz w:val="24"/>
                <w:szCs w:val="24"/>
              </w:rPr>
              <w:t>B.拆除传动装置及连接件；</w:t>
            </w:r>
          </w:p>
          <w:p>
            <w:pPr>
              <w:ind w:firstLine="480"/>
              <w:rPr>
                <w:sz w:val="24"/>
                <w:szCs w:val="24"/>
              </w:rPr>
            </w:pPr>
            <w:r>
              <w:rPr>
                <w:rFonts w:hint="eastAsia"/>
                <w:sz w:val="24"/>
                <w:szCs w:val="24"/>
              </w:rPr>
              <w:t>C.拆除变速操作杆件、离合器操作件等及其各种连接；</w:t>
            </w:r>
          </w:p>
          <w:p>
            <w:pPr>
              <w:ind w:firstLine="480"/>
              <w:rPr>
                <w:sz w:val="24"/>
                <w:szCs w:val="24"/>
              </w:rPr>
            </w:pPr>
            <w:r>
              <w:rPr>
                <w:rFonts w:hint="eastAsia"/>
                <w:sz w:val="24"/>
                <w:szCs w:val="24"/>
              </w:rPr>
              <w:t>D.拆除发动机、变速箱以及与其零部件相连的电路、气路管件、油路管件、进气管、排气管；</w:t>
            </w:r>
          </w:p>
          <w:p>
            <w:pPr>
              <w:ind w:firstLine="480"/>
              <w:rPr>
                <w:sz w:val="24"/>
                <w:szCs w:val="24"/>
              </w:rPr>
            </w:pPr>
            <w:r>
              <w:rPr>
                <w:rFonts w:hint="eastAsia"/>
                <w:sz w:val="24"/>
                <w:szCs w:val="24"/>
              </w:rPr>
              <w:t>E.拆除前后叉、车轮、链条以及余下的零部件和车架总体。</w:t>
            </w:r>
          </w:p>
          <w:p>
            <w:pPr>
              <w:ind w:firstLine="480"/>
              <w:rPr>
                <w:sz w:val="24"/>
                <w:szCs w:val="24"/>
              </w:rPr>
            </w:pPr>
            <w:r>
              <w:rPr>
                <w:rFonts w:hint="eastAsia"/>
                <w:sz w:val="24"/>
                <w:szCs w:val="24"/>
              </w:rPr>
              <w:t>3）分类储存、打包</w:t>
            </w:r>
          </w:p>
          <w:p>
            <w:pPr>
              <w:ind w:firstLine="480"/>
              <w:rPr>
                <w:sz w:val="24"/>
                <w:szCs w:val="24"/>
              </w:rPr>
            </w:pPr>
            <w:r>
              <w:rPr>
                <w:rFonts w:hint="eastAsia"/>
                <w:sz w:val="24"/>
                <w:szCs w:val="24"/>
              </w:rPr>
              <w:t>经拆解后的摩托车除废塑料和废橡胶外，其余金属进行分类储存。</w:t>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r>
              <w:rPr>
                <w:sz w:val="24"/>
                <w:szCs w:val="24"/>
              </w:rPr>
              <w:drawing>
                <wp:inline distT="0" distB="0" distL="0" distR="0">
                  <wp:extent cx="5023485" cy="6828155"/>
                  <wp:effectExtent l="19050" t="0" r="5526"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58" cy="6850580"/>
                          </a:xfrm>
                          <a:prstGeom prst="rect">
                            <a:avLst/>
                          </a:prstGeom>
                        </pic:spPr>
                      </pic:pic>
                    </a:graphicData>
                  </a:graphic>
                </wp:inline>
              </w:drawing>
            </w:r>
          </w:p>
          <w:p>
            <w:pPr>
              <w:ind w:firstLine="482"/>
              <w:jc w:val="center"/>
              <w:rPr>
                <w:sz w:val="24"/>
                <w:szCs w:val="24"/>
              </w:rPr>
            </w:pPr>
            <w:r>
              <w:rPr>
                <w:rFonts w:hint="eastAsia"/>
                <w:b/>
                <w:sz w:val="24"/>
              </w:rPr>
              <w:t>图</w:t>
            </w:r>
            <w:r>
              <w:rPr>
                <w:b/>
                <w:sz w:val="24"/>
              </w:rPr>
              <w:t>2-</w:t>
            </w:r>
            <w:r>
              <w:rPr>
                <w:rFonts w:hint="eastAsia"/>
                <w:b/>
                <w:sz w:val="24"/>
              </w:rPr>
              <w:t xml:space="preserve">11 </w:t>
            </w:r>
            <w:r>
              <w:rPr>
                <w:b/>
                <w:sz w:val="24"/>
              </w:rPr>
              <w:t xml:space="preserve"> </w:t>
            </w:r>
            <w:r>
              <w:rPr>
                <w:rFonts w:hint="eastAsia"/>
                <w:b/>
                <w:sz w:val="24"/>
              </w:rPr>
              <w:t>报废摩托车</w:t>
            </w:r>
            <w:r>
              <w:rPr>
                <w:rFonts w:hint="eastAsia"/>
                <w:b/>
                <w:bCs/>
                <w:sz w:val="24"/>
              </w:rPr>
              <w:t>拆解</w:t>
            </w:r>
            <w:r>
              <w:rPr>
                <w:b/>
                <w:sz w:val="24"/>
              </w:rPr>
              <w:t>工序及产污环节图</w:t>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r>
              <w:rPr>
                <w:sz w:val="24"/>
                <w:szCs w:val="24"/>
              </w:rPr>
              <w:t>产污环节分析</w:t>
            </w:r>
            <w:r>
              <w:rPr>
                <w:rFonts w:hint="eastAsia"/>
                <w:sz w:val="24"/>
                <w:szCs w:val="24"/>
              </w:rPr>
              <w:t>：</w:t>
            </w:r>
          </w:p>
          <w:p>
            <w:pPr>
              <w:pStyle w:val="34"/>
              <w:rPr>
                <w:b/>
                <w:kern w:val="0"/>
                <w:sz w:val="24"/>
              </w:rPr>
            </w:pPr>
            <w:r>
              <w:rPr>
                <w:b/>
                <w:sz w:val="24"/>
              </w:rPr>
              <w:t>表2-</w:t>
            </w:r>
            <w:r>
              <w:rPr>
                <w:rFonts w:hint="eastAsia"/>
                <w:b/>
                <w:sz w:val="24"/>
              </w:rPr>
              <w:t>6</w:t>
            </w:r>
            <w:r>
              <w:rPr>
                <w:b/>
                <w:sz w:val="24"/>
              </w:rPr>
              <w:t xml:space="preserve">  运营期产污环节及污染因子</w:t>
            </w:r>
          </w:p>
          <w:tbl>
            <w:tblPr>
              <w:tblStyle w:val="21"/>
              <w:tblW w:w="8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503"/>
              <w:gridCol w:w="2126"/>
              <w:gridCol w:w="1560"/>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09" w:hRule="atLeast"/>
              </w:trPr>
              <w:tc>
                <w:tcPr>
                  <w:tcW w:w="3147"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rFonts w:hint="eastAsia" w:cs="宋体"/>
                      <w:b/>
                      <w:szCs w:val="21"/>
                    </w:rPr>
                    <w:t>类型</w:t>
                  </w:r>
                </w:p>
              </w:tc>
              <w:tc>
                <w:tcPr>
                  <w:tcW w:w="2126"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rFonts w:hint="eastAsia" w:cs="宋体"/>
                      <w:b/>
                      <w:szCs w:val="21"/>
                    </w:rPr>
                    <w:t>产生工序</w:t>
                  </w:r>
                </w:p>
              </w:tc>
              <w:tc>
                <w:tcPr>
                  <w:tcW w:w="1560"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rFonts w:hint="eastAsia" w:cs="宋体"/>
                      <w:b/>
                      <w:szCs w:val="21"/>
                    </w:rPr>
                    <w:t>主要污染物</w:t>
                  </w:r>
                </w:p>
              </w:tc>
              <w:tc>
                <w:tcPr>
                  <w:tcW w:w="1274"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rFonts w:hint="eastAsia" w:cs="宋体"/>
                      <w:b/>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4" w:type="dxa"/>
                  <w:vMerge w:val="restart"/>
                  <w:tcBorders>
                    <w:top w:val="single" w:color="auto" w:sz="4" w:space="0"/>
                    <w:left w:val="single" w:color="auto" w:sz="4" w:space="0"/>
                    <w:right w:val="single" w:color="auto" w:sz="4" w:space="0"/>
                  </w:tcBorders>
                  <w:vAlign w:val="center"/>
                </w:tcPr>
                <w:p>
                  <w:pPr>
                    <w:pStyle w:val="34"/>
                    <w:rPr>
                      <w:szCs w:val="21"/>
                    </w:rPr>
                  </w:pPr>
                  <w:r>
                    <w:rPr>
                      <w:rFonts w:hint="eastAsia" w:cs="宋体"/>
                      <w:szCs w:val="21"/>
                    </w:rPr>
                    <w:t>废气</w:t>
                  </w:r>
                </w:p>
              </w:tc>
              <w:tc>
                <w:tcPr>
                  <w:tcW w:w="2503"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废弃</w:t>
                  </w:r>
                  <w:r>
                    <w:rPr>
                      <w:szCs w:val="21"/>
                    </w:rPr>
                    <w:t>电器拆解废气</w:t>
                  </w:r>
                </w:p>
              </w:tc>
              <w:tc>
                <w:tcPr>
                  <w:tcW w:w="2126"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废弃</w:t>
                  </w:r>
                  <w:r>
                    <w:rPr>
                      <w:szCs w:val="21"/>
                    </w:rPr>
                    <w:t>电器拆解</w:t>
                  </w:r>
                </w:p>
              </w:tc>
              <w:tc>
                <w:tcPr>
                  <w:tcW w:w="1560"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颗粒物</w:t>
                  </w:r>
                </w:p>
              </w:tc>
              <w:tc>
                <w:tcPr>
                  <w:tcW w:w="1274" w:type="dxa"/>
                  <w:tcBorders>
                    <w:top w:val="single" w:color="auto" w:sz="4" w:space="0"/>
                    <w:left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4" w:type="dxa"/>
                  <w:vMerge w:val="continue"/>
                  <w:tcBorders>
                    <w:top w:val="single" w:color="auto" w:sz="4" w:space="0"/>
                    <w:left w:val="single" w:color="auto" w:sz="4" w:space="0"/>
                    <w:right w:val="single" w:color="auto" w:sz="4" w:space="0"/>
                  </w:tcBorders>
                  <w:vAlign w:val="center"/>
                </w:tcPr>
                <w:p>
                  <w:pPr>
                    <w:pStyle w:val="34"/>
                    <w:rPr>
                      <w:rFonts w:cs="宋体"/>
                      <w:szCs w:val="21"/>
                    </w:rPr>
                  </w:pPr>
                </w:p>
              </w:tc>
              <w:tc>
                <w:tcPr>
                  <w:tcW w:w="2503"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废弃电器拆解后机械加工废气</w:t>
                  </w:r>
                </w:p>
              </w:tc>
              <w:tc>
                <w:tcPr>
                  <w:tcW w:w="2126"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废弃电器拆解后机械加工</w:t>
                  </w:r>
                </w:p>
              </w:tc>
              <w:tc>
                <w:tcPr>
                  <w:tcW w:w="1560" w:type="dxa"/>
                  <w:tcBorders>
                    <w:top w:val="single" w:color="auto" w:sz="4" w:space="0"/>
                    <w:left w:val="single" w:color="auto" w:sz="4" w:space="0"/>
                    <w:right w:val="single" w:color="auto" w:sz="4" w:space="0"/>
                  </w:tcBorders>
                  <w:vAlign w:val="center"/>
                </w:tcPr>
                <w:p>
                  <w:pPr>
                    <w:pStyle w:val="34"/>
                    <w:rPr>
                      <w:szCs w:val="21"/>
                    </w:rPr>
                  </w:pPr>
                  <w:r>
                    <w:rPr>
                      <w:szCs w:val="21"/>
                    </w:rPr>
                    <w:t>非甲烷总烃</w:t>
                  </w:r>
                </w:p>
                <w:p>
                  <w:pPr>
                    <w:pStyle w:val="34"/>
                    <w:rPr>
                      <w:szCs w:val="21"/>
                    </w:rPr>
                  </w:pPr>
                  <w:r>
                    <w:rPr>
                      <w:rFonts w:hint="eastAsia"/>
                      <w:szCs w:val="21"/>
                    </w:rPr>
                    <w:t>、颗粒物</w:t>
                  </w:r>
                </w:p>
              </w:tc>
              <w:tc>
                <w:tcPr>
                  <w:tcW w:w="1274" w:type="dxa"/>
                  <w:tcBorders>
                    <w:top w:val="single" w:color="auto" w:sz="4" w:space="0"/>
                    <w:left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4" w:type="dxa"/>
                  <w:vMerge w:val="continue"/>
                  <w:tcBorders>
                    <w:top w:val="single" w:color="auto" w:sz="4" w:space="0"/>
                    <w:left w:val="single" w:color="auto" w:sz="4" w:space="0"/>
                    <w:right w:val="single" w:color="auto" w:sz="4" w:space="0"/>
                  </w:tcBorders>
                  <w:vAlign w:val="center"/>
                </w:tcPr>
                <w:p>
                  <w:pPr>
                    <w:pStyle w:val="34"/>
                    <w:rPr>
                      <w:rFonts w:cs="宋体"/>
                      <w:szCs w:val="21"/>
                    </w:rPr>
                  </w:pPr>
                </w:p>
              </w:tc>
              <w:tc>
                <w:tcPr>
                  <w:tcW w:w="2503"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残留</w:t>
                  </w:r>
                  <w:r>
                    <w:rPr>
                      <w:szCs w:val="21"/>
                    </w:rPr>
                    <w:t>废油液收集废气</w:t>
                  </w:r>
                  <w:r>
                    <w:rPr>
                      <w:rFonts w:hint="eastAsia"/>
                      <w:szCs w:val="21"/>
                    </w:rPr>
                    <w:t xml:space="preserve"> </w:t>
                  </w:r>
                </w:p>
              </w:tc>
              <w:tc>
                <w:tcPr>
                  <w:tcW w:w="2126"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残留</w:t>
                  </w:r>
                  <w:r>
                    <w:rPr>
                      <w:szCs w:val="21"/>
                    </w:rPr>
                    <w:t>废油液收集</w:t>
                  </w:r>
                </w:p>
              </w:tc>
              <w:tc>
                <w:tcPr>
                  <w:tcW w:w="1560" w:type="dxa"/>
                  <w:tcBorders>
                    <w:top w:val="single" w:color="auto" w:sz="4" w:space="0"/>
                    <w:left w:val="single" w:color="auto" w:sz="4" w:space="0"/>
                    <w:right w:val="single" w:color="auto" w:sz="4" w:space="0"/>
                  </w:tcBorders>
                  <w:vAlign w:val="center"/>
                </w:tcPr>
                <w:p>
                  <w:pPr>
                    <w:pStyle w:val="34"/>
                    <w:rPr>
                      <w:szCs w:val="21"/>
                    </w:rPr>
                  </w:pPr>
                  <w:r>
                    <w:rPr>
                      <w:szCs w:val="21"/>
                    </w:rPr>
                    <w:t>非甲烷总烃</w:t>
                  </w:r>
                </w:p>
              </w:tc>
              <w:tc>
                <w:tcPr>
                  <w:tcW w:w="1274" w:type="dxa"/>
                  <w:tcBorders>
                    <w:top w:val="single" w:color="auto" w:sz="4" w:space="0"/>
                    <w:left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4" w:type="dxa"/>
                  <w:vMerge w:val="continue"/>
                  <w:tcBorders>
                    <w:top w:val="single" w:color="auto" w:sz="4" w:space="0"/>
                    <w:left w:val="single" w:color="auto" w:sz="4" w:space="0"/>
                    <w:right w:val="single" w:color="auto" w:sz="4" w:space="0"/>
                  </w:tcBorders>
                  <w:vAlign w:val="center"/>
                </w:tcPr>
                <w:p>
                  <w:pPr>
                    <w:pStyle w:val="34"/>
                    <w:rPr>
                      <w:rFonts w:cs="宋体"/>
                      <w:szCs w:val="21"/>
                    </w:rPr>
                  </w:pPr>
                </w:p>
              </w:tc>
              <w:tc>
                <w:tcPr>
                  <w:tcW w:w="2503"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机动车拆解废气</w:t>
                  </w:r>
                </w:p>
              </w:tc>
              <w:tc>
                <w:tcPr>
                  <w:tcW w:w="2126"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机动车拆解</w:t>
                  </w:r>
                </w:p>
              </w:tc>
              <w:tc>
                <w:tcPr>
                  <w:tcW w:w="1560"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颗粒物</w:t>
                  </w:r>
                </w:p>
              </w:tc>
              <w:tc>
                <w:tcPr>
                  <w:tcW w:w="1274" w:type="dxa"/>
                  <w:tcBorders>
                    <w:top w:val="single" w:color="auto" w:sz="4" w:space="0"/>
                    <w:left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szCs w:val="21"/>
                    </w:rPr>
                  </w:pPr>
                </w:p>
              </w:tc>
              <w:tc>
                <w:tcPr>
                  <w:tcW w:w="2503" w:type="dxa"/>
                  <w:tcBorders>
                    <w:left w:val="single" w:color="auto" w:sz="4" w:space="0"/>
                    <w:right w:val="single" w:color="auto" w:sz="4" w:space="0"/>
                  </w:tcBorders>
                  <w:vAlign w:val="center"/>
                </w:tcPr>
                <w:p>
                  <w:pPr>
                    <w:pStyle w:val="34"/>
                    <w:rPr>
                      <w:szCs w:val="21"/>
                    </w:rPr>
                  </w:pPr>
                  <w:r>
                    <w:rPr>
                      <w:rFonts w:hint="eastAsia"/>
                      <w:szCs w:val="21"/>
                    </w:rPr>
                    <w:t>机动车拆解后机械加工废气</w:t>
                  </w:r>
                </w:p>
              </w:tc>
              <w:tc>
                <w:tcPr>
                  <w:tcW w:w="2126"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机动车拆解后机械加工</w:t>
                  </w:r>
                </w:p>
              </w:tc>
              <w:tc>
                <w:tcPr>
                  <w:tcW w:w="1560"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颗粒物</w:t>
                  </w:r>
                </w:p>
              </w:tc>
              <w:tc>
                <w:tcPr>
                  <w:tcW w:w="1274" w:type="dxa"/>
                  <w:tcBorders>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restart"/>
                  <w:tcBorders>
                    <w:left w:val="single" w:color="auto" w:sz="4" w:space="0"/>
                    <w:right w:val="single" w:color="auto" w:sz="4" w:space="0"/>
                  </w:tcBorders>
                  <w:vAlign w:val="center"/>
                </w:tcPr>
                <w:p>
                  <w:pPr>
                    <w:pStyle w:val="34"/>
                    <w:rPr>
                      <w:szCs w:val="21"/>
                    </w:rPr>
                  </w:pPr>
                  <w:r>
                    <w:rPr>
                      <w:rFonts w:hint="eastAsia" w:cs="宋体"/>
                      <w:szCs w:val="21"/>
                    </w:rPr>
                    <w:t>废水</w:t>
                  </w:r>
                </w:p>
              </w:tc>
              <w:tc>
                <w:tcPr>
                  <w:tcW w:w="2503" w:type="dxa"/>
                  <w:tcBorders>
                    <w:left w:val="single" w:color="auto" w:sz="4" w:space="0"/>
                    <w:right w:val="single" w:color="auto" w:sz="4" w:space="0"/>
                  </w:tcBorders>
                  <w:vAlign w:val="center"/>
                </w:tcPr>
                <w:p>
                  <w:pPr>
                    <w:pStyle w:val="34"/>
                    <w:rPr>
                      <w:szCs w:val="21"/>
                    </w:rPr>
                  </w:pPr>
                  <w:r>
                    <w:rPr>
                      <w:szCs w:val="21"/>
                    </w:rPr>
                    <w:t>生活废水</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员工生活办公</w:t>
                  </w:r>
                </w:p>
              </w:tc>
              <w:tc>
                <w:tcPr>
                  <w:tcW w:w="1560"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COD、BOD、SS</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rFonts w:cs="宋体"/>
                      <w:szCs w:val="21"/>
                    </w:rPr>
                  </w:pPr>
                </w:p>
              </w:tc>
              <w:tc>
                <w:tcPr>
                  <w:tcW w:w="2503" w:type="dxa"/>
                  <w:tcBorders>
                    <w:left w:val="single" w:color="auto" w:sz="4" w:space="0"/>
                    <w:right w:val="single" w:color="auto" w:sz="4" w:space="0"/>
                  </w:tcBorders>
                  <w:vAlign w:val="center"/>
                </w:tcPr>
                <w:p>
                  <w:pPr>
                    <w:pStyle w:val="34"/>
                    <w:rPr>
                      <w:szCs w:val="21"/>
                    </w:rPr>
                  </w:pPr>
                  <w:r>
                    <w:rPr>
                      <w:szCs w:val="21"/>
                    </w:rPr>
                    <w:t>车间清洗废水</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车间清洗</w:t>
                  </w:r>
                </w:p>
              </w:tc>
              <w:tc>
                <w:tcPr>
                  <w:tcW w:w="1560"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SS、石油类</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tcBorders>
                    <w:left w:val="single" w:color="auto" w:sz="4" w:space="0"/>
                    <w:right w:val="single" w:color="auto" w:sz="4" w:space="0"/>
                  </w:tcBorders>
                  <w:vAlign w:val="center"/>
                </w:tcPr>
                <w:p>
                  <w:pPr>
                    <w:pStyle w:val="34"/>
                    <w:rPr>
                      <w:szCs w:val="21"/>
                    </w:rPr>
                  </w:pPr>
                  <w:r>
                    <w:rPr>
                      <w:rFonts w:hint="eastAsia" w:cs="宋体"/>
                      <w:szCs w:val="21"/>
                    </w:rPr>
                    <w:t>噪声</w:t>
                  </w:r>
                </w:p>
              </w:tc>
              <w:tc>
                <w:tcPr>
                  <w:tcW w:w="2503" w:type="dxa"/>
                  <w:tcBorders>
                    <w:left w:val="single" w:color="auto" w:sz="4" w:space="0"/>
                    <w:right w:val="single" w:color="auto" w:sz="4" w:space="0"/>
                  </w:tcBorders>
                  <w:vAlign w:val="center"/>
                </w:tcPr>
                <w:p>
                  <w:pPr>
                    <w:pStyle w:val="34"/>
                    <w:rPr>
                      <w:szCs w:val="21"/>
                    </w:rPr>
                  </w:pPr>
                  <w:r>
                    <w:rPr>
                      <w:szCs w:val="21"/>
                    </w:rPr>
                    <w:t>设备机械噪声</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生产</w:t>
                  </w:r>
                </w:p>
              </w:tc>
              <w:tc>
                <w:tcPr>
                  <w:tcW w:w="1560"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Leq（A）</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restart"/>
                  <w:tcBorders>
                    <w:left w:val="single" w:color="auto" w:sz="4" w:space="0"/>
                    <w:right w:val="single" w:color="auto" w:sz="4" w:space="0"/>
                  </w:tcBorders>
                  <w:vAlign w:val="center"/>
                </w:tcPr>
                <w:p>
                  <w:pPr>
                    <w:pStyle w:val="34"/>
                    <w:rPr>
                      <w:szCs w:val="21"/>
                    </w:rPr>
                  </w:pPr>
                  <w:r>
                    <w:rPr>
                      <w:rFonts w:hint="eastAsia" w:cs="宋体"/>
                      <w:szCs w:val="21"/>
                    </w:rPr>
                    <w:t>固废</w:t>
                  </w:r>
                </w:p>
              </w:tc>
              <w:tc>
                <w:tcPr>
                  <w:tcW w:w="2503" w:type="dxa"/>
                  <w:tcBorders>
                    <w:left w:val="single" w:color="auto" w:sz="4" w:space="0"/>
                    <w:right w:val="single" w:color="auto" w:sz="4" w:space="0"/>
                  </w:tcBorders>
                  <w:vAlign w:val="center"/>
                </w:tcPr>
                <w:p>
                  <w:pPr>
                    <w:pStyle w:val="34"/>
                    <w:rPr>
                      <w:szCs w:val="21"/>
                    </w:rPr>
                  </w:pPr>
                  <w:r>
                    <w:rPr>
                      <w:rFonts w:hint="eastAsia"/>
                      <w:szCs w:val="21"/>
                    </w:rPr>
                    <w:t>废玻璃</w:t>
                  </w:r>
                </w:p>
              </w:tc>
              <w:tc>
                <w:tcPr>
                  <w:tcW w:w="2126" w:type="dxa"/>
                  <w:vMerge w:val="restart"/>
                  <w:tcBorders>
                    <w:top w:val="single" w:color="auto" w:sz="4" w:space="0"/>
                    <w:left w:val="single" w:color="auto" w:sz="4" w:space="0"/>
                    <w:right w:val="single" w:color="auto" w:sz="4" w:space="0"/>
                  </w:tcBorders>
                  <w:vAlign w:val="center"/>
                </w:tcPr>
                <w:p>
                  <w:pPr>
                    <w:pStyle w:val="34"/>
                    <w:rPr>
                      <w:szCs w:val="21"/>
                    </w:rPr>
                  </w:pPr>
                  <w:r>
                    <w:rPr>
                      <w:rFonts w:hint="eastAsia"/>
                      <w:szCs w:val="21"/>
                    </w:rPr>
                    <w:t>机动车</w:t>
                  </w:r>
                </w:p>
                <w:p>
                  <w:pPr>
                    <w:pStyle w:val="34"/>
                    <w:rPr>
                      <w:szCs w:val="21"/>
                    </w:rPr>
                  </w:pPr>
                  <w:r>
                    <w:rPr>
                      <w:rFonts w:hint="eastAsia"/>
                      <w:szCs w:val="21"/>
                    </w:rPr>
                    <w:t>拆解过程</w:t>
                  </w:r>
                </w:p>
              </w:tc>
              <w:tc>
                <w:tcPr>
                  <w:tcW w:w="1560" w:type="dxa"/>
                  <w:vMerge w:val="restart"/>
                  <w:tcBorders>
                    <w:top w:val="single" w:color="auto" w:sz="4" w:space="0"/>
                    <w:left w:val="single" w:color="auto" w:sz="4" w:space="0"/>
                    <w:right w:val="single" w:color="auto" w:sz="4" w:space="0"/>
                  </w:tcBorders>
                  <w:vAlign w:val="center"/>
                </w:tcPr>
                <w:p>
                  <w:pPr>
                    <w:pStyle w:val="34"/>
                    <w:rPr>
                      <w:szCs w:val="21"/>
                    </w:rPr>
                  </w:pPr>
                  <w:r>
                    <w:rPr>
                      <w:szCs w:val="21"/>
                    </w:rPr>
                    <w:t>一般固废</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rFonts w:cs="宋体"/>
                      <w:szCs w:val="21"/>
                    </w:rPr>
                  </w:pPr>
                </w:p>
              </w:tc>
              <w:tc>
                <w:tcPr>
                  <w:tcW w:w="2503" w:type="dxa"/>
                  <w:tcBorders>
                    <w:left w:val="single" w:color="auto" w:sz="4" w:space="0"/>
                    <w:right w:val="single" w:color="auto" w:sz="4" w:space="0"/>
                  </w:tcBorders>
                  <w:vAlign w:val="center"/>
                </w:tcPr>
                <w:p>
                  <w:pPr>
                    <w:pStyle w:val="34"/>
                    <w:rPr>
                      <w:szCs w:val="21"/>
                    </w:rPr>
                  </w:pPr>
                  <w:r>
                    <w:rPr>
                      <w:rFonts w:hint="eastAsia"/>
                      <w:szCs w:val="21"/>
                    </w:rPr>
                    <w:t>废尼龙布、废皮革</w:t>
                  </w:r>
                </w:p>
              </w:tc>
              <w:tc>
                <w:tcPr>
                  <w:tcW w:w="2126" w:type="dxa"/>
                  <w:vMerge w:val="continue"/>
                  <w:tcBorders>
                    <w:left w:val="single" w:color="auto" w:sz="4" w:space="0"/>
                    <w:right w:val="single" w:color="auto" w:sz="4" w:space="0"/>
                  </w:tcBorders>
                  <w:vAlign w:val="center"/>
                </w:tcPr>
                <w:p>
                  <w:pPr>
                    <w:pStyle w:val="34"/>
                    <w:rPr>
                      <w:szCs w:val="21"/>
                    </w:rPr>
                  </w:pPr>
                </w:p>
              </w:tc>
              <w:tc>
                <w:tcPr>
                  <w:tcW w:w="1560" w:type="dxa"/>
                  <w:vMerge w:val="continue"/>
                  <w:tcBorders>
                    <w:left w:val="single" w:color="auto" w:sz="4" w:space="0"/>
                    <w:right w:val="single" w:color="auto" w:sz="4" w:space="0"/>
                  </w:tcBorders>
                  <w:vAlign w:val="center"/>
                </w:tcPr>
                <w:p>
                  <w:pPr>
                    <w:pStyle w:val="34"/>
                    <w:rPr>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rFonts w:cs="宋体"/>
                      <w:szCs w:val="21"/>
                    </w:rPr>
                  </w:pPr>
                </w:p>
              </w:tc>
              <w:tc>
                <w:tcPr>
                  <w:tcW w:w="2503" w:type="dxa"/>
                  <w:tcBorders>
                    <w:left w:val="single" w:color="auto" w:sz="4" w:space="0"/>
                    <w:right w:val="single" w:color="auto" w:sz="4" w:space="0"/>
                  </w:tcBorders>
                  <w:vAlign w:val="center"/>
                </w:tcPr>
                <w:p>
                  <w:pPr>
                    <w:pStyle w:val="34"/>
                    <w:rPr>
                      <w:szCs w:val="21"/>
                    </w:rPr>
                  </w:pPr>
                  <w:r>
                    <w:rPr>
                      <w:rFonts w:hint="eastAsia"/>
                      <w:szCs w:val="21"/>
                    </w:rPr>
                    <w:t>其他不可利用物</w:t>
                  </w:r>
                </w:p>
              </w:tc>
              <w:tc>
                <w:tcPr>
                  <w:tcW w:w="2126" w:type="dxa"/>
                  <w:vMerge w:val="continue"/>
                  <w:tcBorders>
                    <w:left w:val="single" w:color="auto" w:sz="4" w:space="0"/>
                    <w:bottom w:val="single" w:color="auto" w:sz="4" w:space="0"/>
                    <w:right w:val="single" w:color="auto" w:sz="4" w:space="0"/>
                  </w:tcBorders>
                  <w:vAlign w:val="center"/>
                </w:tcPr>
                <w:p>
                  <w:pPr>
                    <w:pStyle w:val="34"/>
                    <w:rPr>
                      <w:szCs w:val="21"/>
                    </w:rPr>
                  </w:pPr>
                </w:p>
              </w:tc>
              <w:tc>
                <w:tcPr>
                  <w:tcW w:w="1560" w:type="dxa"/>
                  <w:vMerge w:val="continue"/>
                  <w:tcBorders>
                    <w:left w:val="single" w:color="auto" w:sz="4" w:space="0"/>
                    <w:right w:val="single" w:color="auto" w:sz="4" w:space="0"/>
                  </w:tcBorders>
                  <w:vAlign w:val="center"/>
                </w:tcPr>
                <w:p>
                  <w:pPr>
                    <w:pStyle w:val="34"/>
                    <w:rPr>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rFonts w:cs="宋体"/>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rFonts w:cs="宋体"/>
                      <w:szCs w:val="21"/>
                    </w:rPr>
                  </w:pPr>
                </w:p>
              </w:tc>
              <w:tc>
                <w:tcPr>
                  <w:tcW w:w="2503" w:type="dxa"/>
                  <w:tcBorders>
                    <w:left w:val="single" w:color="auto" w:sz="4" w:space="0"/>
                    <w:right w:val="single" w:color="auto" w:sz="4" w:space="0"/>
                  </w:tcBorders>
                  <w:vAlign w:val="center"/>
                </w:tcPr>
                <w:p>
                  <w:pPr>
                    <w:pStyle w:val="34"/>
                    <w:rPr>
                      <w:szCs w:val="21"/>
                    </w:rPr>
                  </w:pPr>
                  <w:r>
                    <w:rPr>
                      <w:szCs w:val="21"/>
                    </w:rPr>
                    <w:t>废</w:t>
                  </w:r>
                  <w:r>
                    <w:rPr>
                      <w:rFonts w:hint="eastAsia"/>
                      <w:szCs w:val="21"/>
                    </w:rPr>
                    <w:t>动力蓄电池</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rFonts w:cs="宋体"/>
                      <w:szCs w:val="21"/>
                    </w:rPr>
                  </w:pPr>
                  <w:r>
                    <w:rPr>
                      <w:rFonts w:hint="eastAsia"/>
                      <w:szCs w:val="21"/>
                    </w:rPr>
                    <w:t>电动汽车预处理过程</w:t>
                  </w:r>
                </w:p>
              </w:tc>
              <w:tc>
                <w:tcPr>
                  <w:tcW w:w="1560" w:type="dxa"/>
                  <w:vMerge w:val="continue"/>
                  <w:tcBorders>
                    <w:left w:val="single" w:color="auto" w:sz="4" w:space="0"/>
                    <w:bottom w:val="single" w:color="auto" w:sz="4" w:space="0"/>
                    <w:right w:val="single" w:color="auto" w:sz="4" w:space="0"/>
                  </w:tcBorders>
                  <w:vAlign w:val="center"/>
                </w:tcPr>
                <w:p>
                  <w:pPr>
                    <w:pStyle w:val="34"/>
                    <w:rPr>
                      <w:rFonts w:cs="宋体"/>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rFonts w:cs="宋体"/>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szCs w:val="21"/>
                    </w:rPr>
                  </w:pPr>
                </w:p>
              </w:tc>
              <w:tc>
                <w:tcPr>
                  <w:tcW w:w="2503"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废燃料油</w:t>
                  </w:r>
                </w:p>
              </w:tc>
              <w:tc>
                <w:tcPr>
                  <w:tcW w:w="2126" w:type="dxa"/>
                  <w:vMerge w:val="restart"/>
                  <w:tcBorders>
                    <w:top w:val="single" w:color="auto" w:sz="4" w:space="0"/>
                    <w:left w:val="single" w:color="auto" w:sz="4" w:space="0"/>
                    <w:right w:val="single" w:color="auto" w:sz="4" w:space="0"/>
                  </w:tcBorders>
                  <w:vAlign w:val="center"/>
                </w:tcPr>
                <w:p>
                  <w:pPr>
                    <w:pStyle w:val="34"/>
                    <w:rPr>
                      <w:rFonts w:cs="宋体"/>
                      <w:szCs w:val="21"/>
                    </w:rPr>
                  </w:pPr>
                  <w:r>
                    <w:rPr>
                      <w:rFonts w:hint="eastAsia" w:cs="宋体"/>
                      <w:szCs w:val="21"/>
                    </w:rPr>
                    <w:t>废油液回收过程</w:t>
                  </w:r>
                </w:p>
              </w:tc>
              <w:tc>
                <w:tcPr>
                  <w:tcW w:w="1560" w:type="dxa"/>
                  <w:vMerge w:val="restart"/>
                  <w:tcBorders>
                    <w:top w:val="single" w:color="auto" w:sz="4" w:space="0"/>
                    <w:left w:val="single" w:color="auto" w:sz="4" w:space="0"/>
                    <w:right w:val="single" w:color="auto" w:sz="4" w:space="0"/>
                  </w:tcBorders>
                  <w:vAlign w:val="center"/>
                </w:tcPr>
                <w:p>
                  <w:pPr>
                    <w:pStyle w:val="34"/>
                    <w:rPr>
                      <w:rFonts w:cs="宋体"/>
                      <w:szCs w:val="21"/>
                    </w:rPr>
                  </w:pPr>
                  <w:r>
                    <w:rPr>
                      <w:rFonts w:cs="宋体"/>
                      <w:szCs w:val="21"/>
                    </w:rPr>
                    <w:t>危险废物</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rFonts w:cs="宋体"/>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szCs w:val="21"/>
                    </w:rPr>
                  </w:pPr>
                </w:p>
              </w:tc>
              <w:tc>
                <w:tcPr>
                  <w:tcW w:w="2503" w:type="dxa"/>
                  <w:tcBorders>
                    <w:left w:val="single" w:color="auto" w:sz="4" w:space="0"/>
                    <w:bottom w:val="single" w:color="auto" w:sz="4" w:space="0"/>
                    <w:right w:val="single" w:color="auto" w:sz="4" w:space="0"/>
                  </w:tcBorders>
                  <w:vAlign w:val="center"/>
                </w:tcPr>
                <w:p>
                  <w:pPr>
                    <w:pStyle w:val="34"/>
                    <w:rPr>
                      <w:rFonts w:cs="宋体"/>
                      <w:szCs w:val="21"/>
                    </w:rPr>
                  </w:pPr>
                  <w:r>
                    <w:rPr>
                      <w:rFonts w:hint="eastAsia"/>
                      <w:szCs w:val="21"/>
                    </w:rPr>
                    <w:t>废油液</w:t>
                  </w:r>
                </w:p>
              </w:tc>
              <w:tc>
                <w:tcPr>
                  <w:tcW w:w="2126" w:type="dxa"/>
                  <w:vMerge w:val="continue"/>
                  <w:tcBorders>
                    <w:left w:val="single" w:color="auto" w:sz="4" w:space="0"/>
                    <w:bottom w:val="single" w:color="auto" w:sz="4" w:space="0"/>
                    <w:right w:val="single" w:color="auto" w:sz="4" w:space="0"/>
                  </w:tcBorders>
                  <w:vAlign w:val="center"/>
                </w:tcPr>
                <w:p>
                  <w:pPr>
                    <w:pStyle w:val="34"/>
                    <w:rPr>
                      <w:rFonts w:cs="宋体"/>
                      <w:szCs w:val="21"/>
                    </w:rPr>
                  </w:pPr>
                </w:p>
              </w:tc>
              <w:tc>
                <w:tcPr>
                  <w:tcW w:w="1560" w:type="dxa"/>
                  <w:vMerge w:val="continue"/>
                  <w:tcBorders>
                    <w:left w:val="single" w:color="auto" w:sz="4" w:space="0"/>
                    <w:right w:val="single" w:color="auto" w:sz="4" w:space="0"/>
                  </w:tcBorders>
                  <w:vAlign w:val="center"/>
                </w:tcPr>
                <w:p>
                  <w:pPr>
                    <w:pStyle w:val="34"/>
                    <w:rPr>
                      <w:rFonts w:cs="宋体"/>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szCs w:val="21"/>
                    </w:rPr>
                  </w:pPr>
                </w:p>
              </w:tc>
              <w:tc>
                <w:tcPr>
                  <w:tcW w:w="2503"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废防冻液</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废防冻液</w:t>
                  </w:r>
                </w:p>
                <w:p>
                  <w:pPr>
                    <w:pStyle w:val="34"/>
                    <w:rPr>
                      <w:rFonts w:cs="宋体"/>
                      <w:szCs w:val="21"/>
                    </w:rPr>
                  </w:pPr>
                  <w:r>
                    <w:rPr>
                      <w:rFonts w:hint="eastAsia"/>
                      <w:szCs w:val="21"/>
                    </w:rPr>
                    <w:t>回收过程</w:t>
                  </w:r>
                </w:p>
              </w:tc>
              <w:tc>
                <w:tcPr>
                  <w:tcW w:w="1560" w:type="dxa"/>
                  <w:vMerge w:val="continue"/>
                  <w:tcBorders>
                    <w:left w:val="single" w:color="auto" w:sz="4" w:space="0"/>
                    <w:right w:val="single" w:color="auto" w:sz="4" w:space="0"/>
                  </w:tcBorders>
                  <w:vAlign w:val="center"/>
                </w:tcPr>
                <w:p>
                  <w:pPr>
                    <w:pStyle w:val="34"/>
                    <w:rPr>
                      <w:rFonts w:cs="宋体"/>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rFonts w:cs="宋体"/>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szCs w:val="21"/>
                    </w:rPr>
                  </w:pPr>
                </w:p>
              </w:tc>
              <w:tc>
                <w:tcPr>
                  <w:tcW w:w="2503"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废电路板</w:t>
                  </w:r>
                </w:p>
                <w:p>
                  <w:pPr>
                    <w:pStyle w:val="34"/>
                    <w:rPr>
                      <w:rFonts w:cs="宋体"/>
                      <w:szCs w:val="21"/>
                    </w:rPr>
                  </w:pPr>
                  <w:r>
                    <w:rPr>
                      <w:rFonts w:hint="eastAsia"/>
                      <w:szCs w:val="21"/>
                    </w:rPr>
                    <w:t>(含</w:t>
                  </w:r>
                  <w:r>
                    <w:rPr>
                      <w:szCs w:val="21"/>
                    </w:rPr>
                    <w:t>电容器</w:t>
                  </w:r>
                  <w:r>
                    <w:rPr>
                      <w:rFonts w:hint="eastAsia"/>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rFonts w:cs="宋体"/>
                      <w:szCs w:val="21"/>
                    </w:rPr>
                  </w:pPr>
                  <w:r>
                    <w:rPr>
                      <w:rFonts w:hint="eastAsia"/>
                      <w:szCs w:val="21"/>
                    </w:rPr>
                    <w:t>汽车电子控制模块拆卸过程</w:t>
                  </w:r>
                </w:p>
              </w:tc>
              <w:tc>
                <w:tcPr>
                  <w:tcW w:w="1560" w:type="dxa"/>
                  <w:vMerge w:val="continue"/>
                  <w:tcBorders>
                    <w:left w:val="single" w:color="auto" w:sz="4" w:space="0"/>
                    <w:right w:val="single" w:color="auto" w:sz="4" w:space="0"/>
                  </w:tcBorders>
                  <w:vAlign w:val="center"/>
                </w:tcPr>
                <w:p>
                  <w:pPr>
                    <w:pStyle w:val="34"/>
                    <w:rPr>
                      <w:rFonts w:cs="宋体"/>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szCs w:val="21"/>
                    </w:rPr>
                  </w:pPr>
                </w:p>
              </w:tc>
              <w:tc>
                <w:tcPr>
                  <w:tcW w:w="2503"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废</w:t>
                  </w:r>
                  <w:r>
                    <w:rPr>
                      <w:szCs w:val="21"/>
                    </w:rPr>
                    <w:t>铅蓄电池</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废</w:t>
                  </w:r>
                  <w:r>
                    <w:rPr>
                      <w:szCs w:val="21"/>
                    </w:rPr>
                    <w:t>铅蓄电池拆卸过程</w:t>
                  </w:r>
                </w:p>
              </w:tc>
              <w:tc>
                <w:tcPr>
                  <w:tcW w:w="1560" w:type="dxa"/>
                  <w:vMerge w:val="continue"/>
                  <w:tcBorders>
                    <w:left w:val="single" w:color="auto" w:sz="4" w:space="0"/>
                    <w:right w:val="single" w:color="auto" w:sz="4" w:space="0"/>
                  </w:tcBorders>
                  <w:vAlign w:val="center"/>
                </w:tcPr>
                <w:p>
                  <w:pPr>
                    <w:pStyle w:val="34"/>
                    <w:rPr>
                      <w:rFonts w:cs="宋体"/>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szCs w:val="21"/>
                    </w:rPr>
                  </w:pPr>
                </w:p>
              </w:tc>
              <w:tc>
                <w:tcPr>
                  <w:tcW w:w="2503"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污水处理废油泥</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车间冲洗废水处置</w:t>
                  </w:r>
                </w:p>
              </w:tc>
              <w:tc>
                <w:tcPr>
                  <w:tcW w:w="1560" w:type="dxa"/>
                  <w:vMerge w:val="continue"/>
                  <w:tcBorders>
                    <w:left w:val="single" w:color="auto" w:sz="4" w:space="0"/>
                    <w:right w:val="single" w:color="auto" w:sz="4" w:space="0"/>
                  </w:tcBorders>
                  <w:vAlign w:val="center"/>
                </w:tcPr>
                <w:p>
                  <w:pPr>
                    <w:pStyle w:val="34"/>
                    <w:rPr>
                      <w:rFonts w:cs="宋体"/>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szCs w:val="21"/>
                    </w:rPr>
                  </w:pPr>
                </w:p>
              </w:tc>
              <w:tc>
                <w:tcPr>
                  <w:tcW w:w="2503"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废尾气净化催化剂</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尾气净化催化系统回收过程</w:t>
                  </w:r>
                </w:p>
              </w:tc>
              <w:tc>
                <w:tcPr>
                  <w:tcW w:w="1560" w:type="dxa"/>
                  <w:vMerge w:val="continue"/>
                  <w:tcBorders>
                    <w:left w:val="single" w:color="auto" w:sz="4" w:space="0"/>
                    <w:right w:val="single" w:color="auto" w:sz="4" w:space="0"/>
                  </w:tcBorders>
                  <w:vAlign w:val="center"/>
                </w:tcPr>
                <w:p>
                  <w:pPr>
                    <w:pStyle w:val="34"/>
                    <w:rPr>
                      <w:rFonts w:cs="宋体"/>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right w:val="single" w:color="auto" w:sz="4" w:space="0"/>
                  </w:tcBorders>
                  <w:vAlign w:val="center"/>
                </w:tcPr>
                <w:p>
                  <w:pPr>
                    <w:pStyle w:val="34"/>
                    <w:rPr>
                      <w:szCs w:val="21"/>
                    </w:rPr>
                  </w:pPr>
                </w:p>
              </w:tc>
              <w:tc>
                <w:tcPr>
                  <w:tcW w:w="2503"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废</w:t>
                  </w:r>
                  <w:r>
                    <w:rPr>
                      <w:szCs w:val="21"/>
                    </w:rPr>
                    <w:t>活性炭</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废气处理过程</w:t>
                  </w:r>
                </w:p>
              </w:tc>
              <w:tc>
                <w:tcPr>
                  <w:tcW w:w="1560" w:type="dxa"/>
                  <w:vMerge w:val="continue"/>
                  <w:tcBorders>
                    <w:left w:val="single" w:color="auto" w:sz="4" w:space="0"/>
                    <w:right w:val="single" w:color="auto" w:sz="4" w:space="0"/>
                  </w:tcBorders>
                  <w:vAlign w:val="center"/>
                </w:tcPr>
                <w:p>
                  <w:pPr>
                    <w:pStyle w:val="34"/>
                    <w:rPr>
                      <w:rFonts w:cs="宋体"/>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4" w:type="dxa"/>
                  <w:vMerge w:val="continue"/>
                  <w:tcBorders>
                    <w:left w:val="single" w:color="auto" w:sz="4" w:space="0"/>
                    <w:bottom w:val="single" w:color="auto" w:sz="4" w:space="0"/>
                    <w:right w:val="single" w:color="auto" w:sz="4" w:space="0"/>
                  </w:tcBorders>
                  <w:vAlign w:val="center"/>
                </w:tcPr>
                <w:p>
                  <w:pPr>
                    <w:pStyle w:val="34"/>
                    <w:rPr>
                      <w:szCs w:val="21"/>
                    </w:rPr>
                  </w:pPr>
                </w:p>
              </w:tc>
              <w:tc>
                <w:tcPr>
                  <w:tcW w:w="2503" w:type="dxa"/>
                  <w:tcBorders>
                    <w:left w:val="single" w:color="auto" w:sz="4" w:space="0"/>
                    <w:bottom w:val="single" w:color="auto" w:sz="4" w:space="0"/>
                    <w:right w:val="single" w:color="auto" w:sz="4" w:space="0"/>
                  </w:tcBorders>
                  <w:vAlign w:val="center"/>
                </w:tcPr>
                <w:p>
                  <w:pPr>
                    <w:pStyle w:val="34"/>
                    <w:rPr>
                      <w:szCs w:val="21"/>
                    </w:rPr>
                  </w:pPr>
                  <w:r>
                    <w:rPr>
                      <w:szCs w:val="21"/>
                    </w:rPr>
                    <w:t>生活垃圾</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rPr>
                      <w:rFonts w:cs="宋体"/>
                      <w:szCs w:val="21"/>
                    </w:rPr>
                  </w:pPr>
                  <w:r>
                    <w:rPr>
                      <w:rFonts w:cs="宋体"/>
                      <w:szCs w:val="21"/>
                    </w:rPr>
                    <w:t>员工生活办公</w:t>
                  </w:r>
                </w:p>
              </w:tc>
              <w:tc>
                <w:tcPr>
                  <w:tcW w:w="1560" w:type="dxa"/>
                  <w:tcBorders>
                    <w:top w:val="single" w:color="auto" w:sz="4" w:space="0"/>
                    <w:left w:val="single" w:color="auto" w:sz="4" w:space="0"/>
                    <w:bottom w:val="single" w:color="auto" w:sz="4" w:space="0"/>
                    <w:right w:val="single" w:color="auto" w:sz="4" w:space="0"/>
                  </w:tcBorders>
                  <w:vAlign w:val="center"/>
                </w:tcPr>
                <w:p>
                  <w:pPr>
                    <w:pStyle w:val="34"/>
                    <w:rPr>
                      <w:rFonts w:cs="宋体"/>
                      <w:szCs w:val="21"/>
                    </w:rPr>
                  </w:pPr>
                  <w:r>
                    <w:rPr>
                      <w:rFonts w:cs="宋体"/>
                      <w:szCs w:val="21"/>
                    </w:rPr>
                    <w:t>生活垃圾</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rFonts w:cs="宋体"/>
                      <w:szCs w:val="21"/>
                    </w:rPr>
                  </w:pPr>
                  <w:r>
                    <w:rPr>
                      <w:szCs w:val="21"/>
                    </w:rPr>
                    <w:t>间断</w:t>
                  </w:r>
                </w:p>
              </w:tc>
            </w:tr>
          </w:tbl>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6" w:hRule="atLeast"/>
        </w:trPr>
        <w:tc>
          <w:tcPr>
            <w:tcW w:w="959" w:type="dxa"/>
            <w:vAlign w:val="center"/>
          </w:tcPr>
          <w:p>
            <w:pPr>
              <w:pStyle w:val="34"/>
              <w:rPr>
                <w:sz w:val="24"/>
              </w:rPr>
            </w:pPr>
            <w:r>
              <w:rPr>
                <w:sz w:val="24"/>
              </w:rPr>
              <w:t>与项</w:t>
            </w:r>
          </w:p>
          <w:p>
            <w:pPr>
              <w:pStyle w:val="34"/>
              <w:rPr>
                <w:sz w:val="24"/>
              </w:rPr>
            </w:pPr>
            <w:r>
              <w:rPr>
                <w:sz w:val="24"/>
              </w:rPr>
              <w:t>目有</w:t>
            </w:r>
          </w:p>
          <w:p>
            <w:pPr>
              <w:pStyle w:val="34"/>
              <w:rPr>
                <w:sz w:val="24"/>
              </w:rPr>
            </w:pPr>
            <w:r>
              <w:rPr>
                <w:sz w:val="24"/>
              </w:rPr>
              <w:t>关的</w:t>
            </w:r>
          </w:p>
          <w:p>
            <w:pPr>
              <w:pStyle w:val="34"/>
              <w:rPr>
                <w:sz w:val="24"/>
              </w:rPr>
            </w:pPr>
            <w:r>
              <w:rPr>
                <w:sz w:val="24"/>
              </w:rPr>
              <w:t>原有</w:t>
            </w:r>
          </w:p>
          <w:p>
            <w:pPr>
              <w:pStyle w:val="34"/>
              <w:rPr>
                <w:sz w:val="24"/>
              </w:rPr>
            </w:pPr>
            <w:r>
              <w:rPr>
                <w:sz w:val="24"/>
              </w:rPr>
              <w:t>环境</w:t>
            </w:r>
          </w:p>
          <w:p>
            <w:pPr>
              <w:pStyle w:val="34"/>
              <w:rPr>
                <w:sz w:val="24"/>
              </w:rPr>
            </w:pPr>
            <w:r>
              <w:rPr>
                <w:sz w:val="24"/>
              </w:rPr>
              <w:t>污染</w:t>
            </w:r>
          </w:p>
          <w:p>
            <w:pPr>
              <w:pStyle w:val="34"/>
              <w:rPr>
                <w:sz w:val="24"/>
              </w:rPr>
            </w:pPr>
            <w:r>
              <w:rPr>
                <w:sz w:val="24"/>
              </w:rPr>
              <w:t>问题</w:t>
            </w:r>
          </w:p>
        </w:tc>
        <w:tc>
          <w:tcPr>
            <w:tcW w:w="8327" w:type="dxa"/>
            <w:vAlign w:val="center"/>
          </w:tcPr>
          <w:p>
            <w:pPr>
              <w:ind w:firstLine="480"/>
              <w:jc w:val="both"/>
              <w:rPr>
                <w:sz w:val="24"/>
                <w:szCs w:val="24"/>
              </w:rPr>
            </w:pPr>
            <w:r>
              <w:rPr>
                <w:sz w:val="24"/>
                <w:szCs w:val="24"/>
              </w:rPr>
              <w:t>本项目</w:t>
            </w:r>
            <w:r>
              <w:rPr>
                <w:rFonts w:hint="eastAsia"/>
                <w:sz w:val="24"/>
                <w:szCs w:val="24"/>
              </w:rPr>
              <w:t>为租赁房屋，厂房已建设完成，不存在原有环境污染问题</w:t>
            </w:r>
            <w:r>
              <w:rPr>
                <w:sz w:val="24"/>
                <w:szCs w:val="24"/>
              </w:rPr>
              <w:t>。</w:t>
            </w:r>
          </w:p>
        </w:tc>
      </w:tr>
    </w:tbl>
    <w:p>
      <w:pPr>
        <w:ind w:firstLine="420"/>
        <w:sectPr>
          <w:pgSz w:w="11906" w:h="16838"/>
          <w:pgMar w:top="1418" w:right="1418" w:bottom="1418" w:left="1418" w:header="851" w:footer="992" w:gutter="0"/>
          <w:pgNumType w:fmt="numberInDash"/>
          <w:cols w:space="425" w:num="1"/>
          <w:docGrid w:type="lines" w:linePitch="312" w:charSpace="0"/>
        </w:sectPr>
      </w:pPr>
    </w:p>
    <w:p>
      <w:pPr>
        <w:pStyle w:val="2"/>
      </w:pPr>
      <w:r>
        <w:t>三</w:t>
      </w:r>
      <w:r>
        <w:rPr>
          <w:rFonts w:hint="eastAsia"/>
        </w:rPr>
        <w:t>、</w:t>
      </w:r>
      <w:r>
        <w:t>区域环境质量现状</w:t>
      </w:r>
      <w:r>
        <w:rPr>
          <w:rFonts w:hint="eastAsia"/>
        </w:rPr>
        <w:t>、</w:t>
      </w:r>
      <w:r>
        <w:t>环境保护目标及评价标准</w:t>
      </w: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8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vAlign w:val="center"/>
          </w:tcPr>
          <w:p>
            <w:pPr>
              <w:pStyle w:val="34"/>
              <w:rPr>
                <w:kern w:val="0"/>
                <w:sz w:val="24"/>
              </w:rPr>
            </w:pPr>
            <w:r>
              <w:rPr>
                <w:kern w:val="0"/>
                <w:sz w:val="24"/>
              </w:rPr>
              <w:t>区域</w:t>
            </w:r>
          </w:p>
          <w:p>
            <w:pPr>
              <w:pStyle w:val="34"/>
              <w:rPr>
                <w:kern w:val="0"/>
                <w:sz w:val="24"/>
              </w:rPr>
            </w:pPr>
            <w:r>
              <w:rPr>
                <w:kern w:val="0"/>
                <w:sz w:val="24"/>
              </w:rPr>
              <w:t>环境</w:t>
            </w:r>
          </w:p>
          <w:p>
            <w:pPr>
              <w:pStyle w:val="34"/>
              <w:rPr>
                <w:kern w:val="0"/>
                <w:sz w:val="24"/>
              </w:rPr>
            </w:pPr>
            <w:r>
              <w:rPr>
                <w:kern w:val="0"/>
                <w:sz w:val="24"/>
              </w:rPr>
              <w:t>质量</w:t>
            </w:r>
          </w:p>
          <w:p>
            <w:pPr>
              <w:pStyle w:val="34"/>
              <w:rPr>
                <w:sz w:val="24"/>
              </w:rPr>
            </w:pPr>
            <w:r>
              <w:rPr>
                <w:kern w:val="0"/>
                <w:sz w:val="24"/>
              </w:rPr>
              <w:t>现状</w:t>
            </w:r>
          </w:p>
        </w:tc>
        <w:tc>
          <w:tcPr>
            <w:tcW w:w="8426" w:type="dxa"/>
          </w:tcPr>
          <w:p>
            <w:pPr>
              <w:ind w:firstLine="480"/>
              <w:rPr>
                <w:sz w:val="24"/>
                <w:szCs w:val="24"/>
              </w:rPr>
            </w:pPr>
            <w:r>
              <w:rPr>
                <w:rFonts w:hint="eastAsia"/>
                <w:sz w:val="24"/>
                <w:szCs w:val="24"/>
              </w:rPr>
              <w:t>1、大气环境</w:t>
            </w:r>
          </w:p>
          <w:p>
            <w:pPr>
              <w:ind w:firstLine="480"/>
              <w:rPr>
                <w:sz w:val="24"/>
                <w:szCs w:val="24"/>
              </w:rPr>
            </w:pPr>
            <w:r>
              <w:rPr>
                <w:sz w:val="24"/>
                <w:szCs w:val="24"/>
              </w:rPr>
              <w:t>（1）区域达标性分析</w:t>
            </w:r>
          </w:p>
          <w:p>
            <w:pPr>
              <w:ind w:firstLine="480"/>
              <w:rPr>
                <w:sz w:val="24"/>
                <w:szCs w:val="24"/>
              </w:rPr>
            </w:pPr>
            <w:r>
              <w:rPr>
                <w:sz w:val="24"/>
              </w:rPr>
              <w:t>本项目所在地环境空气质量属于二类功能区。环境空气质量基本污染物为SO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、CO、O</w:t>
            </w:r>
            <w:r>
              <w:rPr>
                <w:sz w:val="24"/>
                <w:vertAlign w:val="subscript"/>
              </w:rPr>
              <w:t>3</w:t>
            </w:r>
            <w:r>
              <w:rPr>
                <w:sz w:val="24"/>
              </w:rPr>
              <w:t>。监测数据引用</w:t>
            </w:r>
            <w:r>
              <w:rPr>
                <w:rFonts w:hint="eastAsia"/>
                <w:sz w:val="24"/>
              </w:rPr>
              <w:t>石泉县</w:t>
            </w:r>
            <w:r>
              <w:rPr>
                <w:sz w:val="24"/>
              </w:rPr>
              <w:t>人民政府发布的</w:t>
            </w:r>
            <w:r>
              <w:rPr>
                <w:rFonts w:hint="eastAsia"/>
                <w:sz w:val="24"/>
              </w:rPr>
              <w:t>2022年1~5月石泉县城区空气环境质量公报。</w:t>
            </w:r>
            <w:r>
              <w:rPr>
                <w:sz w:val="24"/>
                <w:szCs w:val="24"/>
              </w:rPr>
              <w:t>统计结果见表3-</w:t>
            </w:r>
            <w:r>
              <w:rPr>
                <w:rFonts w:hint="eastAsia"/>
                <w:sz w:val="24"/>
                <w:szCs w:val="24"/>
              </w:rPr>
              <w:t>1</w:t>
            </w:r>
            <w:r>
              <w:rPr>
                <w:sz w:val="24"/>
                <w:szCs w:val="24"/>
              </w:rPr>
              <w:t>。</w:t>
            </w:r>
          </w:p>
          <w:p>
            <w:pPr>
              <w:pStyle w:val="34"/>
              <w:rPr>
                <w:b/>
                <w:kern w:val="0"/>
                <w:sz w:val="24"/>
              </w:rPr>
            </w:pPr>
            <w:r>
              <w:rPr>
                <w:b/>
                <w:sz w:val="24"/>
              </w:rPr>
              <w:t>表3-</w:t>
            </w:r>
            <w:r>
              <w:rPr>
                <w:rFonts w:hint="eastAsia"/>
                <w:b/>
                <w:sz w:val="24"/>
              </w:rPr>
              <w:t>1</w:t>
            </w:r>
            <w:r>
              <w:rPr>
                <w:b/>
                <w:sz w:val="24"/>
              </w:rPr>
              <w:t xml:space="preserve">  基本污染物环境质量现状</w:t>
            </w:r>
          </w:p>
          <w:tbl>
            <w:tblPr>
              <w:tblStyle w:val="21"/>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2440"/>
              <w:gridCol w:w="1419"/>
              <w:gridCol w:w="1274"/>
              <w:gridCol w:w="1560"/>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664"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序号</w:t>
                  </w:r>
                </w:p>
              </w:tc>
              <w:tc>
                <w:tcPr>
                  <w:tcW w:w="2440"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评价因子</w:t>
                  </w:r>
                </w:p>
              </w:tc>
              <w:tc>
                <w:tcPr>
                  <w:tcW w:w="1419"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rFonts w:hint="eastAsia"/>
                      <w:b/>
                      <w:sz w:val="24"/>
                    </w:rPr>
                    <w:t>平均浓度</w:t>
                  </w:r>
                </w:p>
              </w:tc>
              <w:tc>
                <w:tcPr>
                  <w:tcW w:w="1274"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二级标准</w:t>
                  </w:r>
                </w:p>
              </w:tc>
              <w:tc>
                <w:tcPr>
                  <w:tcW w:w="1560"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rFonts w:hint="eastAsia"/>
                      <w:b/>
                      <w:sz w:val="24"/>
                    </w:rPr>
                    <w:t>占标率</w:t>
                  </w:r>
                </w:p>
              </w:tc>
              <w:tc>
                <w:tcPr>
                  <w:tcW w:w="843"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rFonts w:hint="eastAsia"/>
                      <w:b/>
                      <w:sz w:val="24"/>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66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1</w:t>
                  </w:r>
                </w:p>
              </w:tc>
              <w:tc>
                <w:tcPr>
                  <w:tcW w:w="2440" w:type="dxa"/>
                  <w:tcBorders>
                    <w:top w:val="single" w:color="auto" w:sz="4" w:space="0"/>
                    <w:left w:val="single" w:color="auto" w:sz="4" w:space="0"/>
                    <w:bottom w:val="single" w:color="auto" w:sz="4" w:space="0"/>
                    <w:right w:val="single" w:color="auto" w:sz="4" w:space="0"/>
                  </w:tcBorders>
                  <w:vAlign w:val="center"/>
                </w:tcPr>
                <w:p>
                  <w:pPr>
                    <w:pStyle w:val="34"/>
                    <w:rPr>
                      <w:sz w:val="24"/>
                      <w:vertAlign w:val="subscript"/>
                    </w:rPr>
                  </w:pPr>
                  <w:r>
                    <w:rPr>
                      <w:sz w:val="24"/>
                    </w:rPr>
                    <w:t>PM</w:t>
                  </w:r>
                  <w:r>
                    <w:rPr>
                      <w:sz w:val="24"/>
                      <w:vertAlign w:val="subscript"/>
                    </w:rPr>
                    <w:t>10</w:t>
                  </w:r>
                  <w:r>
                    <w:rPr>
                      <w:sz w:val="24"/>
                    </w:rPr>
                    <w:t>均值（μg/m</w:t>
                  </w:r>
                  <w:r>
                    <w:rPr>
                      <w:sz w:val="24"/>
                      <w:vertAlign w:val="superscript"/>
                    </w:rPr>
                    <w:t>3</w:t>
                  </w:r>
                  <w:r>
                    <w:rPr>
                      <w:sz w:val="24"/>
                    </w:rPr>
                    <w:t>）</w:t>
                  </w:r>
                </w:p>
              </w:tc>
              <w:tc>
                <w:tcPr>
                  <w:tcW w:w="141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43</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70</w:t>
                  </w:r>
                </w:p>
              </w:tc>
              <w:tc>
                <w:tcPr>
                  <w:tcW w:w="15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61.43%</w:t>
                  </w:r>
                </w:p>
              </w:tc>
              <w:tc>
                <w:tcPr>
                  <w:tcW w:w="84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6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2</w:t>
                  </w:r>
                </w:p>
              </w:tc>
              <w:tc>
                <w:tcPr>
                  <w:tcW w:w="244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PM</w:t>
                  </w:r>
                  <w:r>
                    <w:rPr>
                      <w:sz w:val="24"/>
                      <w:vertAlign w:val="subscript"/>
                    </w:rPr>
                    <w:t>2.5</w:t>
                  </w:r>
                  <w:r>
                    <w:rPr>
                      <w:sz w:val="24"/>
                    </w:rPr>
                    <w:t>均值（μg/m</w:t>
                  </w:r>
                  <w:r>
                    <w:rPr>
                      <w:sz w:val="24"/>
                      <w:vertAlign w:val="superscript"/>
                    </w:rPr>
                    <w:t>3</w:t>
                  </w:r>
                  <w:r>
                    <w:rPr>
                      <w:sz w:val="24"/>
                    </w:rPr>
                    <w:t>）</w:t>
                  </w:r>
                </w:p>
              </w:tc>
              <w:tc>
                <w:tcPr>
                  <w:tcW w:w="141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29</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35</w:t>
                  </w:r>
                </w:p>
              </w:tc>
              <w:tc>
                <w:tcPr>
                  <w:tcW w:w="15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82.86%</w:t>
                  </w:r>
                </w:p>
              </w:tc>
              <w:tc>
                <w:tcPr>
                  <w:tcW w:w="84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6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3</w:t>
                  </w:r>
                </w:p>
              </w:tc>
              <w:tc>
                <w:tcPr>
                  <w:tcW w:w="244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SO</w:t>
                  </w:r>
                  <w:r>
                    <w:rPr>
                      <w:sz w:val="24"/>
                      <w:vertAlign w:val="subscript"/>
                    </w:rPr>
                    <w:t>2</w:t>
                  </w:r>
                  <w:r>
                    <w:rPr>
                      <w:sz w:val="24"/>
                    </w:rPr>
                    <w:t>均值（μg/m</w:t>
                  </w:r>
                  <w:r>
                    <w:rPr>
                      <w:sz w:val="24"/>
                      <w:vertAlign w:val="superscript"/>
                    </w:rPr>
                    <w:t>3</w:t>
                  </w:r>
                  <w:r>
                    <w:rPr>
                      <w:sz w:val="24"/>
                    </w:rPr>
                    <w:t>）</w:t>
                  </w:r>
                </w:p>
              </w:tc>
              <w:tc>
                <w:tcPr>
                  <w:tcW w:w="141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6</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60</w:t>
                  </w:r>
                </w:p>
              </w:tc>
              <w:tc>
                <w:tcPr>
                  <w:tcW w:w="15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10.00%</w:t>
                  </w:r>
                </w:p>
              </w:tc>
              <w:tc>
                <w:tcPr>
                  <w:tcW w:w="84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6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4</w:t>
                  </w:r>
                </w:p>
              </w:tc>
              <w:tc>
                <w:tcPr>
                  <w:tcW w:w="244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NO</w:t>
                  </w:r>
                  <w:r>
                    <w:rPr>
                      <w:sz w:val="24"/>
                      <w:vertAlign w:val="subscript"/>
                    </w:rPr>
                    <w:t>2</w:t>
                  </w:r>
                  <w:r>
                    <w:rPr>
                      <w:sz w:val="24"/>
                    </w:rPr>
                    <w:t>均值（μg/m</w:t>
                  </w:r>
                  <w:r>
                    <w:rPr>
                      <w:sz w:val="24"/>
                      <w:vertAlign w:val="superscript"/>
                    </w:rPr>
                    <w:t>3</w:t>
                  </w:r>
                  <w:r>
                    <w:rPr>
                      <w:sz w:val="24"/>
                    </w:rPr>
                    <w:t>）</w:t>
                  </w:r>
                </w:p>
              </w:tc>
              <w:tc>
                <w:tcPr>
                  <w:tcW w:w="141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1</w:t>
                  </w:r>
                  <w:r>
                    <w:rPr>
                      <w:sz w:val="24"/>
                    </w:rPr>
                    <w:t>3</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40</w:t>
                  </w:r>
                </w:p>
              </w:tc>
              <w:tc>
                <w:tcPr>
                  <w:tcW w:w="15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32.50%</w:t>
                  </w:r>
                </w:p>
              </w:tc>
              <w:tc>
                <w:tcPr>
                  <w:tcW w:w="84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6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5</w:t>
                  </w:r>
                </w:p>
              </w:tc>
              <w:tc>
                <w:tcPr>
                  <w:tcW w:w="244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CO第95百分位浓度（mg/m</w:t>
                  </w:r>
                  <w:r>
                    <w:rPr>
                      <w:sz w:val="24"/>
                      <w:vertAlign w:val="superscript"/>
                    </w:rPr>
                    <w:t>3</w:t>
                  </w:r>
                  <w:r>
                    <w:rPr>
                      <w:sz w:val="24"/>
                    </w:rPr>
                    <w:t>）</w:t>
                  </w:r>
                </w:p>
              </w:tc>
              <w:tc>
                <w:tcPr>
                  <w:tcW w:w="141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1</w:t>
                  </w:r>
                  <w:r>
                    <w:rPr>
                      <w:sz w:val="24"/>
                    </w:rPr>
                    <w:t>.</w:t>
                  </w:r>
                  <w:r>
                    <w:rPr>
                      <w:rFonts w:hint="eastAsia"/>
                      <w:sz w:val="24"/>
                    </w:rPr>
                    <w:t>4</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4</w:t>
                  </w:r>
                </w:p>
              </w:tc>
              <w:tc>
                <w:tcPr>
                  <w:tcW w:w="15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35.00%</w:t>
                  </w:r>
                </w:p>
              </w:tc>
              <w:tc>
                <w:tcPr>
                  <w:tcW w:w="84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6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6</w:t>
                  </w:r>
                </w:p>
              </w:tc>
              <w:tc>
                <w:tcPr>
                  <w:tcW w:w="244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O</w:t>
                  </w:r>
                  <w:r>
                    <w:rPr>
                      <w:sz w:val="24"/>
                      <w:vertAlign w:val="subscript"/>
                    </w:rPr>
                    <w:t>3</w:t>
                  </w:r>
                  <w:r>
                    <w:rPr>
                      <w:sz w:val="24"/>
                    </w:rPr>
                    <w:t>第90百分位浓度（mg/m</w:t>
                  </w:r>
                  <w:r>
                    <w:rPr>
                      <w:sz w:val="24"/>
                      <w:vertAlign w:val="superscript"/>
                    </w:rPr>
                    <w:t>3</w:t>
                  </w:r>
                  <w:r>
                    <w:rPr>
                      <w:sz w:val="24"/>
                    </w:rPr>
                    <w:t>）</w:t>
                  </w:r>
                </w:p>
              </w:tc>
              <w:tc>
                <w:tcPr>
                  <w:tcW w:w="141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115</w:t>
                  </w:r>
                </w:p>
              </w:tc>
              <w:tc>
                <w:tcPr>
                  <w:tcW w:w="127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160</w:t>
                  </w:r>
                </w:p>
              </w:tc>
              <w:tc>
                <w:tcPr>
                  <w:tcW w:w="15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71.88%</w:t>
                  </w:r>
                </w:p>
              </w:tc>
              <w:tc>
                <w:tcPr>
                  <w:tcW w:w="84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是</w:t>
                  </w:r>
                </w:p>
              </w:tc>
            </w:tr>
          </w:tbl>
          <w:p>
            <w:pPr>
              <w:ind w:firstLine="480"/>
              <w:rPr>
                <w:sz w:val="24"/>
                <w:szCs w:val="24"/>
              </w:rPr>
            </w:pPr>
            <w:r>
              <w:rPr>
                <w:sz w:val="24"/>
                <w:szCs w:val="24"/>
              </w:rPr>
              <w:t>根据引用数据可知，本项目所在区域</w:t>
            </w:r>
            <w:r>
              <w:rPr>
                <w:rFonts w:hint="eastAsia"/>
                <w:sz w:val="24"/>
                <w:szCs w:val="24"/>
              </w:rPr>
              <w:t>SO</w:t>
            </w:r>
            <w:r>
              <w:rPr>
                <w:rFonts w:hint="eastAsia"/>
                <w:sz w:val="24"/>
                <w:szCs w:val="24"/>
                <w:vertAlign w:val="subscript"/>
              </w:rPr>
              <w:t>2</w:t>
            </w:r>
            <w:r>
              <w:rPr>
                <w:rFonts w:hint="eastAsia"/>
                <w:sz w:val="24"/>
                <w:szCs w:val="24"/>
              </w:rPr>
              <w:t>年均浓度、NO</w:t>
            </w:r>
            <w:r>
              <w:rPr>
                <w:rFonts w:hint="eastAsia"/>
                <w:sz w:val="24"/>
                <w:szCs w:val="24"/>
                <w:vertAlign w:val="subscript"/>
              </w:rPr>
              <w:t>2</w:t>
            </w:r>
            <w:r>
              <w:rPr>
                <w:rFonts w:hint="eastAsia"/>
                <w:sz w:val="24"/>
                <w:szCs w:val="24"/>
              </w:rPr>
              <w:t>年均浓度、PM</w:t>
            </w:r>
            <w:r>
              <w:rPr>
                <w:rFonts w:hint="eastAsia"/>
                <w:sz w:val="24"/>
                <w:szCs w:val="24"/>
                <w:vertAlign w:val="subscript"/>
              </w:rPr>
              <w:t>10</w:t>
            </w:r>
            <w:r>
              <w:rPr>
                <w:rFonts w:hint="eastAsia"/>
                <w:sz w:val="24"/>
                <w:szCs w:val="24"/>
              </w:rPr>
              <w:t>年均浓度、PM</w:t>
            </w:r>
            <w:r>
              <w:rPr>
                <w:rFonts w:hint="eastAsia"/>
                <w:sz w:val="24"/>
                <w:szCs w:val="24"/>
                <w:vertAlign w:val="subscript"/>
              </w:rPr>
              <w:t>2.5</w:t>
            </w:r>
            <w:r>
              <w:rPr>
                <w:rFonts w:hint="eastAsia"/>
                <w:sz w:val="24"/>
                <w:szCs w:val="24"/>
              </w:rPr>
              <w:t>年均浓度、CO24小时平均值、O</w:t>
            </w:r>
            <w:r>
              <w:rPr>
                <w:rFonts w:hint="eastAsia"/>
                <w:sz w:val="24"/>
                <w:szCs w:val="24"/>
                <w:vertAlign w:val="subscript"/>
              </w:rPr>
              <w:t>3</w:t>
            </w:r>
            <w:r>
              <w:rPr>
                <w:rFonts w:hint="eastAsia"/>
                <w:sz w:val="24"/>
                <w:szCs w:val="24"/>
              </w:rPr>
              <w:t>日最大8小时平均值满足《环境空气质量标准》（GB3095-2012）</w:t>
            </w:r>
            <w:r>
              <w:rPr>
                <w:sz w:val="24"/>
                <w:szCs w:val="24"/>
              </w:rPr>
              <w:t>二级标准要求</w:t>
            </w:r>
            <w:r>
              <w:rPr>
                <w:rFonts w:hint="eastAsia"/>
                <w:sz w:val="24"/>
                <w:szCs w:val="24"/>
              </w:rPr>
              <w:t>，判定</w:t>
            </w:r>
            <w:r>
              <w:rPr>
                <w:sz w:val="24"/>
                <w:szCs w:val="24"/>
              </w:rPr>
              <w:t>本项目所在区域为环境空气质量达标区。</w:t>
            </w:r>
          </w:p>
          <w:p>
            <w:pPr>
              <w:ind w:firstLine="480"/>
              <w:rPr>
                <w:sz w:val="24"/>
                <w:szCs w:val="24"/>
              </w:rPr>
            </w:pPr>
            <w:r>
              <w:rPr>
                <w:rFonts w:hint="eastAsia"/>
                <w:sz w:val="24"/>
                <w:szCs w:val="24"/>
              </w:rPr>
              <w:t>（2）补充监测</w:t>
            </w:r>
          </w:p>
          <w:p>
            <w:pPr>
              <w:ind w:firstLine="480"/>
              <w:rPr>
                <w:sz w:val="24"/>
                <w:szCs w:val="24"/>
              </w:rPr>
            </w:pPr>
            <w:r>
              <w:rPr>
                <w:sz w:val="24"/>
                <w:szCs w:val="24"/>
              </w:rPr>
              <w:t>本次环境空气质量现状评价补充监测项目为</w:t>
            </w:r>
            <w:r>
              <w:rPr>
                <w:rFonts w:hint="eastAsia"/>
                <w:sz w:val="24"/>
                <w:szCs w:val="24"/>
              </w:rPr>
              <w:t>总悬浮</w:t>
            </w:r>
            <w:r>
              <w:rPr>
                <w:sz w:val="24"/>
                <w:szCs w:val="24"/>
              </w:rPr>
              <w:t>颗粒物</w:t>
            </w:r>
            <w:r>
              <w:rPr>
                <w:rFonts w:hint="eastAsia"/>
                <w:sz w:val="24"/>
                <w:szCs w:val="24"/>
              </w:rPr>
              <w:t>、</w:t>
            </w:r>
            <w:r>
              <w:rPr>
                <w:sz w:val="24"/>
                <w:szCs w:val="24"/>
              </w:rPr>
              <w:t>非甲烷总烃，由</w:t>
            </w:r>
            <w:r>
              <w:rPr>
                <w:rFonts w:hint="eastAsia"/>
                <w:sz w:val="24"/>
                <w:szCs w:val="24"/>
              </w:rPr>
              <w:t>陕西</w:t>
            </w:r>
            <w:r>
              <w:rPr>
                <w:sz w:val="24"/>
                <w:szCs w:val="24"/>
              </w:rPr>
              <w:t>泽希检测服务有限公司进行监测。环境空气质量现状监测时间为202</w:t>
            </w:r>
            <w:r>
              <w:rPr>
                <w:rFonts w:hint="eastAsia"/>
                <w:sz w:val="24"/>
                <w:szCs w:val="24"/>
              </w:rPr>
              <w:t>2</w:t>
            </w:r>
            <w:r>
              <w:rPr>
                <w:sz w:val="24"/>
                <w:szCs w:val="24"/>
              </w:rPr>
              <w:t>年</w:t>
            </w:r>
            <w:r>
              <w:rPr>
                <w:rFonts w:hint="eastAsia"/>
                <w:sz w:val="24"/>
                <w:szCs w:val="24"/>
              </w:rPr>
              <w:t>7</w:t>
            </w:r>
            <w:r>
              <w:rPr>
                <w:sz w:val="24"/>
                <w:szCs w:val="24"/>
              </w:rPr>
              <w:t>月</w:t>
            </w:r>
            <w:r>
              <w:rPr>
                <w:rFonts w:hint="eastAsia"/>
                <w:sz w:val="24"/>
                <w:szCs w:val="24"/>
              </w:rPr>
              <w:t>7</w:t>
            </w:r>
            <w:r>
              <w:rPr>
                <w:sz w:val="24"/>
                <w:szCs w:val="24"/>
              </w:rPr>
              <w:t>日～</w:t>
            </w:r>
            <w:r>
              <w:rPr>
                <w:rFonts w:hint="eastAsia"/>
                <w:sz w:val="24"/>
                <w:szCs w:val="24"/>
              </w:rPr>
              <w:t>7</w:t>
            </w:r>
            <w:r>
              <w:rPr>
                <w:sz w:val="24"/>
                <w:szCs w:val="24"/>
              </w:rPr>
              <w:t>月</w:t>
            </w:r>
            <w:r>
              <w:rPr>
                <w:rFonts w:hint="eastAsia"/>
                <w:sz w:val="24"/>
                <w:szCs w:val="24"/>
              </w:rPr>
              <w:t>9</w:t>
            </w:r>
            <w:r>
              <w:rPr>
                <w:sz w:val="24"/>
                <w:szCs w:val="24"/>
              </w:rPr>
              <w:t>日。</w:t>
            </w:r>
          </w:p>
          <w:p>
            <w:pPr>
              <w:ind w:firstLine="480"/>
              <w:rPr>
                <w:sz w:val="24"/>
                <w:szCs w:val="24"/>
              </w:rPr>
            </w:pPr>
            <w:r>
              <w:rPr>
                <w:rFonts w:hint="eastAsia" w:ascii="宋体" w:hAnsi="宋体" w:cs="宋体"/>
                <w:sz w:val="24"/>
                <w:szCs w:val="24"/>
              </w:rPr>
              <w:t>①</w:t>
            </w:r>
            <w:r>
              <w:rPr>
                <w:sz w:val="24"/>
                <w:szCs w:val="24"/>
              </w:rPr>
              <w:t>监测点位基本信息</w:t>
            </w:r>
          </w:p>
          <w:p>
            <w:pPr>
              <w:pStyle w:val="34"/>
              <w:ind w:firstLine="482"/>
              <w:rPr>
                <w:b/>
                <w:kern w:val="0"/>
                <w:sz w:val="24"/>
              </w:rPr>
            </w:pPr>
            <w:r>
              <w:rPr>
                <w:b/>
                <w:sz w:val="24"/>
              </w:rPr>
              <w:t>表3-</w:t>
            </w:r>
            <w:r>
              <w:rPr>
                <w:rFonts w:hint="eastAsia"/>
                <w:b/>
                <w:sz w:val="24"/>
              </w:rPr>
              <w:t>2</w:t>
            </w:r>
            <w:r>
              <w:rPr>
                <w:b/>
                <w:sz w:val="24"/>
              </w:rPr>
              <w:t xml:space="preserve">  监测点位基本信息表</w:t>
            </w:r>
          </w:p>
          <w:tbl>
            <w:tblPr>
              <w:tblStyle w:val="21"/>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888"/>
              <w:gridCol w:w="2043"/>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68"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序号</w:t>
                  </w:r>
                </w:p>
              </w:tc>
              <w:tc>
                <w:tcPr>
                  <w:tcW w:w="2888"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监测点位置</w:t>
                  </w:r>
                </w:p>
              </w:tc>
              <w:tc>
                <w:tcPr>
                  <w:tcW w:w="2043"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监测因子</w:t>
                  </w:r>
                </w:p>
              </w:tc>
              <w:tc>
                <w:tcPr>
                  <w:tcW w:w="2401"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868"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1</w:t>
                  </w:r>
                </w:p>
              </w:tc>
              <w:tc>
                <w:tcPr>
                  <w:tcW w:w="2888" w:type="dxa"/>
                  <w:tcBorders>
                    <w:top w:val="single" w:color="auto" w:sz="4" w:space="0"/>
                    <w:left w:val="single" w:color="auto" w:sz="4" w:space="0"/>
                    <w:right w:val="single" w:color="auto" w:sz="4" w:space="0"/>
                  </w:tcBorders>
                  <w:vAlign w:val="center"/>
                </w:tcPr>
                <w:p>
                  <w:pPr>
                    <w:pStyle w:val="34"/>
                    <w:rPr>
                      <w:sz w:val="24"/>
                    </w:rPr>
                  </w:pPr>
                  <w:r>
                    <w:rPr>
                      <w:sz w:val="24"/>
                    </w:rPr>
                    <w:t>项目厂址下风向50m处</w:t>
                  </w:r>
                </w:p>
              </w:tc>
              <w:tc>
                <w:tcPr>
                  <w:tcW w:w="2043" w:type="dxa"/>
                  <w:tcBorders>
                    <w:top w:val="single" w:color="auto" w:sz="4" w:space="0"/>
                    <w:left w:val="single" w:color="auto" w:sz="4" w:space="0"/>
                    <w:right w:val="single" w:color="auto" w:sz="4" w:space="0"/>
                  </w:tcBorders>
                  <w:vAlign w:val="center"/>
                </w:tcPr>
                <w:p>
                  <w:pPr>
                    <w:pStyle w:val="34"/>
                    <w:rPr>
                      <w:sz w:val="24"/>
                    </w:rPr>
                  </w:pPr>
                  <w:r>
                    <w:rPr>
                      <w:rFonts w:hint="eastAsia"/>
                      <w:sz w:val="24"/>
                    </w:rPr>
                    <w:t>总悬浮</w:t>
                  </w:r>
                  <w:r>
                    <w:rPr>
                      <w:sz w:val="24"/>
                    </w:rPr>
                    <w:t>颗粒物</w:t>
                  </w:r>
                  <w:r>
                    <w:rPr>
                      <w:rFonts w:hint="eastAsia"/>
                      <w:sz w:val="24"/>
                    </w:rPr>
                    <w:t>、</w:t>
                  </w:r>
                  <w:r>
                    <w:rPr>
                      <w:sz w:val="24"/>
                    </w:rPr>
                    <w:t>非甲烷总烃</w:t>
                  </w:r>
                </w:p>
              </w:tc>
              <w:tc>
                <w:tcPr>
                  <w:tcW w:w="2401" w:type="dxa"/>
                  <w:tcBorders>
                    <w:top w:val="single" w:color="auto" w:sz="4" w:space="0"/>
                    <w:left w:val="single" w:color="auto" w:sz="4" w:space="0"/>
                    <w:right w:val="single" w:color="auto" w:sz="4" w:space="0"/>
                  </w:tcBorders>
                  <w:vAlign w:val="center"/>
                </w:tcPr>
                <w:p>
                  <w:pPr>
                    <w:pStyle w:val="34"/>
                    <w:rPr>
                      <w:sz w:val="24"/>
                    </w:rPr>
                  </w:pPr>
                  <w:r>
                    <w:rPr>
                      <w:sz w:val="24"/>
                    </w:rPr>
                    <w:t>202</w:t>
                  </w:r>
                  <w:r>
                    <w:rPr>
                      <w:rFonts w:hint="eastAsia"/>
                      <w:sz w:val="24"/>
                    </w:rPr>
                    <w:t>2.7.7~7.9</w:t>
                  </w:r>
                </w:p>
              </w:tc>
            </w:tr>
          </w:tbl>
          <w:p>
            <w:pPr>
              <w:ind w:firstLine="480"/>
              <w:rPr>
                <w:sz w:val="24"/>
                <w:szCs w:val="24"/>
              </w:rPr>
            </w:pPr>
            <w:r>
              <w:rPr>
                <w:rFonts w:hint="eastAsia" w:ascii="宋体" w:hAnsi="宋体" w:cs="宋体"/>
                <w:sz w:val="24"/>
                <w:szCs w:val="24"/>
              </w:rPr>
              <w:t>②</w:t>
            </w:r>
            <w:r>
              <w:rPr>
                <w:sz w:val="24"/>
                <w:szCs w:val="24"/>
              </w:rPr>
              <w:t>分析方法</w:t>
            </w:r>
          </w:p>
          <w:p>
            <w:pPr>
              <w:ind w:firstLine="480"/>
              <w:rPr>
                <w:sz w:val="24"/>
                <w:szCs w:val="24"/>
              </w:rPr>
            </w:pPr>
          </w:p>
          <w:p>
            <w:pPr>
              <w:pStyle w:val="34"/>
              <w:ind w:firstLine="482"/>
              <w:rPr>
                <w:b/>
                <w:kern w:val="0"/>
                <w:sz w:val="24"/>
              </w:rPr>
            </w:pPr>
            <w:r>
              <w:rPr>
                <w:b/>
                <w:sz w:val="24"/>
              </w:rPr>
              <w:t>表3-</w:t>
            </w:r>
            <w:r>
              <w:rPr>
                <w:rFonts w:hint="eastAsia"/>
                <w:b/>
                <w:sz w:val="24"/>
              </w:rPr>
              <w:t>3</w:t>
            </w:r>
            <w:r>
              <w:rPr>
                <w:b/>
                <w:sz w:val="24"/>
              </w:rPr>
              <w:t xml:space="preserve">  环境空气现状监测方法</w:t>
            </w:r>
          </w:p>
          <w:tbl>
            <w:tblPr>
              <w:tblStyle w:val="21"/>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3170"/>
              <w:gridCol w:w="2664"/>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69"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项目</w:t>
                  </w:r>
                </w:p>
              </w:tc>
              <w:tc>
                <w:tcPr>
                  <w:tcW w:w="3170"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检测方法/依据</w:t>
                  </w:r>
                </w:p>
              </w:tc>
              <w:tc>
                <w:tcPr>
                  <w:tcW w:w="2664"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仪器设备名称编号</w:t>
                  </w:r>
                </w:p>
                <w:p>
                  <w:pPr>
                    <w:pStyle w:val="34"/>
                    <w:rPr>
                      <w:b/>
                      <w:sz w:val="24"/>
                    </w:rPr>
                  </w:pPr>
                  <w:r>
                    <w:rPr>
                      <w:b/>
                      <w:sz w:val="24"/>
                    </w:rPr>
                    <w:t>及检定有效期</w:t>
                  </w:r>
                </w:p>
              </w:tc>
              <w:tc>
                <w:tcPr>
                  <w:tcW w:w="1397"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96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总悬浮颗粒物</w:t>
                  </w:r>
                </w:p>
              </w:tc>
              <w:tc>
                <w:tcPr>
                  <w:tcW w:w="317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环境空气 总悬浮颗粒物的测定   重量法</w:t>
                  </w:r>
                </w:p>
                <w:p>
                  <w:pPr>
                    <w:pStyle w:val="34"/>
                    <w:rPr>
                      <w:sz w:val="24"/>
                    </w:rPr>
                  </w:pPr>
                  <w:r>
                    <w:rPr>
                      <w:rFonts w:hint="eastAsia"/>
                      <w:sz w:val="24"/>
                    </w:rPr>
                    <w:t>GB/T 15432-1995及修改单</w:t>
                  </w:r>
                </w:p>
                <w:p>
                  <w:pPr>
                    <w:pStyle w:val="34"/>
                    <w:rPr>
                      <w:sz w:val="24"/>
                    </w:rPr>
                  </w:pPr>
                  <w:r>
                    <w:rPr>
                      <w:rFonts w:hint="eastAsia"/>
                      <w:sz w:val="24"/>
                    </w:rPr>
                    <w:t>生态环境部公告2018年第31号</w:t>
                  </w:r>
                </w:p>
              </w:tc>
              <w:tc>
                <w:tcPr>
                  <w:tcW w:w="266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PR系列天平（十万分之一）/PX85ZH/</w:t>
                  </w:r>
                </w:p>
                <w:p>
                  <w:pPr>
                    <w:pStyle w:val="34"/>
                    <w:rPr>
                      <w:sz w:val="24"/>
                    </w:rPr>
                  </w:pPr>
                  <w:r>
                    <w:rPr>
                      <w:sz w:val="24"/>
                    </w:rPr>
                    <w:t>ZXJC-YQ-023</w:t>
                  </w:r>
                </w:p>
              </w:tc>
              <w:tc>
                <w:tcPr>
                  <w:tcW w:w="1397"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0.001mg/m</w:t>
                  </w:r>
                  <w:r>
                    <w:rPr>
                      <w:sz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96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非甲烷</w:t>
                  </w:r>
                </w:p>
                <w:p>
                  <w:pPr>
                    <w:pStyle w:val="34"/>
                    <w:rPr>
                      <w:sz w:val="24"/>
                    </w:rPr>
                  </w:pPr>
                  <w:r>
                    <w:rPr>
                      <w:rFonts w:hint="eastAsia"/>
                      <w:sz w:val="24"/>
                    </w:rPr>
                    <w:t>总烃</w:t>
                  </w:r>
                </w:p>
              </w:tc>
              <w:tc>
                <w:tcPr>
                  <w:tcW w:w="317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 xml:space="preserve">环境空气 总烃、甲烷和非甲烷总烃的测定 直接进样-气相色谱法  </w:t>
                  </w:r>
                </w:p>
                <w:p>
                  <w:pPr>
                    <w:pStyle w:val="34"/>
                    <w:rPr>
                      <w:sz w:val="24"/>
                    </w:rPr>
                  </w:pPr>
                  <w:r>
                    <w:rPr>
                      <w:sz w:val="24"/>
                    </w:rPr>
                    <w:t xml:space="preserve"> HJ 604-2017</w:t>
                  </w:r>
                </w:p>
              </w:tc>
              <w:tc>
                <w:tcPr>
                  <w:tcW w:w="266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气相色谱仪</w:t>
                  </w:r>
                </w:p>
                <w:p>
                  <w:pPr>
                    <w:pStyle w:val="34"/>
                    <w:rPr>
                      <w:sz w:val="24"/>
                    </w:rPr>
                  </w:pPr>
                  <w:r>
                    <w:rPr>
                      <w:sz w:val="24"/>
                    </w:rPr>
                    <w:t>/GC9790Ⅱ/</w:t>
                  </w:r>
                </w:p>
                <w:p>
                  <w:pPr>
                    <w:pStyle w:val="34"/>
                    <w:rPr>
                      <w:sz w:val="24"/>
                    </w:rPr>
                  </w:pPr>
                  <w:r>
                    <w:rPr>
                      <w:sz w:val="24"/>
                    </w:rPr>
                    <w:t>ZXJC-YQ-051</w:t>
                  </w:r>
                </w:p>
              </w:tc>
              <w:tc>
                <w:tcPr>
                  <w:tcW w:w="1397"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Cs w:val="21"/>
                    </w:rPr>
                    <w:t>0.07mg/m</w:t>
                  </w:r>
                  <w:r>
                    <w:rPr>
                      <w:szCs w:val="21"/>
                      <w:vertAlign w:val="superscript"/>
                    </w:rPr>
                    <w:t>3</w:t>
                  </w:r>
                </w:p>
              </w:tc>
            </w:tr>
          </w:tbl>
          <w:p>
            <w:pPr>
              <w:ind w:firstLine="480"/>
              <w:rPr>
                <w:sz w:val="24"/>
                <w:szCs w:val="24"/>
              </w:rPr>
            </w:pPr>
            <w:r>
              <w:rPr>
                <w:rFonts w:hint="eastAsia" w:ascii="宋体" w:hAnsi="宋体" w:cs="宋体"/>
                <w:sz w:val="24"/>
                <w:szCs w:val="24"/>
              </w:rPr>
              <w:t>③</w:t>
            </w:r>
            <w:r>
              <w:rPr>
                <w:sz w:val="24"/>
                <w:szCs w:val="24"/>
              </w:rPr>
              <w:t>监测结果</w:t>
            </w:r>
          </w:p>
          <w:p>
            <w:pPr>
              <w:ind w:firstLine="480"/>
              <w:rPr>
                <w:sz w:val="24"/>
                <w:szCs w:val="24"/>
              </w:rPr>
            </w:pPr>
            <w:r>
              <w:rPr>
                <w:sz w:val="24"/>
                <w:szCs w:val="24"/>
              </w:rPr>
              <w:t>环境空气现状监测结果见表3-</w:t>
            </w:r>
            <w:r>
              <w:rPr>
                <w:rFonts w:hint="eastAsia"/>
                <w:sz w:val="24"/>
                <w:szCs w:val="24"/>
              </w:rPr>
              <w:t>4</w:t>
            </w:r>
            <w:r>
              <w:rPr>
                <w:sz w:val="24"/>
                <w:szCs w:val="24"/>
              </w:rPr>
              <w:t>。</w:t>
            </w:r>
          </w:p>
          <w:p>
            <w:pPr>
              <w:pStyle w:val="34"/>
              <w:ind w:firstLine="482"/>
              <w:rPr>
                <w:b/>
                <w:sz w:val="24"/>
              </w:rPr>
            </w:pPr>
            <w:bookmarkStart w:id="3" w:name="_Ref25400015"/>
            <w:r>
              <w:rPr>
                <w:b/>
                <w:sz w:val="24"/>
              </w:rPr>
              <w:t>表</w:t>
            </w:r>
            <w:bookmarkEnd w:id="3"/>
            <w:r>
              <w:rPr>
                <w:b/>
                <w:sz w:val="24"/>
              </w:rPr>
              <w:t>3-</w:t>
            </w:r>
            <w:r>
              <w:rPr>
                <w:rFonts w:hint="eastAsia"/>
                <w:b/>
                <w:sz w:val="24"/>
              </w:rPr>
              <w:t>4</w:t>
            </w:r>
            <w:r>
              <w:rPr>
                <w:b/>
                <w:sz w:val="24"/>
              </w:rPr>
              <w:t xml:space="preserve">  环境空气质量监测结果统计表（mg/m</w:t>
            </w:r>
            <w:r>
              <w:rPr>
                <w:b/>
                <w:sz w:val="24"/>
                <w:vertAlign w:val="superscript"/>
              </w:rPr>
              <w:t>3</w:t>
            </w:r>
            <w:r>
              <w:rPr>
                <w:b/>
                <w:sz w:val="24"/>
              </w:rPr>
              <w:t>）</w:t>
            </w:r>
          </w:p>
          <w:tbl>
            <w:tblPr>
              <w:tblStyle w:val="21"/>
              <w:tblW w:w="8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2029"/>
              <w:gridCol w:w="2029"/>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2" w:type="dxa"/>
                  <w:vMerge w:val="restart"/>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bCs/>
                      <w:sz w:val="24"/>
                    </w:rPr>
                  </w:pPr>
                  <w:r>
                    <w:rPr>
                      <w:b/>
                      <w:bCs/>
                      <w:sz w:val="24"/>
                    </w:rPr>
                    <w:t>项目</w:t>
                  </w:r>
                </w:p>
              </w:tc>
              <w:tc>
                <w:tcPr>
                  <w:tcW w:w="6088" w:type="dxa"/>
                  <w:gridSpan w:val="3"/>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bCs/>
                      <w:sz w:val="24"/>
                    </w:rPr>
                  </w:pPr>
                  <w:r>
                    <w:rPr>
                      <w:b/>
                      <w:bCs/>
                      <w:sz w:val="24"/>
                    </w:rPr>
                    <w:t>项目厂址下风向</w:t>
                  </w:r>
                  <w:r>
                    <w:rPr>
                      <w:rFonts w:hint="eastAsia"/>
                      <w:b/>
                      <w:bCs/>
                      <w:sz w:val="24"/>
                    </w:rPr>
                    <w:t>5</w:t>
                  </w:r>
                  <w:r>
                    <w:rPr>
                      <w:b/>
                      <w:bCs/>
                      <w:sz w:val="24"/>
                    </w:rPr>
                    <w:t>0m处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2" w:type="dxa"/>
                  <w:vMerge w:val="continue"/>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bCs/>
                      <w:sz w:val="24"/>
                    </w:rPr>
                  </w:pPr>
                </w:p>
              </w:tc>
              <w:tc>
                <w:tcPr>
                  <w:tcW w:w="2029"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bCs/>
                      <w:sz w:val="24"/>
                    </w:rPr>
                  </w:pPr>
                  <w:r>
                    <w:rPr>
                      <w:b/>
                      <w:bCs/>
                      <w:sz w:val="24"/>
                    </w:rPr>
                    <w:t>202</w:t>
                  </w:r>
                  <w:r>
                    <w:rPr>
                      <w:rFonts w:hint="eastAsia"/>
                      <w:b/>
                      <w:bCs/>
                      <w:sz w:val="24"/>
                    </w:rPr>
                    <w:t>2.7.7</w:t>
                  </w:r>
                </w:p>
              </w:tc>
              <w:tc>
                <w:tcPr>
                  <w:tcW w:w="2029"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bCs/>
                      <w:sz w:val="24"/>
                    </w:rPr>
                  </w:pPr>
                  <w:r>
                    <w:rPr>
                      <w:b/>
                      <w:bCs/>
                      <w:sz w:val="24"/>
                    </w:rPr>
                    <w:t>202</w:t>
                  </w:r>
                  <w:r>
                    <w:rPr>
                      <w:rFonts w:hint="eastAsia"/>
                      <w:b/>
                      <w:bCs/>
                      <w:sz w:val="24"/>
                    </w:rPr>
                    <w:t>2.7.8</w:t>
                  </w:r>
                </w:p>
              </w:tc>
              <w:tc>
                <w:tcPr>
                  <w:tcW w:w="2030"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bCs/>
                      <w:sz w:val="24"/>
                    </w:rPr>
                  </w:pPr>
                  <w:r>
                    <w:rPr>
                      <w:b/>
                      <w:bCs/>
                      <w:sz w:val="24"/>
                    </w:rPr>
                    <w:t>202</w:t>
                  </w:r>
                  <w:r>
                    <w:rPr>
                      <w:rFonts w:hint="eastAsia"/>
                      <w:b/>
                      <w:bCs/>
                      <w:sz w:val="24"/>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2"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总悬浮颗粒物</w:t>
                  </w:r>
                </w:p>
              </w:tc>
              <w:tc>
                <w:tcPr>
                  <w:tcW w:w="202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0.113</w:t>
                  </w:r>
                </w:p>
              </w:tc>
              <w:tc>
                <w:tcPr>
                  <w:tcW w:w="202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0.096</w:t>
                  </w:r>
                </w:p>
              </w:tc>
              <w:tc>
                <w:tcPr>
                  <w:tcW w:w="203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2"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非甲烷总烃</w:t>
                  </w:r>
                </w:p>
              </w:tc>
              <w:tc>
                <w:tcPr>
                  <w:tcW w:w="202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0.48~0.62</w:t>
                  </w:r>
                </w:p>
              </w:tc>
              <w:tc>
                <w:tcPr>
                  <w:tcW w:w="2029"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0.46~0.58</w:t>
                  </w:r>
                </w:p>
              </w:tc>
              <w:tc>
                <w:tcPr>
                  <w:tcW w:w="203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0.43~0.54</w:t>
                  </w:r>
                </w:p>
              </w:tc>
            </w:tr>
          </w:tbl>
          <w:p>
            <w:pPr>
              <w:ind w:firstLine="480"/>
              <w:rPr>
                <w:sz w:val="24"/>
                <w:szCs w:val="24"/>
              </w:rPr>
            </w:pPr>
            <w:r>
              <w:rPr>
                <w:rFonts w:hint="eastAsia"/>
                <w:sz w:val="24"/>
                <w:szCs w:val="24"/>
              </w:rPr>
              <w:t>监测结果表明，本项目所在区域总悬浮颗粒物浓度为96~113</w:t>
            </w:r>
            <w:r>
              <w:rPr>
                <w:sz w:val="24"/>
                <w:szCs w:val="24"/>
              </w:rPr>
              <w:t>μg</w:t>
            </w:r>
            <w:r>
              <w:rPr>
                <w:rFonts w:hint="eastAsia"/>
                <w:sz w:val="24"/>
                <w:szCs w:val="24"/>
              </w:rPr>
              <w:t>/m</w:t>
            </w:r>
            <w:r>
              <w:rPr>
                <w:rFonts w:hint="eastAsia"/>
                <w:sz w:val="24"/>
                <w:szCs w:val="24"/>
                <w:vertAlign w:val="superscript"/>
              </w:rPr>
              <w:t>3</w:t>
            </w:r>
            <w:r>
              <w:rPr>
                <w:rFonts w:hint="eastAsia"/>
                <w:sz w:val="24"/>
                <w:szCs w:val="24"/>
              </w:rPr>
              <w:t>，满足《环境空气质量标准》（GB3095-2012）中二级标准限值。非甲烷总烃1小时均值为0.43~0.62mg/m</w:t>
            </w:r>
            <w:r>
              <w:rPr>
                <w:rFonts w:hint="eastAsia"/>
                <w:sz w:val="24"/>
                <w:szCs w:val="24"/>
                <w:vertAlign w:val="superscript"/>
              </w:rPr>
              <w:t>3</w:t>
            </w:r>
            <w:r>
              <w:rPr>
                <w:rFonts w:hint="eastAsia"/>
                <w:sz w:val="24"/>
                <w:szCs w:val="24"/>
              </w:rPr>
              <w:t>，满足《大气污染物综合排放标准详解》相关要求。</w:t>
            </w:r>
          </w:p>
          <w:p>
            <w:pPr>
              <w:ind w:firstLine="480"/>
              <w:rPr>
                <w:sz w:val="24"/>
                <w:szCs w:val="24"/>
              </w:rPr>
            </w:pPr>
            <w:r>
              <w:rPr>
                <w:rFonts w:hint="eastAsia"/>
                <w:sz w:val="24"/>
                <w:szCs w:val="24"/>
              </w:rPr>
              <w:t>2、地下水环境</w:t>
            </w:r>
          </w:p>
          <w:p>
            <w:pPr>
              <w:ind w:firstLine="480"/>
              <w:rPr>
                <w:sz w:val="24"/>
                <w:szCs w:val="24"/>
              </w:rPr>
            </w:pPr>
            <w:r>
              <w:rPr>
                <w:sz w:val="24"/>
                <w:szCs w:val="24"/>
              </w:rPr>
              <w:t>本次</w:t>
            </w:r>
            <w:r>
              <w:rPr>
                <w:rFonts w:hint="eastAsia"/>
                <w:sz w:val="24"/>
                <w:szCs w:val="24"/>
              </w:rPr>
              <w:t>土壤</w:t>
            </w:r>
            <w:r>
              <w:rPr>
                <w:sz w:val="24"/>
                <w:szCs w:val="24"/>
              </w:rPr>
              <w:t>环境质量监测项目为</w:t>
            </w:r>
            <w:r>
              <w:rPr>
                <w:rFonts w:hint="eastAsia"/>
                <w:sz w:val="24"/>
                <w:szCs w:val="24"/>
              </w:rPr>
              <w:t>K</w:t>
            </w:r>
            <w:r>
              <w:rPr>
                <w:rFonts w:hint="eastAsia"/>
                <w:sz w:val="24"/>
                <w:szCs w:val="24"/>
                <w:vertAlign w:val="superscript"/>
              </w:rPr>
              <w:t>+</w:t>
            </w:r>
            <w:r>
              <w:rPr>
                <w:rFonts w:hint="eastAsia"/>
                <w:sz w:val="24"/>
                <w:szCs w:val="24"/>
              </w:rPr>
              <w:t>、Na</w:t>
            </w:r>
            <w:r>
              <w:rPr>
                <w:rFonts w:hint="eastAsia"/>
                <w:sz w:val="24"/>
                <w:szCs w:val="24"/>
                <w:vertAlign w:val="superscript"/>
              </w:rPr>
              <w:t>+</w:t>
            </w:r>
            <w:r>
              <w:rPr>
                <w:rFonts w:hint="eastAsia"/>
                <w:sz w:val="24"/>
                <w:szCs w:val="24"/>
              </w:rPr>
              <w:t>、Ca</w:t>
            </w:r>
            <w:r>
              <w:rPr>
                <w:rFonts w:hint="eastAsia"/>
                <w:sz w:val="24"/>
                <w:szCs w:val="24"/>
                <w:vertAlign w:val="superscript"/>
              </w:rPr>
              <w:t>2+</w:t>
            </w:r>
            <w:r>
              <w:rPr>
                <w:rFonts w:hint="eastAsia"/>
                <w:sz w:val="24"/>
                <w:szCs w:val="24"/>
              </w:rPr>
              <w:t>、Mg</w:t>
            </w:r>
            <w:r>
              <w:rPr>
                <w:rFonts w:hint="eastAsia"/>
                <w:sz w:val="24"/>
                <w:szCs w:val="24"/>
                <w:vertAlign w:val="superscript"/>
              </w:rPr>
              <w:t>2+</w:t>
            </w:r>
            <w:r>
              <w:rPr>
                <w:rFonts w:hint="eastAsia"/>
                <w:sz w:val="24"/>
                <w:szCs w:val="24"/>
              </w:rPr>
              <w:t>、CO</w:t>
            </w:r>
            <w:r>
              <w:rPr>
                <w:rFonts w:hint="eastAsia"/>
                <w:sz w:val="24"/>
                <w:szCs w:val="24"/>
                <w:vertAlign w:val="subscript"/>
              </w:rPr>
              <w:t>3</w:t>
            </w:r>
            <w:r>
              <w:rPr>
                <w:rFonts w:hint="eastAsia"/>
                <w:sz w:val="24"/>
                <w:szCs w:val="24"/>
                <w:vertAlign w:val="superscript"/>
              </w:rPr>
              <w:t>2-</w:t>
            </w:r>
            <w:r>
              <w:rPr>
                <w:rFonts w:hint="eastAsia"/>
                <w:sz w:val="24"/>
                <w:szCs w:val="24"/>
              </w:rPr>
              <w:t>、HCO</w:t>
            </w:r>
            <w:r>
              <w:rPr>
                <w:rFonts w:hint="eastAsia"/>
                <w:sz w:val="24"/>
                <w:szCs w:val="24"/>
                <w:vertAlign w:val="subscript"/>
              </w:rPr>
              <w:t>3</w:t>
            </w:r>
            <w:r>
              <w:rPr>
                <w:rFonts w:hint="eastAsia"/>
                <w:sz w:val="24"/>
                <w:szCs w:val="24"/>
                <w:vertAlign w:val="superscript"/>
              </w:rPr>
              <w:t>-</w:t>
            </w:r>
            <w:r>
              <w:rPr>
                <w:rFonts w:hint="eastAsia"/>
                <w:sz w:val="24"/>
                <w:szCs w:val="24"/>
              </w:rPr>
              <w:t>、Cl</w:t>
            </w:r>
            <w:r>
              <w:rPr>
                <w:rFonts w:hint="eastAsia"/>
                <w:sz w:val="24"/>
                <w:szCs w:val="24"/>
                <w:vertAlign w:val="superscript"/>
              </w:rPr>
              <w:t>-</w:t>
            </w:r>
            <w:r>
              <w:rPr>
                <w:rFonts w:hint="eastAsia"/>
                <w:sz w:val="24"/>
                <w:szCs w:val="24"/>
              </w:rPr>
              <w:t>、SO</w:t>
            </w:r>
            <w:r>
              <w:rPr>
                <w:rFonts w:hint="eastAsia"/>
                <w:sz w:val="24"/>
                <w:szCs w:val="24"/>
                <w:vertAlign w:val="subscript"/>
              </w:rPr>
              <w:t>4</w:t>
            </w:r>
            <w:r>
              <w:rPr>
                <w:rFonts w:hint="eastAsia"/>
                <w:sz w:val="24"/>
                <w:szCs w:val="24"/>
                <w:vertAlign w:val="superscript"/>
              </w:rPr>
              <w:t>2-</w:t>
            </w:r>
            <w:r>
              <w:rPr>
                <w:rFonts w:hint="eastAsia"/>
                <w:sz w:val="24"/>
                <w:szCs w:val="24"/>
              </w:rPr>
              <w:t>、pH值、浑浊度、氨氮、氟化物、硝酸盐、亚硝酸盐氮、氰化物、耗氧量、总硬度、溶解性总固体、汞、砷、镉、铬（六价）、铅、铁、锰、铜、锌、铝、阴离子表面活性剂、硫化物、挥发酚、石油类</w:t>
            </w:r>
            <w:r>
              <w:rPr>
                <w:sz w:val="24"/>
                <w:szCs w:val="24"/>
              </w:rPr>
              <w:t>，由</w:t>
            </w:r>
            <w:r>
              <w:rPr>
                <w:rFonts w:hint="eastAsia"/>
                <w:sz w:val="24"/>
                <w:szCs w:val="24"/>
              </w:rPr>
              <w:t>陕西</w:t>
            </w:r>
            <w:r>
              <w:rPr>
                <w:sz w:val="24"/>
                <w:szCs w:val="24"/>
              </w:rPr>
              <w:t>泽希检测服务有限公司进行监测。</w:t>
            </w:r>
            <w:r>
              <w:rPr>
                <w:rFonts w:hint="eastAsia"/>
                <w:sz w:val="24"/>
                <w:szCs w:val="24"/>
              </w:rPr>
              <w:t>采样</w:t>
            </w:r>
            <w:r>
              <w:rPr>
                <w:sz w:val="24"/>
                <w:szCs w:val="24"/>
              </w:rPr>
              <w:t>为202</w:t>
            </w:r>
            <w:r>
              <w:rPr>
                <w:rFonts w:hint="eastAsia"/>
                <w:sz w:val="24"/>
                <w:szCs w:val="24"/>
              </w:rPr>
              <w:t>2</w:t>
            </w:r>
            <w:r>
              <w:rPr>
                <w:sz w:val="24"/>
                <w:szCs w:val="24"/>
              </w:rPr>
              <w:t>年</w:t>
            </w:r>
            <w:r>
              <w:rPr>
                <w:rFonts w:hint="eastAsia"/>
                <w:sz w:val="24"/>
                <w:szCs w:val="24"/>
              </w:rPr>
              <w:t>7</w:t>
            </w:r>
            <w:r>
              <w:rPr>
                <w:sz w:val="24"/>
                <w:szCs w:val="24"/>
              </w:rPr>
              <w:t>月</w:t>
            </w:r>
            <w:r>
              <w:rPr>
                <w:rFonts w:hint="eastAsia"/>
                <w:sz w:val="24"/>
                <w:szCs w:val="24"/>
              </w:rPr>
              <w:t>7</w:t>
            </w:r>
            <w:r>
              <w:rPr>
                <w:sz w:val="24"/>
                <w:szCs w:val="24"/>
              </w:rPr>
              <w:t>日。</w:t>
            </w:r>
          </w:p>
          <w:p>
            <w:pPr>
              <w:ind w:firstLine="480"/>
              <w:rPr>
                <w:sz w:val="24"/>
                <w:szCs w:val="24"/>
              </w:rPr>
            </w:pPr>
            <w:r>
              <w:rPr>
                <w:rFonts w:hint="eastAsia" w:ascii="宋体" w:hAnsi="宋体" w:cs="宋体"/>
                <w:sz w:val="24"/>
                <w:szCs w:val="24"/>
              </w:rPr>
              <w:t>①</w:t>
            </w:r>
            <w:r>
              <w:rPr>
                <w:sz w:val="24"/>
                <w:szCs w:val="24"/>
              </w:rPr>
              <w:t>监测点位基本信息</w:t>
            </w:r>
          </w:p>
          <w:p>
            <w:pPr>
              <w:pStyle w:val="34"/>
              <w:ind w:firstLine="482"/>
              <w:rPr>
                <w:b/>
                <w:kern w:val="0"/>
                <w:sz w:val="24"/>
              </w:rPr>
            </w:pPr>
            <w:r>
              <w:rPr>
                <w:b/>
                <w:sz w:val="24"/>
              </w:rPr>
              <w:t>表3-</w:t>
            </w:r>
            <w:r>
              <w:rPr>
                <w:rFonts w:hint="eastAsia"/>
                <w:b/>
                <w:sz w:val="24"/>
              </w:rPr>
              <w:t>5</w:t>
            </w:r>
            <w:r>
              <w:rPr>
                <w:b/>
                <w:sz w:val="24"/>
              </w:rPr>
              <w:t xml:space="preserve">  监测点位基本信息表</w:t>
            </w:r>
          </w:p>
          <w:tbl>
            <w:tblPr>
              <w:tblStyle w:val="21"/>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701"/>
              <w:gridCol w:w="5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836"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序号</w:t>
                  </w:r>
                </w:p>
              </w:tc>
              <w:tc>
                <w:tcPr>
                  <w:tcW w:w="1701"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监测点位置</w:t>
                  </w:r>
                </w:p>
              </w:tc>
              <w:tc>
                <w:tcPr>
                  <w:tcW w:w="5663"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83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1</w:t>
                  </w:r>
                </w:p>
              </w:tc>
              <w:tc>
                <w:tcPr>
                  <w:tcW w:w="1701" w:type="dxa"/>
                  <w:tcBorders>
                    <w:top w:val="single" w:color="auto" w:sz="4" w:space="0"/>
                    <w:left w:val="single" w:color="auto" w:sz="4" w:space="0"/>
                    <w:right w:val="single" w:color="auto" w:sz="4" w:space="0"/>
                  </w:tcBorders>
                  <w:vAlign w:val="center"/>
                </w:tcPr>
                <w:p>
                  <w:pPr>
                    <w:pStyle w:val="34"/>
                    <w:rPr>
                      <w:sz w:val="24"/>
                    </w:rPr>
                  </w:pPr>
                  <w:r>
                    <w:rPr>
                      <w:rFonts w:hint="eastAsia"/>
                      <w:sz w:val="24"/>
                    </w:rPr>
                    <w:t>下游井</w:t>
                  </w:r>
                </w:p>
              </w:tc>
              <w:tc>
                <w:tcPr>
                  <w:tcW w:w="5663" w:type="dxa"/>
                  <w:tcBorders>
                    <w:top w:val="single" w:color="auto" w:sz="4" w:space="0"/>
                    <w:left w:val="single" w:color="auto" w:sz="4" w:space="0"/>
                    <w:right w:val="single" w:color="auto" w:sz="4" w:space="0"/>
                  </w:tcBorders>
                  <w:vAlign w:val="center"/>
                </w:tcPr>
                <w:p>
                  <w:pPr>
                    <w:pStyle w:val="34"/>
                    <w:rPr>
                      <w:sz w:val="24"/>
                    </w:rPr>
                  </w:pPr>
                  <w:r>
                    <w:rPr>
                      <w:rFonts w:hint="eastAsia"/>
                      <w:sz w:val="24"/>
                    </w:rPr>
                    <w:t>K</w:t>
                  </w:r>
                  <w:r>
                    <w:rPr>
                      <w:rFonts w:hint="eastAsia"/>
                      <w:sz w:val="24"/>
                      <w:vertAlign w:val="superscript"/>
                    </w:rPr>
                    <w:t>+</w:t>
                  </w:r>
                  <w:r>
                    <w:rPr>
                      <w:rFonts w:hint="eastAsia"/>
                      <w:sz w:val="24"/>
                    </w:rPr>
                    <w:t>、Na</w:t>
                  </w:r>
                  <w:r>
                    <w:rPr>
                      <w:rFonts w:hint="eastAsia"/>
                      <w:sz w:val="24"/>
                      <w:vertAlign w:val="superscript"/>
                    </w:rPr>
                    <w:t>+</w:t>
                  </w:r>
                  <w:r>
                    <w:rPr>
                      <w:rFonts w:hint="eastAsia"/>
                      <w:sz w:val="24"/>
                    </w:rPr>
                    <w:t>、Ca</w:t>
                  </w:r>
                  <w:r>
                    <w:rPr>
                      <w:rFonts w:hint="eastAsia"/>
                      <w:sz w:val="24"/>
                      <w:vertAlign w:val="superscript"/>
                    </w:rPr>
                    <w:t>2+</w:t>
                  </w:r>
                  <w:r>
                    <w:rPr>
                      <w:rFonts w:hint="eastAsia"/>
                      <w:sz w:val="24"/>
                    </w:rPr>
                    <w:t>、Mg</w:t>
                  </w:r>
                  <w:r>
                    <w:rPr>
                      <w:rFonts w:hint="eastAsia"/>
                      <w:sz w:val="24"/>
                      <w:vertAlign w:val="superscript"/>
                    </w:rPr>
                    <w:t>2+</w:t>
                  </w:r>
                  <w:r>
                    <w:rPr>
                      <w:rFonts w:hint="eastAsia"/>
                      <w:sz w:val="24"/>
                    </w:rPr>
                    <w:t>、CO</w:t>
                  </w:r>
                  <w:r>
                    <w:rPr>
                      <w:rFonts w:hint="eastAsia"/>
                      <w:sz w:val="24"/>
                      <w:vertAlign w:val="subscript"/>
                    </w:rPr>
                    <w:t>3</w:t>
                  </w:r>
                  <w:r>
                    <w:rPr>
                      <w:rFonts w:hint="eastAsia"/>
                      <w:sz w:val="24"/>
                      <w:vertAlign w:val="superscript"/>
                    </w:rPr>
                    <w:t>2-</w:t>
                  </w:r>
                  <w:r>
                    <w:rPr>
                      <w:rFonts w:hint="eastAsia"/>
                      <w:sz w:val="24"/>
                    </w:rPr>
                    <w:t>、HCO</w:t>
                  </w:r>
                  <w:r>
                    <w:rPr>
                      <w:rFonts w:hint="eastAsia"/>
                      <w:sz w:val="24"/>
                      <w:vertAlign w:val="subscript"/>
                    </w:rPr>
                    <w:t>3</w:t>
                  </w:r>
                  <w:r>
                    <w:rPr>
                      <w:rFonts w:hint="eastAsia"/>
                      <w:sz w:val="24"/>
                      <w:vertAlign w:val="superscript"/>
                    </w:rPr>
                    <w:t>-</w:t>
                  </w:r>
                  <w:r>
                    <w:rPr>
                      <w:rFonts w:hint="eastAsia"/>
                      <w:sz w:val="24"/>
                    </w:rPr>
                    <w:t>、Cl</w:t>
                  </w:r>
                  <w:r>
                    <w:rPr>
                      <w:rFonts w:hint="eastAsia"/>
                      <w:sz w:val="24"/>
                      <w:vertAlign w:val="superscript"/>
                    </w:rPr>
                    <w:t>-</w:t>
                  </w:r>
                  <w:r>
                    <w:rPr>
                      <w:rFonts w:hint="eastAsia"/>
                      <w:sz w:val="24"/>
                    </w:rPr>
                    <w:t>、SO</w:t>
                  </w:r>
                  <w:r>
                    <w:rPr>
                      <w:rFonts w:hint="eastAsia"/>
                      <w:sz w:val="24"/>
                      <w:vertAlign w:val="subscript"/>
                    </w:rPr>
                    <w:t>4</w:t>
                  </w:r>
                  <w:r>
                    <w:rPr>
                      <w:rFonts w:hint="eastAsia"/>
                      <w:sz w:val="24"/>
                      <w:vertAlign w:val="superscript"/>
                    </w:rPr>
                    <w:t>2-</w:t>
                  </w:r>
                  <w:r>
                    <w:rPr>
                      <w:rFonts w:hint="eastAsia"/>
                      <w:sz w:val="24"/>
                    </w:rPr>
                    <w:t>、pH值、浑浊度、氨氮、氟化物、硝酸盐、亚硝酸盐氮、氰化物、耗氧量、总硬度、溶解性总固体、汞、砷、镉、铬（六价）、铅、铁、锰、铜、锌、铝、阴离子表面活性剂、硫化物、挥发酚、石油类</w:t>
                  </w:r>
                </w:p>
              </w:tc>
            </w:tr>
          </w:tbl>
          <w:p>
            <w:pPr>
              <w:ind w:firstLine="480"/>
              <w:rPr>
                <w:sz w:val="24"/>
                <w:szCs w:val="24"/>
              </w:rPr>
            </w:pPr>
            <w:r>
              <w:rPr>
                <w:rFonts w:hint="eastAsia" w:ascii="宋体" w:hAnsi="宋体" w:cs="宋体"/>
                <w:sz w:val="24"/>
                <w:szCs w:val="24"/>
              </w:rPr>
              <w:t>②</w:t>
            </w:r>
            <w:r>
              <w:rPr>
                <w:sz w:val="24"/>
                <w:szCs w:val="24"/>
              </w:rPr>
              <w:t>分析方法</w:t>
            </w:r>
          </w:p>
          <w:p>
            <w:pPr>
              <w:pStyle w:val="34"/>
              <w:ind w:firstLine="482"/>
              <w:rPr>
                <w:b/>
                <w:kern w:val="0"/>
                <w:sz w:val="24"/>
              </w:rPr>
            </w:pPr>
            <w:r>
              <w:rPr>
                <w:b/>
                <w:sz w:val="24"/>
              </w:rPr>
              <w:t>表3-</w:t>
            </w:r>
            <w:r>
              <w:rPr>
                <w:rFonts w:hint="eastAsia"/>
                <w:b/>
                <w:sz w:val="24"/>
              </w:rPr>
              <w:t>6</w:t>
            </w:r>
            <w:r>
              <w:rPr>
                <w:b/>
                <w:sz w:val="24"/>
              </w:rPr>
              <w:t xml:space="preserve">  </w:t>
            </w:r>
            <w:r>
              <w:rPr>
                <w:rFonts w:hint="eastAsia"/>
                <w:b/>
                <w:sz w:val="24"/>
              </w:rPr>
              <w:t>地下水</w:t>
            </w:r>
            <w:r>
              <w:rPr>
                <w:b/>
                <w:sz w:val="24"/>
              </w:rPr>
              <w:t>因子监测方法</w:t>
            </w:r>
          </w:p>
          <w:tbl>
            <w:tblPr>
              <w:tblStyle w:val="21"/>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3119"/>
              <w:gridCol w:w="2422"/>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63"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项目</w:t>
                  </w:r>
                </w:p>
              </w:tc>
              <w:tc>
                <w:tcPr>
                  <w:tcW w:w="3119"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检测方法/依据</w:t>
                  </w:r>
                </w:p>
              </w:tc>
              <w:tc>
                <w:tcPr>
                  <w:tcW w:w="2422"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仪器设备名称编号</w:t>
                  </w:r>
                </w:p>
                <w:p>
                  <w:pPr>
                    <w:pStyle w:val="34"/>
                    <w:rPr>
                      <w:b/>
                      <w:sz w:val="24"/>
                    </w:rPr>
                  </w:pPr>
                  <w:r>
                    <w:rPr>
                      <w:b/>
                      <w:sz w:val="24"/>
                    </w:rPr>
                    <w:t>及检定有效期</w:t>
                  </w:r>
                </w:p>
              </w:tc>
              <w:tc>
                <w:tcPr>
                  <w:tcW w:w="1396"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臭和味</w:t>
                  </w:r>
                </w:p>
              </w:tc>
              <w:tc>
                <w:tcPr>
                  <w:tcW w:w="3119" w:type="dxa"/>
                  <w:vMerge w:val="restart"/>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生活饮用水标准检验方法</w:t>
                  </w:r>
                </w:p>
                <w:p>
                  <w:pPr>
                    <w:pStyle w:val="34"/>
                    <w:rPr>
                      <w:sz w:val="24"/>
                    </w:rPr>
                  </w:pPr>
                  <w:r>
                    <w:rPr>
                      <w:sz w:val="24"/>
                    </w:rPr>
                    <w:t xml:space="preserve"> 感官性状和物理指标</w:t>
                  </w:r>
                </w:p>
                <w:p>
                  <w:pPr>
                    <w:pStyle w:val="34"/>
                    <w:rPr>
                      <w:sz w:val="24"/>
                    </w:rPr>
                  </w:pPr>
                  <w:r>
                    <w:rPr>
                      <w:sz w:val="24"/>
                    </w:rPr>
                    <w:t>（</w:t>
                  </w:r>
                  <w:r>
                    <w:rPr>
                      <w:rFonts w:hint="eastAsia"/>
                      <w:sz w:val="24"/>
                    </w:rPr>
                    <w:t>3.1 嗅气和尝味法</w:t>
                  </w:r>
                  <w:r>
                    <w:rPr>
                      <w:sz w:val="24"/>
                    </w:rPr>
                    <w:t>）</w:t>
                  </w:r>
                </w:p>
                <w:p>
                  <w:pPr>
                    <w:pStyle w:val="34"/>
                    <w:rPr>
                      <w:sz w:val="24"/>
                    </w:rPr>
                  </w:pPr>
                  <w:r>
                    <w:rPr>
                      <w:sz w:val="24"/>
                    </w:rPr>
                    <w:t xml:space="preserve"> GB/T</w:t>
                  </w:r>
                  <w:r>
                    <w:rPr>
                      <w:rFonts w:hint="eastAsia"/>
                      <w:sz w:val="24"/>
                    </w:rPr>
                    <w:t xml:space="preserve"> </w:t>
                  </w:r>
                  <w:r>
                    <w:rPr>
                      <w:sz w:val="24"/>
                    </w:rPr>
                    <w:t xml:space="preserve">5750.4-2006 </w:t>
                  </w:r>
                </w:p>
              </w:tc>
              <w:tc>
                <w:tcPr>
                  <w:tcW w:w="2422" w:type="dxa"/>
                  <w:vMerge w:val="restart"/>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ab/>
                  </w:r>
                  <w:r>
                    <w:rPr>
                      <w:rFonts w:hint="eastAsia"/>
                      <w:sz w:val="24"/>
                    </w:rPr>
                    <w:t>/</w:t>
                  </w:r>
                  <w:r>
                    <w:rPr>
                      <w:rFonts w:hint="eastAsia"/>
                      <w:sz w:val="24"/>
                    </w:rPr>
                    <w:tab/>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K</w:t>
                  </w:r>
                  <w:r>
                    <w:rPr>
                      <w:sz w:val="24"/>
                      <w:vertAlign w:val="superscript"/>
                    </w:rPr>
                    <w:t>+</w:t>
                  </w:r>
                </w:p>
              </w:tc>
              <w:tc>
                <w:tcPr>
                  <w:tcW w:w="3119" w:type="dxa"/>
                  <w:vMerge w:val="restart"/>
                  <w:tcBorders>
                    <w:top w:val="single" w:color="auto" w:sz="4" w:space="0"/>
                    <w:left w:val="single" w:color="auto" w:sz="4" w:space="0"/>
                    <w:right w:val="single" w:color="auto" w:sz="4" w:space="0"/>
                  </w:tcBorders>
                  <w:vAlign w:val="center"/>
                </w:tcPr>
                <w:p>
                  <w:pPr>
                    <w:pStyle w:val="34"/>
                    <w:rPr>
                      <w:sz w:val="24"/>
                    </w:rPr>
                  </w:pPr>
                  <w:r>
                    <w:rPr>
                      <w:sz w:val="24"/>
                    </w:rPr>
                    <w:t>水质 钾和钠的测定</w:t>
                  </w:r>
                </w:p>
                <w:p>
                  <w:pPr>
                    <w:pStyle w:val="34"/>
                    <w:rPr>
                      <w:sz w:val="24"/>
                    </w:rPr>
                  </w:pPr>
                  <w:r>
                    <w:rPr>
                      <w:sz w:val="24"/>
                    </w:rPr>
                    <w:t>火焰原子吸收分光光度法</w:t>
                  </w:r>
                </w:p>
                <w:p>
                  <w:pPr>
                    <w:pStyle w:val="34"/>
                    <w:rPr>
                      <w:sz w:val="24"/>
                    </w:rPr>
                  </w:pPr>
                  <w:r>
                    <w:rPr>
                      <w:sz w:val="24"/>
                    </w:rPr>
                    <w:t>GB/T 11904-1989</w:t>
                  </w:r>
                </w:p>
              </w:tc>
              <w:tc>
                <w:tcPr>
                  <w:tcW w:w="2422" w:type="dxa"/>
                  <w:vMerge w:val="restart"/>
                  <w:tcBorders>
                    <w:top w:val="single" w:color="auto" w:sz="4" w:space="0"/>
                    <w:left w:val="single" w:color="auto" w:sz="4" w:space="0"/>
                    <w:right w:val="single" w:color="auto" w:sz="4" w:space="0"/>
                  </w:tcBorders>
                  <w:vAlign w:val="center"/>
                </w:tcPr>
                <w:p>
                  <w:pPr>
                    <w:pStyle w:val="34"/>
                    <w:rPr>
                      <w:sz w:val="24"/>
                    </w:rPr>
                  </w:pPr>
                  <w:r>
                    <w:rPr>
                      <w:rFonts w:hint="eastAsia"/>
                      <w:sz w:val="24"/>
                    </w:rPr>
                    <w:t>原子吸收分光光度计/SP-3500AA(4AT)/</w:t>
                  </w:r>
                </w:p>
                <w:p>
                  <w:pPr>
                    <w:pStyle w:val="34"/>
                    <w:rPr>
                      <w:sz w:val="24"/>
                    </w:rPr>
                  </w:pPr>
                  <w:r>
                    <w:rPr>
                      <w:sz w:val="24"/>
                    </w:rPr>
                    <w:t>ZXJC-YQ-0</w:t>
                  </w:r>
                  <w:r>
                    <w:rPr>
                      <w:rFonts w:hint="eastAsia"/>
                      <w:sz w:val="24"/>
                    </w:rPr>
                    <w:t>83</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Na</w:t>
                  </w:r>
                  <w:r>
                    <w:rPr>
                      <w:sz w:val="24"/>
                      <w:vertAlign w:val="superscript"/>
                    </w:rPr>
                    <w:t>+</w:t>
                  </w:r>
                </w:p>
              </w:tc>
              <w:tc>
                <w:tcPr>
                  <w:tcW w:w="3119" w:type="dxa"/>
                  <w:vMerge w:val="continue"/>
                  <w:tcBorders>
                    <w:left w:val="single" w:color="auto" w:sz="4" w:space="0"/>
                    <w:bottom w:val="single" w:color="auto" w:sz="4" w:space="0"/>
                    <w:right w:val="single" w:color="auto" w:sz="4" w:space="0"/>
                  </w:tcBorders>
                  <w:vAlign w:val="center"/>
                </w:tcPr>
                <w:p>
                  <w:pPr>
                    <w:pStyle w:val="34"/>
                    <w:rPr>
                      <w:sz w:val="24"/>
                    </w:rPr>
                  </w:pPr>
                </w:p>
              </w:tc>
              <w:tc>
                <w:tcPr>
                  <w:tcW w:w="2422" w:type="dxa"/>
                  <w:vMerge w:val="continue"/>
                  <w:tcBorders>
                    <w:left w:val="single" w:color="auto" w:sz="4" w:space="0"/>
                    <w:right w:val="single" w:color="auto" w:sz="4" w:space="0"/>
                  </w:tcBorders>
                  <w:vAlign w:val="center"/>
                </w:tcPr>
                <w:p>
                  <w:pPr>
                    <w:pStyle w:val="34"/>
                    <w:rPr>
                      <w:sz w:val="24"/>
                    </w:rPr>
                  </w:pP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Ca</w:t>
                  </w:r>
                  <w:r>
                    <w:rPr>
                      <w:sz w:val="24"/>
                      <w:vertAlign w:val="superscript"/>
                    </w:rPr>
                    <w:t>2+</w:t>
                  </w:r>
                </w:p>
              </w:tc>
              <w:tc>
                <w:tcPr>
                  <w:tcW w:w="3119" w:type="dxa"/>
                  <w:vMerge w:val="restart"/>
                  <w:tcBorders>
                    <w:top w:val="single" w:color="auto" w:sz="4" w:space="0"/>
                    <w:left w:val="single" w:color="auto" w:sz="4" w:space="0"/>
                    <w:right w:val="single" w:color="auto" w:sz="4" w:space="0"/>
                  </w:tcBorders>
                  <w:vAlign w:val="center"/>
                </w:tcPr>
                <w:p>
                  <w:pPr>
                    <w:pStyle w:val="34"/>
                    <w:rPr>
                      <w:sz w:val="24"/>
                    </w:rPr>
                  </w:pPr>
                  <w:r>
                    <w:rPr>
                      <w:sz w:val="24"/>
                    </w:rPr>
                    <w:t>水质 钙和镁的测定</w:t>
                  </w:r>
                </w:p>
                <w:p>
                  <w:pPr>
                    <w:pStyle w:val="34"/>
                    <w:rPr>
                      <w:sz w:val="24"/>
                    </w:rPr>
                  </w:pPr>
                  <w:r>
                    <w:rPr>
                      <w:sz w:val="24"/>
                    </w:rPr>
                    <w:t>原子吸收分光光度法</w:t>
                  </w:r>
                </w:p>
                <w:p>
                  <w:pPr>
                    <w:pStyle w:val="34"/>
                    <w:rPr>
                      <w:sz w:val="24"/>
                    </w:rPr>
                  </w:pPr>
                  <w:r>
                    <w:rPr>
                      <w:sz w:val="24"/>
                    </w:rPr>
                    <w:t>GB/T 11905-1989</w:t>
                  </w:r>
                </w:p>
              </w:tc>
              <w:tc>
                <w:tcPr>
                  <w:tcW w:w="2422" w:type="dxa"/>
                  <w:vMerge w:val="continue"/>
                  <w:tcBorders>
                    <w:left w:val="single" w:color="auto" w:sz="4" w:space="0"/>
                    <w:right w:val="single" w:color="auto" w:sz="4" w:space="0"/>
                  </w:tcBorders>
                  <w:vAlign w:val="center"/>
                </w:tcPr>
                <w:p>
                  <w:pPr>
                    <w:pStyle w:val="34"/>
                    <w:rPr>
                      <w:sz w:val="24"/>
                    </w:rPr>
                  </w:pP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Mg</w:t>
                  </w:r>
                  <w:r>
                    <w:rPr>
                      <w:sz w:val="24"/>
                      <w:vertAlign w:val="superscript"/>
                    </w:rPr>
                    <w:t>2+</w:t>
                  </w:r>
                </w:p>
              </w:tc>
              <w:tc>
                <w:tcPr>
                  <w:tcW w:w="3119" w:type="dxa"/>
                  <w:vMerge w:val="continue"/>
                  <w:tcBorders>
                    <w:left w:val="single" w:color="auto" w:sz="4" w:space="0"/>
                    <w:bottom w:val="single" w:color="auto" w:sz="4" w:space="0"/>
                    <w:right w:val="single" w:color="auto" w:sz="4" w:space="0"/>
                  </w:tcBorders>
                  <w:vAlign w:val="center"/>
                </w:tcPr>
                <w:p>
                  <w:pPr>
                    <w:pStyle w:val="34"/>
                    <w:rPr>
                      <w:sz w:val="24"/>
                    </w:rPr>
                  </w:pPr>
                </w:p>
              </w:tc>
              <w:tc>
                <w:tcPr>
                  <w:tcW w:w="2422" w:type="dxa"/>
                  <w:vMerge w:val="continue"/>
                  <w:tcBorders>
                    <w:left w:val="single" w:color="auto" w:sz="4" w:space="0"/>
                    <w:bottom w:val="single" w:color="auto" w:sz="4" w:space="0"/>
                    <w:right w:val="single" w:color="auto" w:sz="4" w:space="0"/>
                  </w:tcBorders>
                  <w:vAlign w:val="center"/>
                </w:tcPr>
                <w:p>
                  <w:pPr>
                    <w:pStyle w:val="34"/>
                    <w:rPr>
                      <w:sz w:val="24"/>
                    </w:rPr>
                  </w:pP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0.002mg/L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CO</w:t>
                  </w:r>
                  <w:r>
                    <w:rPr>
                      <w:sz w:val="24"/>
                      <w:vertAlign w:val="subscript"/>
                    </w:rPr>
                    <w:t>3</w:t>
                  </w:r>
                  <w:r>
                    <w:rPr>
                      <w:sz w:val="24"/>
                      <w:vertAlign w:val="superscript"/>
                    </w:rPr>
                    <w:t>2-</w:t>
                  </w:r>
                </w:p>
              </w:tc>
              <w:tc>
                <w:tcPr>
                  <w:tcW w:w="3119" w:type="dxa"/>
                  <w:vMerge w:val="restart"/>
                  <w:tcBorders>
                    <w:top w:val="single" w:color="auto" w:sz="4" w:space="0"/>
                    <w:left w:val="single" w:color="auto" w:sz="4" w:space="0"/>
                    <w:right w:val="single" w:color="auto" w:sz="4" w:space="0"/>
                  </w:tcBorders>
                  <w:vAlign w:val="center"/>
                </w:tcPr>
                <w:p>
                  <w:pPr>
                    <w:pStyle w:val="34"/>
                    <w:rPr>
                      <w:sz w:val="24"/>
                    </w:rPr>
                  </w:pPr>
                  <w:r>
                    <w:rPr>
                      <w:rFonts w:hint="eastAsia"/>
                      <w:sz w:val="24"/>
                    </w:rPr>
                    <w:t>地下水质分析方法</w:t>
                  </w:r>
                </w:p>
                <w:p>
                  <w:pPr>
                    <w:pStyle w:val="34"/>
                    <w:rPr>
                      <w:sz w:val="24"/>
                    </w:rPr>
                  </w:pPr>
                  <w:r>
                    <w:rPr>
                      <w:rFonts w:hint="eastAsia"/>
                      <w:sz w:val="24"/>
                    </w:rPr>
                    <w:t>第49部分：碳酸根、重碳酸根和氢氧根离子的测定  滴定法</w:t>
                  </w:r>
                </w:p>
                <w:p>
                  <w:pPr>
                    <w:pStyle w:val="34"/>
                    <w:rPr>
                      <w:sz w:val="24"/>
                    </w:rPr>
                  </w:pPr>
                  <w:r>
                    <w:rPr>
                      <w:rFonts w:hint="eastAsia"/>
                      <w:sz w:val="24"/>
                    </w:rPr>
                    <w:t>DZ/T 0064.49-2021</w:t>
                  </w:r>
                </w:p>
              </w:tc>
              <w:tc>
                <w:tcPr>
                  <w:tcW w:w="2422" w:type="dxa"/>
                  <w:vMerge w:val="restart"/>
                  <w:tcBorders>
                    <w:top w:val="single" w:color="auto" w:sz="4" w:space="0"/>
                    <w:left w:val="single" w:color="auto" w:sz="4" w:space="0"/>
                    <w:right w:val="single" w:color="auto" w:sz="4" w:space="0"/>
                  </w:tcBorders>
                  <w:vAlign w:val="center"/>
                </w:tcPr>
                <w:p>
                  <w:pPr>
                    <w:pStyle w:val="34"/>
                    <w:rPr>
                      <w:sz w:val="24"/>
                    </w:rPr>
                  </w:pPr>
                  <w:r>
                    <w:rPr>
                      <w:rFonts w:hint="eastAsia"/>
                      <w:sz w:val="24"/>
                    </w:rPr>
                    <w:t>50ml滴定管</w:t>
                  </w:r>
                </w:p>
                <w:p>
                  <w:pPr>
                    <w:pStyle w:val="34"/>
                    <w:rPr>
                      <w:sz w:val="24"/>
                    </w:rPr>
                  </w:pPr>
                  <w:r>
                    <w:rPr>
                      <w:rFonts w:hint="eastAsia"/>
                      <w:sz w:val="24"/>
                    </w:rPr>
                    <w:t>A级</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HCO</w:t>
                  </w:r>
                  <w:r>
                    <w:rPr>
                      <w:sz w:val="24"/>
                      <w:vertAlign w:val="subscript"/>
                    </w:rPr>
                    <w:t>3</w:t>
                  </w:r>
                  <w:r>
                    <w:rPr>
                      <w:sz w:val="24"/>
                      <w:vertAlign w:val="superscript"/>
                    </w:rPr>
                    <w:t>-</w:t>
                  </w:r>
                </w:p>
              </w:tc>
              <w:tc>
                <w:tcPr>
                  <w:tcW w:w="3119" w:type="dxa"/>
                  <w:vMerge w:val="continue"/>
                  <w:tcBorders>
                    <w:left w:val="single" w:color="auto" w:sz="4" w:space="0"/>
                    <w:right w:val="single" w:color="auto" w:sz="4" w:space="0"/>
                  </w:tcBorders>
                  <w:vAlign w:val="center"/>
                </w:tcPr>
                <w:p>
                  <w:pPr>
                    <w:pStyle w:val="34"/>
                    <w:rPr>
                      <w:sz w:val="24"/>
                    </w:rPr>
                  </w:pPr>
                </w:p>
              </w:tc>
              <w:tc>
                <w:tcPr>
                  <w:tcW w:w="2422" w:type="dxa"/>
                  <w:vMerge w:val="continue"/>
                  <w:tcBorders>
                    <w:left w:val="single" w:color="auto" w:sz="4" w:space="0"/>
                    <w:right w:val="single" w:color="auto" w:sz="4" w:space="0"/>
                  </w:tcBorders>
                  <w:vAlign w:val="center"/>
                </w:tcPr>
                <w:p>
                  <w:pPr>
                    <w:pStyle w:val="34"/>
                    <w:rPr>
                      <w:sz w:val="24"/>
                    </w:rPr>
                  </w:pP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Cl</w:t>
                  </w:r>
                  <w:r>
                    <w:rPr>
                      <w:sz w:val="24"/>
                      <w:vertAlign w:val="superscript"/>
                    </w:rPr>
                    <w:t>-</w:t>
                  </w:r>
                </w:p>
              </w:tc>
              <w:tc>
                <w:tcPr>
                  <w:tcW w:w="3119" w:type="dxa"/>
                  <w:tcBorders>
                    <w:left w:val="single" w:color="auto" w:sz="4" w:space="0"/>
                    <w:right w:val="single" w:color="auto" w:sz="4" w:space="0"/>
                  </w:tcBorders>
                  <w:vAlign w:val="center"/>
                </w:tcPr>
                <w:p>
                  <w:pPr>
                    <w:pStyle w:val="34"/>
                    <w:rPr>
                      <w:sz w:val="24"/>
                    </w:rPr>
                  </w:pPr>
                  <w:r>
                    <w:rPr>
                      <w:rFonts w:hint="eastAsia"/>
                      <w:sz w:val="24"/>
                    </w:rPr>
                    <w:t>生活饮用水标准检验方法</w:t>
                  </w:r>
                </w:p>
                <w:p>
                  <w:pPr>
                    <w:pStyle w:val="34"/>
                    <w:rPr>
                      <w:sz w:val="24"/>
                    </w:rPr>
                  </w:pPr>
                  <w:r>
                    <w:rPr>
                      <w:rFonts w:hint="eastAsia"/>
                      <w:sz w:val="24"/>
                    </w:rPr>
                    <w:t>无机非金属指标</w:t>
                  </w:r>
                </w:p>
                <w:p>
                  <w:pPr>
                    <w:pStyle w:val="34"/>
                    <w:rPr>
                      <w:sz w:val="24"/>
                    </w:rPr>
                  </w:pPr>
                  <w:r>
                    <w:rPr>
                      <w:rFonts w:hint="eastAsia"/>
                      <w:sz w:val="24"/>
                    </w:rPr>
                    <w:t>2.1硝酸银容量法</w:t>
                  </w:r>
                </w:p>
                <w:p>
                  <w:pPr>
                    <w:pStyle w:val="34"/>
                    <w:rPr>
                      <w:sz w:val="24"/>
                    </w:rPr>
                  </w:pPr>
                  <w:r>
                    <w:rPr>
                      <w:rFonts w:hint="eastAsia"/>
                      <w:sz w:val="24"/>
                    </w:rPr>
                    <w:t>GB/T 5750.5-2006</w:t>
                  </w:r>
                </w:p>
              </w:tc>
              <w:tc>
                <w:tcPr>
                  <w:tcW w:w="2422" w:type="dxa"/>
                  <w:tcBorders>
                    <w:left w:val="single" w:color="auto" w:sz="4" w:space="0"/>
                    <w:right w:val="single" w:color="auto" w:sz="4" w:space="0"/>
                  </w:tcBorders>
                  <w:vAlign w:val="center"/>
                </w:tcPr>
                <w:p>
                  <w:pPr>
                    <w:pStyle w:val="34"/>
                    <w:rPr>
                      <w:sz w:val="24"/>
                    </w:rPr>
                  </w:pPr>
                  <w:r>
                    <w:rPr>
                      <w:rFonts w:hint="eastAsia"/>
                      <w:sz w:val="24"/>
                    </w:rPr>
                    <w:t>50ml滴定管</w:t>
                  </w:r>
                </w:p>
                <w:p>
                  <w:pPr>
                    <w:pStyle w:val="34"/>
                    <w:rPr>
                      <w:sz w:val="24"/>
                    </w:rPr>
                  </w:pPr>
                  <w:r>
                    <w:rPr>
                      <w:rFonts w:hint="eastAsia"/>
                      <w:sz w:val="24"/>
                    </w:rPr>
                    <w:t>A级</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SO</w:t>
                  </w:r>
                  <w:r>
                    <w:rPr>
                      <w:sz w:val="24"/>
                      <w:vertAlign w:val="subscript"/>
                    </w:rPr>
                    <w:t>4</w:t>
                  </w:r>
                  <w:r>
                    <w:rPr>
                      <w:sz w:val="24"/>
                      <w:vertAlign w:val="superscript"/>
                    </w:rPr>
                    <w:t>2-</w:t>
                  </w:r>
                </w:p>
              </w:tc>
              <w:tc>
                <w:tcPr>
                  <w:tcW w:w="3119" w:type="dxa"/>
                  <w:tcBorders>
                    <w:left w:val="single" w:color="auto" w:sz="4" w:space="0"/>
                    <w:right w:val="single" w:color="auto" w:sz="4" w:space="0"/>
                  </w:tcBorders>
                  <w:vAlign w:val="center"/>
                </w:tcPr>
                <w:p>
                  <w:pPr>
                    <w:pStyle w:val="34"/>
                    <w:rPr>
                      <w:sz w:val="24"/>
                    </w:rPr>
                  </w:pPr>
                  <w:r>
                    <w:rPr>
                      <w:rFonts w:hint="eastAsia"/>
                      <w:sz w:val="24"/>
                    </w:rPr>
                    <w:t>生活饮用水标准检验方法</w:t>
                  </w:r>
                </w:p>
                <w:p>
                  <w:pPr>
                    <w:pStyle w:val="34"/>
                    <w:rPr>
                      <w:sz w:val="24"/>
                    </w:rPr>
                  </w:pPr>
                  <w:r>
                    <w:rPr>
                      <w:rFonts w:hint="eastAsia"/>
                      <w:sz w:val="24"/>
                    </w:rPr>
                    <w:t>无机非金属指标</w:t>
                  </w:r>
                </w:p>
                <w:p>
                  <w:pPr>
                    <w:pStyle w:val="34"/>
                    <w:rPr>
                      <w:sz w:val="24"/>
                    </w:rPr>
                  </w:pPr>
                  <w:r>
                    <w:rPr>
                      <w:rFonts w:hint="eastAsia"/>
                      <w:sz w:val="24"/>
                    </w:rPr>
                    <w:t>1.3铬酸钡分光光度法（热法）</w:t>
                  </w:r>
                </w:p>
                <w:p>
                  <w:pPr>
                    <w:pStyle w:val="34"/>
                    <w:rPr>
                      <w:sz w:val="24"/>
                    </w:rPr>
                  </w:pPr>
                  <w:r>
                    <w:rPr>
                      <w:rFonts w:hint="eastAsia"/>
                      <w:sz w:val="24"/>
                    </w:rPr>
                    <w:t>GB/T 5750.5-2006</w:t>
                  </w:r>
                </w:p>
              </w:tc>
              <w:tc>
                <w:tcPr>
                  <w:tcW w:w="2422" w:type="dxa"/>
                  <w:tcBorders>
                    <w:left w:val="single" w:color="auto" w:sz="4" w:space="0"/>
                    <w:right w:val="single" w:color="auto" w:sz="4" w:space="0"/>
                  </w:tcBorders>
                  <w:vAlign w:val="center"/>
                </w:tcPr>
                <w:p>
                  <w:pPr>
                    <w:pStyle w:val="34"/>
                    <w:rPr>
                      <w:sz w:val="24"/>
                    </w:rPr>
                  </w:pPr>
                  <w:r>
                    <w:rPr>
                      <w:rFonts w:hint="eastAsia"/>
                      <w:sz w:val="24"/>
                    </w:rPr>
                    <w:t>可见分光光度计</w:t>
                  </w:r>
                </w:p>
                <w:p>
                  <w:pPr>
                    <w:pStyle w:val="34"/>
                    <w:rPr>
                      <w:sz w:val="24"/>
                    </w:rPr>
                  </w:pPr>
                  <w:r>
                    <w:rPr>
                      <w:rFonts w:hint="eastAsia"/>
                      <w:sz w:val="24"/>
                    </w:rPr>
                    <w:t>/N2S/</w:t>
                  </w:r>
                </w:p>
                <w:p>
                  <w:pPr>
                    <w:pStyle w:val="34"/>
                    <w:rPr>
                      <w:sz w:val="24"/>
                    </w:rPr>
                  </w:pPr>
                  <w:r>
                    <w:rPr>
                      <w:sz w:val="24"/>
                    </w:rPr>
                    <w:t>ZXJC-YQ-021</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5</w:t>
                  </w:r>
                  <w:r>
                    <w:rPr>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pH值</w:t>
                  </w:r>
                </w:p>
              </w:tc>
              <w:tc>
                <w:tcPr>
                  <w:tcW w:w="3119" w:type="dxa"/>
                  <w:tcBorders>
                    <w:left w:val="single" w:color="auto" w:sz="4" w:space="0"/>
                    <w:right w:val="single" w:color="auto" w:sz="4" w:space="0"/>
                  </w:tcBorders>
                  <w:vAlign w:val="center"/>
                </w:tcPr>
                <w:p>
                  <w:pPr>
                    <w:pStyle w:val="34"/>
                    <w:rPr>
                      <w:sz w:val="24"/>
                    </w:rPr>
                  </w:pPr>
                  <w:r>
                    <w:rPr>
                      <w:sz w:val="24"/>
                    </w:rPr>
                    <w:t xml:space="preserve">生活饮用水标准检验方法 </w:t>
                  </w:r>
                </w:p>
                <w:p>
                  <w:pPr>
                    <w:pStyle w:val="34"/>
                    <w:rPr>
                      <w:sz w:val="24"/>
                    </w:rPr>
                  </w:pPr>
                  <w:r>
                    <w:rPr>
                      <w:sz w:val="24"/>
                    </w:rPr>
                    <w:t>感官性状和物理指标</w:t>
                  </w:r>
                </w:p>
                <w:p>
                  <w:pPr>
                    <w:pStyle w:val="34"/>
                    <w:rPr>
                      <w:sz w:val="24"/>
                    </w:rPr>
                  </w:pPr>
                  <w:r>
                    <w:rPr>
                      <w:rFonts w:hint="eastAsia"/>
                      <w:sz w:val="24"/>
                    </w:rPr>
                    <w:t>5.1</w:t>
                  </w:r>
                  <w:r>
                    <w:rPr>
                      <w:sz w:val="24"/>
                    </w:rPr>
                    <w:t>玻璃电极法</w:t>
                  </w:r>
                </w:p>
                <w:p>
                  <w:pPr>
                    <w:pStyle w:val="34"/>
                    <w:rPr>
                      <w:sz w:val="24"/>
                    </w:rPr>
                  </w:pPr>
                  <w:r>
                    <w:rPr>
                      <w:sz w:val="24"/>
                    </w:rPr>
                    <w:t>GB/T 5750.4-2006</w:t>
                  </w:r>
                </w:p>
              </w:tc>
              <w:tc>
                <w:tcPr>
                  <w:tcW w:w="2422" w:type="dxa"/>
                  <w:tcBorders>
                    <w:left w:val="single" w:color="auto" w:sz="4" w:space="0"/>
                    <w:right w:val="single" w:color="auto" w:sz="4" w:space="0"/>
                  </w:tcBorders>
                  <w:vAlign w:val="center"/>
                </w:tcPr>
                <w:p>
                  <w:pPr>
                    <w:pStyle w:val="34"/>
                    <w:rPr>
                      <w:sz w:val="24"/>
                    </w:rPr>
                  </w:pPr>
                  <w:r>
                    <w:rPr>
                      <w:rFonts w:hint="eastAsia"/>
                      <w:sz w:val="24"/>
                    </w:rPr>
                    <w:t>PH</w:t>
                  </w:r>
                  <w:r>
                    <w:rPr>
                      <w:sz w:val="24"/>
                    </w:rPr>
                    <w:t>计</w:t>
                  </w:r>
                </w:p>
                <w:p>
                  <w:pPr>
                    <w:pStyle w:val="34"/>
                    <w:rPr>
                      <w:sz w:val="24"/>
                    </w:rPr>
                  </w:pPr>
                  <w:r>
                    <w:rPr>
                      <w:rFonts w:hint="eastAsia"/>
                      <w:sz w:val="24"/>
                    </w:rPr>
                    <w:t>/</w:t>
                  </w:r>
                  <w:r>
                    <w:rPr>
                      <w:sz w:val="24"/>
                    </w:rPr>
                    <w:t>PHS-3C</w:t>
                  </w:r>
                  <w:r>
                    <w:rPr>
                      <w:rFonts w:hint="eastAsia"/>
                      <w:sz w:val="24"/>
                    </w:rPr>
                    <w:t>/</w:t>
                  </w:r>
                </w:p>
                <w:p>
                  <w:pPr>
                    <w:pStyle w:val="34"/>
                    <w:rPr>
                      <w:sz w:val="24"/>
                    </w:rPr>
                  </w:pPr>
                  <w:r>
                    <w:rPr>
                      <w:rFonts w:hint="eastAsia"/>
                      <w:sz w:val="24"/>
                    </w:rPr>
                    <w:t>ZX</w:t>
                  </w:r>
                  <w:r>
                    <w:rPr>
                      <w:sz w:val="24"/>
                    </w:rPr>
                    <w:t>JC-YQ-01</w:t>
                  </w:r>
                  <w:r>
                    <w:rPr>
                      <w:rFonts w:hint="eastAsia"/>
                      <w:sz w:val="24"/>
                    </w:rPr>
                    <w:t>9</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氨氮</w:t>
                  </w:r>
                </w:p>
              </w:tc>
              <w:tc>
                <w:tcPr>
                  <w:tcW w:w="3119" w:type="dxa"/>
                  <w:tcBorders>
                    <w:left w:val="single" w:color="auto" w:sz="4" w:space="0"/>
                    <w:right w:val="single" w:color="auto" w:sz="4" w:space="0"/>
                  </w:tcBorders>
                  <w:vAlign w:val="center"/>
                </w:tcPr>
                <w:p>
                  <w:pPr>
                    <w:pStyle w:val="34"/>
                    <w:rPr>
                      <w:sz w:val="24"/>
                    </w:rPr>
                  </w:pPr>
                  <w:r>
                    <w:rPr>
                      <w:sz w:val="24"/>
                    </w:rPr>
                    <w:t>生活饮用水标准检验方法</w:t>
                  </w:r>
                </w:p>
                <w:p>
                  <w:pPr>
                    <w:pStyle w:val="34"/>
                    <w:rPr>
                      <w:sz w:val="24"/>
                    </w:rPr>
                  </w:pPr>
                  <w:r>
                    <w:rPr>
                      <w:sz w:val="24"/>
                    </w:rPr>
                    <w:t>无机非金属指标</w:t>
                  </w:r>
                </w:p>
                <w:p>
                  <w:pPr>
                    <w:pStyle w:val="34"/>
                    <w:rPr>
                      <w:sz w:val="24"/>
                    </w:rPr>
                  </w:pPr>
                  <w:r>
                    <w:rPr>
                      <w:sz w:val="24"/>
                    </w:rPr>
                    <w:t>纳氏试剂分光光度法</w:t>
                  </w:r>
                </w:p>
                <w:p>
                  <w:pPr>
                    <w:pStyle w:val="34"/>
                    <w:rPr>
                      <w:sz w:val="24"/>
                    </w:rPr>
                  </w:pPr>
                  <w:r>
                    <w:rPr>
                      <w:sz w:val="24"/>
                    </w:rPr>
                    <w:t>GB/T 5750.5-2006</w:t>
                  </w:r>
                  <w:r>
                    <w:rPr>
                      <w:rFonts w:hint="eastAsia"/>
                      <w:sz w:val="24"/>
                    </w:rPr>
                    <w:t>（9.1）</w:t>
                  </w:r>
                </w:p>
              </w:tc>
              <w:tc>
                <w:tcPr>
                  <w:tcW w:w="2422" w:type="dxa"/>
                  <w:tcBorders>
                    <w:left w:val="single" w:color="auto" w:sz="4" w:space="0"/>
                    <w:right w:val="single" w:color="auto" w:sz="4" w:space="0"/>
                  </w:tcBorders>
                  <w:vAlign w:val="center"/>
                </w:tcPr>
                <w:p>
                  <w:pPr>
                    <w:pStyle w:val="34"/>
                    <w:rPr>
                      <w:sz w:val="24"/>
                    </w:rPr>
                  </w:pPr>
                  <w:r>
                    <w:rPr>
                      <w:sz w:val="24"/>
                    </w:rPr>
                    <w:t>可见分光光度计</w:t>
                  </w:r>
                  <w:r>
                    <w:rPr>
                      <w:rFonts w:hint="eastAsia"/>
                      <w:sz w:val="24"/>
                    </w:rPr>
                    <w:t>/</w:t>
                  </w:r>
                </w:p>
                <w:p>
                  <w:pPr>
                    <w:pStyle w:val="34"/>
                    <w:rPr>
                      <w:sz w:val="24"/>
                    </w:rPr>
                  </w:pPr>
                  <w:r>
                    <w:rPr>
                      <w:rFonts w:hint="eastAsia"/>
                      <w:sz w:val="24"/>
                    </w:rPr>
                    <w:t>N2S/</w:t>
                  </w:r>
                </w:p>
                <w:p>
                  <w:pPr>
                    <w:pStyle w:val="34"/>
                    <w:rPr>
                      <w:sz w:val="24"/>
                    </w:rPr>
                  </w:pPr>
                  <w:r>
                    <w:rPr>
                      <w:rFonts w:hint="eastAsia"/>
                      <w:sz w:val="24"/>
                    </w:rPr>
                    <w:t>ZX</w:t>
                  </w:r>
                  <w:r>
                    <w:rPr>
                      <w:sz w:val="24"/>
                    </w:rPr>
                    <w:t>JC-YQ-0</w:t>
                  </w:r>
                  <w:r>
                    <w:rPr>
                      <w:rFonts w:hint="eastAsia"/>
                      <w:sz w:val="24"/>
                    </w:rPr>
                    <w:t>21</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氟化物</w:t>
                  </w:r>
                </w:p>
              </w:tc>
              <w:tc>
                <w:tcPr>
                  <w:tcW w:w="3119" w:type="dxa"/>
                  <w:tcBorders>
                    <w:left w:val="single" w:color="auto" w:sz="4" w:space="0"/>
                    <w:right w:val="single" w:color="auto" w:sz="4" w:space="0"/>
                  </w:tcBorders>
                  <w:vAlign w:val="center"/>
                </w:tcPr>
                <w:p>
                  <w:pPr>
                    <w:pStyle w:val="34"/>
                    <w:rPr>
                      <w:sz w:val="24"/>
                    </w:rPr>
                  </w:pPr>
                  <w:r>
                    <w:rPr>
                      <w:rFonts w:hint="eastAsia"/>
                      <w:sz w:val="24"/>
                    </w:rPr>
                    <w:t>水质 氟化物的测定</w:t>
                  </w:r>
                </w:p>
                <w:p>
                  <w:pPr>
                    <w:pStyle w:val="34"/>
                    <w:rPr>
                      <w:sz w:val="24"/>
                    </w:rPr>
                  </w:pPr>
                  <w:r>
                    <w:rPr>
                      <w:sz w:val="24"/>
                    </w:rPr>
                    <w:t>离子选择电极法</w:t>
                  </w:r>
                </w:p>
                <w:p>
                  <w:pPr>
                    <w:pStyle w:val="34"/>
                    <w:rPr>
                      <w:sz w:val="24"/>
                    </w:rPr>
                  </w:pPr>
                  <w:r>
                    <w:rPr>
                      <w:sz w:val="24"/>
                    </w:rPr>
                    <w:t xml:space="preserve">GB/T </w:t>
                  </w:r>
                  <w:r>
                    <w:rPr>
                      <w:rFonts w:hint="eastAsia"/>
                      <w:sz w:val="24"/>
                    </w:rPr>
                    <w:t>7484-1987</w:t>
                  </w:r>
                </w:p>
              </w:tc>
              <w:tc>
                <w:tcPr>
                  <w:tcW w:w="2422" w:type="dxa"/>
                  <w:tcBorders>
                    <w:left w:val="single" w:color="auto" w:sz="4" w:space="0"/>
                    <w:right w:val="single" w:color="auto" w:sz="4" w:space="0"/>
                  </w:tcBorders>
                  <w:vAlign w:val="center"/>
                </w:tcPr>
                <w:p>
                  <w:pPr>
                    <w:pStyle w:val="34"/>
                    <w:rPr>
                      <w:sz w:val="24"/>
                    </w:rPr>
                  </w:pPr>
                  <w:r>
                    <w:rPr>
                      <w:rFonts w:hint="eastAsia"/>
                      <w:sz w:val="24"/>
                    </w:rPr>
                    <w:t>离子计/</w:t>
                  </w:r>
                </w:p>
                <w:p>
                  <w:pPr>
                    <w:pStyle w:val="34"/>
                    <w:rPr>
                      <w:sz w:val="24"/>
                    </w:rPr>
                  </w:pPr>
                  <w:r>
                    <w:rPr>
                      <w:sz w:val="24"/>
                    </w:rPr>
                    <w:t>PXSJ-216F</w:t>
                  </w:r>
                  <w:r>
                    <w:rPr>
                      <w:rFonts w:hint="eastAsia"/>
                      <w:sz w:val="24"/>
                    </w:rPr>
                    <w:t>/</w:t>
                  </w:r>
                </w:p>
                <w:p>
                  <w:pPr>
                    <w:pStyle w:val="34"/>
                    <w:rPr>
                      <w:sz w:val="24"/>
                    </w:rPr>
                  </w:pPr>
                  <w:r>
                    <w:rPr>
                      <w:rFonts w:hint="eastAsia"/>
                      <w:sz w:val="24"/>
                    </w:rPr>
                    <w:t>ZXJC-YQ-017</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硝酸盐</w:t>
                  </w:r>
                </w:p>
              </w:tc>
              <w:tc>
                <w:tcPr>
                  <w:tcW w:w="3119" w:type="dxa"/>
                  <w:tcBorders>
                    <w:left w:val="single" w:color="auto" w:sz="4" w:space="0"/>
                    <w:right w:val="single" w:color="auto" w:sz="4" w:space="0"/>
                  </w:tcBorders>
                  <w:vAlign w:val="center"/>
                </w:tcPr>
                <w:p>
                  <w:pPr>
                    <w:pStyle w:val="34"/>
                    <w:rPr>
                      <w:sz w:val="24"/>
                    </w:rPr>
                  </w:pPr>
                  <w:r>
                    <w:rPr>
                      <w:sz w:val="24"/>
                    </w:rPr>
                    <w:t>生活饮用水标准检验方法</w:t>
                  </w:r>
                </w:p>
                <w:p>
                  <w:pPr>
                    <w:pStyle w:val="34"/>
                    <w:rPr>
                      <w:sz w:val="24"/>
                    </w:rPr>
                  </w:pPr>
                  <w:r>
                    <w:rPr>
                      <w:sz w:val="24"/>
                    </w:rPr>
                    <w:t>无机非金属指标</w:t>
                  </w:r>
                </w:p>
                <w:p>
                  <w:pPr>
                    <w:pStyle w:val="34"/>
                    <w:rPr>
                      <w:sz w:val="24"/>
                    </w:rPr>
                  </w:pPr>
                  <w:r>
                    <w:rPr>
                      <w:rFonts w:hint="eastAsia"/>
                      <w:sz w:val="24"/>
                    </w:rPr>
                    <w:t>5.2</w:t>
                  </w:r>
                  <w:r>
                    <w:rPr>
                      <w:sz w:val="24"/>
                    </w:rPr>
                    <w:t>紫外分光光度法</w:t>
                  </w:r>
                </w:p>
                <w:p>
                  <w:pPr>
                    <w:pStyle w:val="34"/>
                    <w:rPr>
                      <w:sz w:val="24"/>
                    </w:rPr>
                  </w:pPr>
                  <w:r>
                    <w:rPr>
                      <w:sz w:val="24"/>
                    </w:rPr>
                    <w:t>GB/T 5750.5-2006</w:t>
                  </w:r>
                </w:p>
              </w:tc>
              <w:tc>
                <w:tcPr>
                  <w:tcW w:w="2422" w:type="dxa"/>
                  <w:tcBorders>
                    <w:left w:val="single" w:color="auto" w:sz="4" w:space="0"/>
                    <w:right w:val="single" w:color="auto" w:sz="4" w:space="0"/>
                  </w:tcBorders>
                  <w:vAlign w:val="center"/>
                </w:tcPr>
                <w:p>
                  <w:pPr>
                    <w:pStyle w:val="34"/>
                    <w:rPr>
                      <w:sz w:val="24"/>
                    </w:rPr>
                  </w:pPr>
                  <w:r>
                    <w:rPr>
                      <w:rFonts w:hint="eastAsia"/>
                      <w:sz w:val="24"/>
                    </w:rPr>
                    <w:t>紫外可见分光光度计/</w:t>
                  </w:r>
                </w:p>
                <w:p>
                  <w:pPr>
                    <w:pStyle w:val="34"/>
                    <w:rPr>
                      <w:sz w:val="24"/>
                    </w:rPr>
                  </w:pPr>
                  <w:r>
                    <w:rPr>
                      <w:sz w:val="24"/>
                    </w:rPr>
                    <w:t>SP-756P</w:t>
                  </w:r>
                  <w:r>
                    <w:rPr>
                      <w:rFonts w:hint="eastAsia"/>
                      <w:sz w:val="24"/>
                    </w:rPr>
                    <w:t>/</w:t>
                  </w:r>
                </w:p>
                <w:p>
                  <w:pPr>
                    <w:pStyle w:val="34"/>
                    <w:rPr>
                      <w:sz w:val="24"/>
                    </w:rPr>
                  </w:pPr>
                  <w:r>
                    <w:rPr>
                      <w:rFonts w:hint="eastAsia"/>
                      <w:sz w:val="24"/>
                    </w:rPr>
                    <w:t>ZX</w:t>
                  </w:r>
                  <w:r>
                    <w:rPr>
                      <w:sz w:val="24"/>
                    </w:rPr>
                    <w:t>JC-YQ-0</w:t>
                  </w:r>
                  <w:r>
                    <w:rPr>
                      <w:rFonts w:hint="eastAsia"/>
                      <w:sz w:val="24"/>
                    </w:rPr>
                    <w:t>27</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亚硝酸盐氮</w:t>
                  </w:r>
                </w:p>
              </w:tc>
              <w:tc>
                <w:tcPr>
                  <w:tcW w:w="3119" w:type="dxa"/>
                  <w:tcBorders>
                    <w:left w:val="single" w:color="auto" w:sz="4" w:space="0"/>
                    <w:right w:val="single" w:color="auto" w:sz="4" w:space="0"/>
                  </w:tcBorders>
                  <w:vAlign w:val="center"/>
                </w:tcPr>
                <w:p>
                  <w:pPr>
                    <w:pStyle w:val="34"/>
                    <w:rPr>
                      <w:sz w:val="24"/>
                    </w:rPr>
                  </w:pPr>
                  <w:r>
                    <w:rPr>
                      <w:sz w:val="24"/>
                    </w:rPr>
                    <w:t>生活饮用水标准检验方法</w:t>
                  </w:r>
                </w:p>
                <w:p>
                  <w:pPr>
                    <w:pStyle w:val="34"/>
                    <w:rPr>
                      <w:sz w:val="24"/>
                    </w:rPr>
                  </w:pPr>
                  <w:r>
                    <w:rPr>
                      <w:sz w:val="24"/>
                    </w:rPr>
                    <w:t>无机非金属指标</w:t>
                  </w:r>
                </w:p>
                <w:p>
                  <w:pPr>
                    <w:pStyle w:val="34"/>
                    <w:rPr>
                      <w:sz w:val="24"/>
                    </w:rPr>
                  </w:pPr>
                  <w:r>
                    <w:rPr>
                      <w:sz w:val="24"/>
                    </w:rPr>
                    <w:t>10.1重氮偶合分光光度法</w:t>
                  </w:r>
                </w:p>
                <w:p>
                  <w:pPr>
                    <w:pStyle w:val="34"/>
                    <w:rPr>
                      <w:sz w:val="24"/>
                    </w:rPr>
                  </w:pPr>
                  <w:r>
                    <w:rPr>
                      <w:sz w:val="24"/>
                    </w:rPr>
                    <w:t>GB/T 5750.5-2006</w:t>
                  </w:r>
                </w:p>
              </w:tc>
              <w:tc>
                <w:tcPr>
                  <w:tcW w:w="2422" w:type="dxa"/>
                  <w:tcBorders>
                    <w:left w:val="single" w:color="auto" w:sz="4" w:space="0"/>
                    <w:right w:val="single" w:color="auto" w:sz="4" w:space="0"/>
                  </w:tcBorders>
                  <w:vAlign w:val="center"/>
                </w:tcPr>
                <w:p>
                  <w:pPr>
                    <w:pStyle w:val="34"/>
                    <w:rPr>
                      <w:sz w:val="24"/>
                    </w:rPr>
                  </w:pPr>
                  <w:r>
                    <w:rPr>
                      <w:sz w:val="24"/>
                    </w:rPr>
                    <w:t>可见分光光度计</w:t>
                  </w:r>
                  <w:r>
                    <w:rPr>
                      <w:rFonts w:hint="eastAsia"/>
                      <w:sz w:val="24"/>
                    </w:rPr>
                    <w:t>/</w:t>
                  </w:r>
                </w:p>
                <w:p>
                  <w:pPr>
                    <w:pStyle w:val="34"/>
                    <w:rPr>
                      <w:sz w:val="24"/>
                    </w:rPr>
                  </w:pPr>
                  <w:r>
                    <w:rPr>
                      <w:rFonts w:hint="eastAsia"/>
                      <w:sz w:val="24"/>
                    </w:rPr>
                    <w:t>N2S/</w:t>
                  </w:r>
                </w:p>
                <w:p>
                  <w:pPr>
                    <w:pStyle w:val="34"/>
                    <w:rPr>
                      <w:sz w:val="24"/>
                    </w:rPr>
                  </w:pPr>
                  <w:r>
                    <w:rPr>
                      <w:rFonts w:hint="eastAsia"/>
                      <w:sz w:val="24"/>
                    </w:rPr>
                    <w:t>ZX</w:t>
                  </w:r>
                  <w:r>
                    <w:rPr>
                      <w:sz w:val="24"/>
                    </w:rPr>
                    <w:t>JC-YQ-0</w:t>
                  </w:r>
                  <w:r>
                    <w:rPr>
                      <w:rFonts w:hint="eastAsia"/>
                      <w:sz w:val="24"/>
                    </w:rPr>
                    <w:t>21</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氰化物</w:t>
                  </w:r>
                </w:p>
              </w:tc>
              <w:tc>
                <w:tcPr>
                  <w:tcW w:w="3119" w:type="dxa"/>
                  <w:tcBorders>
                    <w:left w:val="single" w:color="auto" w:sz="4" w:space="0"/>
                    <w:right w:val="single" w:color="auto" w:sz="4" w:space="0"/>
                  </w:tcBorders>
                  <w:vAlign w:val="center"/>
                </w:tcPr>
                <w:p>
                  <w:pPr>
                    <w:pStyle w:val="34"/>
                    <w:rPr>
                      <w:sz w:val="24"/>
                    </w:rPr>
                  </w:pPr>
                  <w:r>
                    <w:rPr>
                      <w:sz w:val="24"/>
                    </w:rPr>
                    <w:t xml:space="preserve">生活饮用水标准检验方法 </w:t>
                  </w:r>
                </w:p>
                <w:p>
                  <w:pPr>
                    <w:pStyle w:val="34"/>
                    <w:rPr>
                      <w:sz w:val="24"/>
                    </w:rPr>
                  </w:pPr>
                  <w:r>
                    <w:rPr>
                      <w:sz w:val="24"/>
                    </w:rPr>
                    <w:t>无机非金属指标</w:t>
                  </w:r>
                </w:p>
                <w:p>
                  <w:pPr>
                    <w:pStyle w:val="34"/>
                    <w:rPr>
                      <w:sz w:val="24"/>
                    </w:rPr>
                  </w:pPr>
                  <w:r>
                    <w:rPr>
                      <w:sz w:val="24"/>
                    </w:rPr>
                    <w:t>异烟酸-吡唑酮分光光度法</w:t>
                  </w:r>
                </w:p>
                <w:p>
                  <w:pPr>
                    <w:pStyle w:val="34"/>
                    <w:rPr>
                      <w:sz w:val="24"/>
                    </w:rPr>
                  </w:pPr>
                  <w:r>
                    <w:rPr>
                      <w:sz w:val="24"/>
                    </w:rPr>
                    <w:t>GB/T 5750.5-2006</w:t>
                  </w:r>
                  <w:r>
                    <w:rPr>
                      <w:rFonts w:hint="eastAsia"/>
                      <w:sz w:val="24"/>
                    </w:rPr>
                    <w:t>（</w:t>
                  </w:r>
                  <w:r>
                    <w:rPr>
                      <w:sz w:val="24"/>
                    </w:rPr>
                    <w:t>4.1</w:t>
                  </w:r>
                  <w:r>
                    <w:rPr>
                      <w:rFonts w:hint="eastAsia"/>
                      <w:sz w:val="24"/>
                    </w:rPr>
                    <w:t>）</w:t>
                  </w:r>
                </w:p>
              </w:tc>
              <w:tc>
                <w:tcPr>
                  <w:tcW w:w="2422" w:type="dxa"/>
                  <w:tcBorders>
                    <w:left w:val="single" w:color="auto" w:sz="4" w:space="0"/>
                    <w:right w:val="single" w:color="auto" w:sz="4" w:space="0"/>
                  </w:tcBorders>
                  <w:vAlign w:val="center"/>
                </w:tcPr>
                <w:p>
                  <w:pPr>
                    <w:pStyle w:val="34"/>
                    <w:rPr>
                      <w:sz w:val="24"/>
                    </w:rPr>
                  </w:pPr>
                  <w:r>
                    <w:rPr>
                      <w:sz w:val="24"/>
                    </w:rPr>
                    <w:t>可见分光光度计</w:t>
                  </w:r>
                  <w:r>
                    <w:rPr>
                      <w:rFonts w:hint="eastAsia"/>
                      <w:sz w:val="24"/>
                    </w:rPr>
                    <w:t>/</w:t>
                  </w:r>
                </w:p>
                <w:p>
                  <w:pPr>
                    <w:pStyle w:val="34"/>
                    <w:rPr>
                      <w:sz w:val="24"/>
                    </w:rPr>
                  </w:pPr>
                  <w:r>
                    <w:rPr>
                      <w:rFonts w:hint="eastAsia"/>
                      <w:sz w:val="24"/>
                    </w:rPr>
                    <w:t>N2S/</w:t>
                  </w:r>
                </w:p>
                <w:p>
                  <w:pPr>
                    <w:pStyle w:val="34"/>
                    <w:rPr>
                      <w:sz w:val="24"/>
                    </w:rPr>
                  </w:pPr>
                  <w:r>
                    <w:rPr>
                      <w:rFonts w:hint="eastAsia"/>
                      <w:sz w:val="24"/>
                    </w:rPr>
                    <w:t>ZX</w:t>
                  </w:r>
                  <w:r>
                    <w:rPr>
                      <w:sz w:val="24"/>
                    </w:rPr>
                    <w:t>JC-YQ-0</w:t>
                  </w:r>
                  <w:r>
                    <w:rPr>
                      <w:rFonts w:hint="eastAsia"/>
                      <w:sz w:val="24"/>
                    </w:rPr>
                    <w:t>21</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总硬度</w:t>
                  </w:r>
                </w:p>
              </w:tc>
              <w:tc>
                <w:tcPr>
                  <w:tcW w:w="3119" w:type="dxa"/>
                  <w:tcBorders>
                    <w:left w:val="single" w:color="auto" w:sz="4" w:space="0"/>
                    <w:right w:val="single" w:color="auto" w:sz="4" w:space="0"/>
                  </w:tcBorders>
                  <w:vAlign w:val="center"/>
                </w:tcPr>
                <w:p>
                  <w:pPr>
                    <w:pStyle w:val="34"/>
                    <w:rPr>
                      <w:sz w:val="24"/>
                    </w:rPr>
                  </w:pPr>
                  <w:r>
                    <w:rPr>
                      <w:sz w:val="24"/>
                    </w:rPr>
                    <w:t xml:space="preserve">生活饮用水标准检验方法 </w:t>
                  </w:r>
                </w:p>
                <w:p>
                  <w:pPr>
                    <w:pStyle w:val="34"/>
                    <w:rPr>
                      <w:sz w:val="24"/>
                    </w:rPr>
                  </w:pPr>
                  <w:r>
                    <w:rPr>
                      <w:sz w:val="24"/>
                    </w:rPr>
                    <w:t xml:space="preserve">感官性状和物理指标  </w:t>
                  </w:r>
                </w:p>
                <w:p>
                  <w:pPr>
                    <w:pStyle w:val="34"/>
                    <w:rPr>
                      <w:sz w:val="24"/>
                    </w:rPr>
                  </w:pPr>
                  <w:r>
                    <w:rPr>
                      <w:rFonts w:hint="eastAsia"/>
                      <w:sz w:val="24"/>
                    </w:rPr>
                    <w:t>7.1</w:t>
                  </w:r>
                  <w:r>
                    <w:rPr>
                      <w:sz w:val="24"/>
                    </w:rPr>
                    <w:t>乙二胺四乙酸二钠滴定法</w:t>
                  </w:r>
                </w:p>
                <w:p>
                  <w:pPr>
                    <w:pStyle w:val="34"/>
                    <w:rPr>
                      <w:sz w:val="24"/>
                    </w:rPr>
                  </w:pPr>
                  <w:r>
                    <w:rPr>
                      <w:sz w:val="24"/>
                    </w:rPr>
                    <w:t>GB/T 5750.4-2006</w:t>
                  </w:r>
                </w:p>
              </w:tc>
              <w:tc>
                <w:tcPr>
                  <w:tcW w:w="2422" w:type="dxa"/>
                  <w:tcBorders>
                    <w:left w:val="single" w:color="auto" w:sz="4" w:space="0"/>
                    <w:right w:val="single" w:color="auto" w:sz="4" w:space="0"/>
                  </w:tcBorders>
                  <w:vAlign w:val="center"/>
                </w:tcPr>
                <w:p>
                  <w:pPr>
                    <w:pStyle w:val="34"/>
                    <w:rPr>
                      <w:sz w:val="24"/>
                    </w:rPr>
                  </w:pPr>
                  <w:r>
                    <w:rPr>
                      <w:rFonts w:hint="eastAsia"/>
                      <w:sz w:val="24"/>
                    </w:rPr>
                    <w:t>50ml滴定管</w:t>
                  </w:r>
                </w:p>
                <w:p>
                  <w:pPr>
                    <w:pStyle w:val="34"/>
                    <w:rPr>
                      <w:sz w:val="24"/>
                    </w:rPr>
                  </w:pPr>
                  <w:r>
                    <w:rPr>
                      <w:rFonts w:hint="eastAsia"/>
                      <w:sz w:val="24"/>
                    </w:rPr>
                    <w:t>A级</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溶解性总固体</w:t>
                  </w:r>
                </w:p>
              </w:tc>
              <w:tc>
                <w:tcPr>
                  <w:tcW w:w="3119" w:type="dxa"/>
                  <w:tcBorders>
                    <w:left w:val="single" w:color="auto" w:sz="4" w:space="0"/>
                    <w:right w:val="single" w:color="auto" w:sz="4" w:space="0"/>
                  </w:tcBorders>
                  <w:vAlign w:val="center"/>
                </w:tcPr>
                <w:p>
                  <w:pPr>
                    <w:pStyle w:val="34"/>
                    <w:rPr>
                      <w:sz w:val="24"/>
                    </w:rPr>
                  </w:pPr>
                  <w:r>
                    <w:rPr>
                      <w:sz w:val="24"/>
                    </w:rPr>
                    <w:t>生活饮用水标准检验方法</w:t>
                  </w:r>
                </w:p>
                <w:p>
                  <w:pPr>
                    <w:pStyle w:val="34"/>
                    <w:rPr>
                      <w:sz w:val="24"/>
                    </w:rPr>
                  </w:pPr>
                  <w:r>
                    <w:rPr>
                      <w:sz w:val="24"/>
                    </w:rPr>
                    <w:t>感官性状和物理指标</w:t>
                  </w:r>
                </w:p>
                <w:p>
                  <w:pPr>
                    <w:pStyle w:val="34"/>
                    <w:rPr>
                      <w:sz w:val="24"/>
                    </w:rPr>
                  </w:pPr>
                  <w:r>
                    <w:rPr>
                      <w:rFonts w:hint="eastAsia"/>
                      <w:sz w:val="24"/>
                    </w:rPr>
                    <w:t>8.1</w:t>
                  </w:r>
                  <w:r>
                    <w:rPr>
                      <w:sz w:val="24"/>
                    </w:rPr>
                    <w:t>称量法</w:t>
                  </w:r>
                </w:p>
                <w:p>
                  <w:pPr>
                    <w:pStyle w:val="34"/>
                    <w:rPr>
                      <w:sz w:val="24"/>
                    </w:rPr>
                  </w:pPr>
                  <w:r>
                    <w:rPr>
                      <w:sz w:val="24"/>
                    </w:rPr>
                    <w:t>GB/T5750.4-2006</w:t>
                  </w:r>
                </w:p>
              </w:tc>
              <w:tc>
                <w:tcPr>
                  <w:tcW w:w="2422" w:type="dxa"/>
                  <w:tcBorders>
                    <w:left w:val="single" w:color="auto" w:sz="4" w:space="0"/>
                    <w:right w:val="single" w:color="auto" w:sz="4" w:space="0"/>
                  </w:tcBorders>
                  <w:vAlign w:val="center"/>
                </w:tcPr>
                <w:p>
                  <w:pPr>
                    <w:pStyle w:val="34"/>
                    <w:rPr>
                      <w:sz w:val="24"/>
                    </w:rPr>
                  </w:pPr>
                  <w:r>
                    <w:rPr>
                      <w:rFonts w:hint="eastAsia"/>
                      <w:sz w:val="24"/>
                    </w:rPr>
                    <w:t>PR系列天平（万分之一）/PR224ZH/E/</w:t>
                  </w:r>
                </w:p>
                <w:p>
                  <w:pPr>
                    <w:pStyle w:val="34"/>
                    <w:rPr>
                      <w:sz w:val="24"/>
                    </w:rPr>
                  </w:pPr>
                  <w:r>
                    <w:rPr>
                      <w:rFonts w:hint="eastAsia"/>
                      <w:sz w:val="24"/>
                    </w:rPr>
                    <w:t>ZXJC</w:t>
                  </w:r>
                  <w:r>
                    <w:rPr>
                      <w:sz w:val="24"/>
                    </w:rPr>
                    <w:t>-YQ-0</w:t>
                  </w:r>
                  <w:r>
                    <w:rPr>
                      <w:rFonts w:hint="eastAsia"/>
                      <w:sz w:val="24"/>
                    </w:rPr>
                    <w:t>22</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耗氧量</w:t>
                  </w:r>
                </w:p>
              </w:tc>
              <w:tc>
                <w:tcPr>
                  <w:tcW w:w="3119" w:type="dxa"/>
                  <w:tcBorders>
                    <w:left w:val="single" w:color="auto" w:sz="4" w:space="0"/>
                    <w:right w:val="single" w:color="auto" w:sz="4" w:space="0"/>
                  </w:tcBorders>
                  <w:vAlign w:val="center"/>
                </w:tcPr>
                <w:p>
                  <w:pPr>
                    <w:pStyle w:val="34"/>
                    <w:rPr>
                      <w:sz w:val="24"/>
                    </w:rPr>
                  </w:pPr>
                  <w:r>
                    <w:rPr>
                      <w:sz w:val="24"/>
                    </w:rPr>
                    <w:t xml:space="preserve">生活饮用水标准检验方法 </w:t>
                  </w:r>
                </w:p>
                <w:p>
                  <w:pPr>
                    <w:pStyle w:val="34"/>
                    <w:rPr>
                      <w:sz w:val="24"/>
                    </w:rPr>
                  </w:pPr>
                  <w:r>
                    <w:rPr>
                      <w:sz w:val="24"/>
                    </w:rPr>
                    <w:t>有机物综合指标</w:t>
                  </w:r>
                </w:p>
                <w:p>
                  <w:pPr>
                    <w:pStyle w:val="34"/>
                    <w:rPr>
                      <w:sz w:val="24"/>
                    </w:rPr>
                  </w:pPr>
                  <w:r>
                    <w:rPr>
                      <w:rFonts w:hint="eastAsia"/>
                      <w:sz w:val="24"/>
                    </w:rPr>
                    <w:t>1.1 酸性高锰酸钾滴定法</w:t>
                  </w:r>
                </w:p>
                <w:p>
                  <w:pPr>
                    <w:pStyle w:val="34"/>
                    <w:rPr>
                      <w:sz w:val="24"/>
                    </w:rPr>
                  </w:pPr>
                  <w:r>
                    <w:rPr>
                      <w:sz w:val="24"/>
                    </w:rPr>
                    <w:t xml:space="preserve"> GB/T 5750.7-2006 </w:t>
                  </w:r>
                </w:p>
              </w:tc>
              <w:tc>
                <w:tcPr>
                  <w:tcW w:w="2422" w:type="dxa"/>
                  <w:tcBorders>
                    <w:left w:val="single" w:color="auto" w:sz="4" w:space="0"/>
                    <w:right w:val="single" w:color="auto" w:sz="4" w:space="0"/>
                  </w:tcBorders>
                  <w:vAlign w:val="center"/>
                </w:tcPr>
                <w:p>
                  <w:pPr>
                    <w:pStyle w:val="34"/>
                    <w:rPr>
                      <w:sz w:val="24"/>
                    </w:rPr>
                  </w:pPr>
                  <w:r>
                    <w:rPr>
                      <w:rFonts w:hint="eastAsia"/>
                      <w:sz w:val="24"/>
                    </w:rPr>
                    <w:t>50ml滴定管</w:t>
                  </w:r>
                </w:p>
                <w:p>
                  <w:pPr>
                    <w:pStyle w:val="34"/>
                    <w:rPr>
                      <w:sz w:val="24"/>
                    </w:rPr>
                  </w:pPr>
                  <w:r>
                    <w:rPr>
                      <w:rFonts w:hint="eastAsia"/>
                      <w:sz w:val="24"/>
                    </w:rPr>
                    <w:t>A级</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0.05</w:t>
                  </w:r>
                  <w:r>
                    <w:rPr>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镉</w:t>
                  </w:r>
                </w:p>
              </w:tc>
              <w:tc>
                <w:tcPr>
                  <w:tcW w:w="3119" w:type="dxa"/>
                  <w:tcBorders>
                    <w:left w:val="single" w:color="auto" w:sz="4" w:space="0"/>
                    <w:right w:val="single" w:color="auto" w:sz="4" w:space="0"/>
                  </w:tcBorders>
                  <w:vAlign w:val="center"/>
                </w:tcPr>
                <w:p>
                  <w:pPr>
                    <w:pStyle w:val="34"/>
                    <w:rPr>
                      <w:sz w:val="24"/>
                    </w:rPr>
                  </w:pPr>
                  <w:r>
                    <w:rPr>
                      <w:rFonts w:hint="eastAsia"/>
                      <w:sz w:val="24"/>
                    </w:rPr>
                    <w:t xml:space="preserve">生活饮用水标准检验方法 </w:t>
                  </w:r>
                </w:p>
                <w:p>
                  <w:pPr>
                    <w:pStyle w:val="34"/>
                    <w:rPr>
                      <w:sz w:val="24"/>
                    </w:rPr>
                  </w:pPr>
                  <w:r>
                    <w:rPr>
                      <w:sz w:val="24"/>
                    </w:rPr>
                    <w:t>金属指标</w:t>
                  </w:r>
                </w:p>
                <w:p>
                  <w:pPr>
                    <w:pStyle w:val="34"/>
                    <w:rPr>
                      <w:sz w:val="24"/>
                    </w:rPr>
                  </w:pPr>
                  <w:r>
                    <w:rPr>
                      <w:rFonts w:hint="eastAsia"/>
                      <w:sz w:val="24"/>
                    </w:rPr>
                    <w:t>9.1</w:t>
                  </w:r>
                  <w:r>
                    <w:rPr>
                      <w:sz w:val="24"/>
                    </w:rPr>
                    <w:t>无火焰原子吸收分光光度法</w:t>
                  </w:r>
                </w:p>
                <w:p>
                  <w:pPr>
                    <w:pStyle w:val="34"/>
                    <w:rPr>
                      <w:sz w:val="24"/>
                    </w:rPr>
                  </w:pPr>
                  <w:r>
                    <w:rPr>
                      <w:sz w:val="24"/>
                    </w:rPr>
                    <w:t>GB/T 5750.6-2006</w:t>
                  </w:r>
                </w:p>
              </w:tc>
              <w:tc>
                <w:tcPr>
                  <w:tcW w:w="2422" w:type="dxa"/>
                  <w:tcBorders>
                    <w:left w:val="single" w:color="auto" w:sz="4" w:space="0"/>
                    <w:right w:val="single" w:color="auto" w:sz="4" w:space="0"/>
                  </w:tcBorders>
                  <w:vAlign w:val="center"/>
                </w:tcPr>
                <w:p>
                  <w:pPr>
                    <w:pStyle w:val="34"/>
                    <w:rPr>
                      <w:sz w:val="24"/>
                    </w:rPr>
                  </w:pPr>
                  <w:r>
                    <w:rPr>
                      <w:rFonts w:hint="eastAsia"/>
                      <w:sz w:val="24"/>
                    </w:rPr>
                    <w:t>原子吸收分光光度计/SP-3500AA(4AT)/</w:t>
                  </w:r>
                </w:p>
                <w:p>
                  <w:pPr>
                    <w:pStyle w:val="34"/>
                    <w:rPr>
                      <w:sz w:val="24"/>
                    </w:rPr>
                  </w:pPr>
                  <w:r>
                    <w:rPr>
                      <w:sz w:val="24"/>
                    </w:rPr>
                    <w:t>ZXJC-YQ-0</w:t>
                  </w:r>
                  <w:r>
                    <w:rPr>
                      <w:rFonts w:hint="eastAsia"/>
                      <w:sz w:val="24"/>
                    </w:rPr>
                    <w:t>83</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0.5</w:t>
                  </w:r>
                  <w:r>
                    <w:rPr>
                      <w:sz w:val="24"/>
                    </w:rPr>
                    <w:t>μ</w:t>
                  </w:r>
                  <w:r>
                    <w:rPr>
                      <w:rFonts w:hint="eastAsia"/>
                      <w:sz w:val="24"/>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六价铬</w:t>
                  </w:r>
                </w:p>
              </w:tc>
              <w:tc>
                <w:tcPr>
                  <w:tcW w:w="3119" w:type="dxa"/>
                  <w:tcBorders>
                    <w:left w:val="single" w:color="auto" w:sz="4" w:space="0"/>
                    <w:right w:val="single" w:color="auto" w:sz="4" w:space="0"/>
                  </w:tcBorders>
                  <w:vAlign w:val="center"/>
                </w:tcPr>
                <w:p>
                  <w:pPr>
                    <w:pStyle w:val="34"/>
                    <w:rPr>
                      <w:sz w:val="24"/>
                    </w:rPr>
                  </w:pPr>
                  <w:r>
                    <w:rPr>
                      <w:sz w:val="24"/>
                    </w:rPr>
                    <w:t xml:space="preserve">生活饮用水标准检验方法 </w:t>
                  </w:r>
                </w:p>
                <w:p>
                  <w:pPr>
                    <w:pStyle w:val="34"/>
                    <w:rPr>
                      <w:sz w:val="24"/>
                    </w:rPr>
                  </w:pPr>
                  <w:r>
                    <w:rPr>
                      <w:sz w:val="24"/>
                    </w:rPr>
                    <w:t>金属指标</w:t>
                  </w:r>
                </w:p>
                <w:p>
                  <w:pPr>
                    <w:pStyle w:val="34"/>
                    <w:rPr>
                      <w:sz w:val="24"/>
                    </w:rPr>
                  </w:pPr>
                  <w:r>
                    <w:rPr>
                      <w:rFonts w:hint="eastAsia"/>
                      <w:sz w:val="24"/>
                    </w:rPr>
                    <w:t>10.1</w:t>
                  </w:r>
                  <w:r>
                    <w:rPr>
                      <w:sz w:val="24"/>
                    </w:rPr>
                    <w:t>二苯碳酰二肼分光光度法</w:t>
                  </w:r>
                </w:p>
                <w:p>
                  <w:pPr>
                    <w:pStyle w:val="34"/>
                    <w:rPr>
                      <w:sz w:val="24"/>
                    </w:rPr>
                  </w:pPr>
                  <w:r>
                    <w:rPr>
                      <w:sz w:val="24"/>
                    </w:rPr>
                    <w:t>GB/T 5750.6-2006</w:t>
                  </w:r>
                </w:p>
              </w:tc>
              <w:tc>
                <w:tcPr>
                  <w:tcW w:w="2422" w:type="dxa"/>
                  <w:tcBorders>
                    <w:left w:val="single" w:color="auto" w:sz="4" w:space="0"/>
                    <w:right w:val="single" w:color="auto" w:sz="4" w:space="0"/>
                  </w:tcBorders>
                  <w:vAlign w:val="center"/>
                </w:tcPr>
                <w:p>
                  <w:pPr>
                    <w:pStyle w:val="34"/>
                    <w:rPr>
                      <w:sz w:val="24"/>
                    </w:rPr>
                  </w:pPr>
                  <w:r>
                    <w:rPr>
                      <w:sz w:val="24"/>
                    </w:rPr>
                    <w:t>可见分光光度计</w:t>
                  </w:r>
                  <w:r>
                    <w:rPr>
                      <w:rFonts w:hint="eastAsia"/>
                      <w:sz w:val="24"/>
                    </w:rPr>
                    <w:t>/</w:t>
                  </w:r>
                </w:p>
                <w:p>
                  <w:pPr>
                    <w:pStyle w:val="34"/>
                    <w:rPr>
                      <w:sz w:val="24"/>
                    </w:rPr>
                  </w:pPr>
                  <w:r>
                    <w:rPr>
                      <w:rFonts w:hint="eastAsia"/>
                      <w:sz w:val="24"/>
                    </w:rPr>
                    <w:t>N2S/</w:t>
                  </w:r>
                </w:p>
                <w:p>
                  <w:pPr>
                    <w:pStyle w:val="34"/>
                    <w:rPr>
                      <w:sz w:val="24"/>
                    </w:rPr>
                  </w:pPr>
                  <w:r>
                    <w:rPr>
                      <w:rFonts w:hint="eastAsia"/>
                      <w:sz w:val="24"/>
                    </w:rPr>
                    <w:t>ZX</w:t>
                  </w:r>
                  <w:r>
                    <w:rPr>
                      <w:sz w:val="24"/>
                    </w:rPr>
                    <w:t>JC-YQ-0</w:t>
                  </w:r>
                  <w:r>
                    <w:rPr>
                      <w:rFonts w:hint="eastAsia"/>
                      <w:sz w:val="24"/>
                    </w:rPr>
                    <w:t>21</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铅</w:t>
                  </w:r>
                </w:p>
              </w:tc>
              <w:tc>
                <w:tcPr>
                  <w:tcW w:w="3119" w:type="dxa"/>
                  <w:tcBorders>
                    <w:left w:val="single" w:color="auto" w:sz="4" w:space="0"/>
                    <w:right w:val="single" w:color="auto" w:sz="4" w:space="0"/>
                  </w:tcBorders>
                  <w:vAlign w:val="center"/>
                </w:tcPr>
                <w:p>
                  <w:pPr>
                    <w:pStyle w:val="34"/>
                    <w:rPr>
                      <w:sz w:val="24"/>
                    </w:rPr>
                  </w:pPr>
                  <w:r>
                    <w:rPr>
                      <w:sz w:val="24"/>
                    </w:rPr>
                    <w:t xml:space="preserve">生活饮用水标准检验方法 </w:t>
                  </w:r>
                </w:p>
                <w:p>
                  <w:pPr>
                    <w:pStyle w:val="34"/>
                    <w:rPr>
                      <w:sz w:val="24"/>
                    </w:rPr>
                  </w:pPr>
                  <w:r>
                    <w:rPr>
                      <w:sz w:val="24"/>
                    </w:rPr>
                    <w:t>金属指标</w:t>
                  </w:r>
                </w:p>
                <w:p>
                  <w:pPr>
                    <w:pStyle w:val="34"/>
                    <w:rPr>
                      <w:sz w:val="24"/>
                    </w:rPr>
                  </w:pPr>
                  <w:r>
                    <w:rPr>
                      <w:rFonts w:hint="eastAsia"/>
                      <w:sz w:val="24"/>
                    </w:rPr>
                    <w:t>11.1</w:t>
                  </w:r>
                  <w:r>
                    <w:rPr>
                      <w:sz w:val="24"/>
                    </w:rPr>
                    <w:t>无火焰原子吸收分光光度法</w:t>
                  </w:r>
                </w:p>
                <w:p>
                  <w:pPr>
                    <w:pStyle w:val="34"/>
                    <w:rPr>
                      <w:sz w:val="24"/>
                    </w:rPr>
                  </w:pPr>
                  <w:r>
                    <w:rPr>
                      <w:sz w:val="24"/>
                    </w:rPr>
                    <w:t xml:space="preserve">GB/T 5750.6-2006                    </w:t>
                  </w:r>
                </w:p>
              </w:tc>
              <w:tc>
                <w:tcPr>
                  <w:tcW w:w="2422" w:type="dxa"/>
                  <w:tcBorders>
                    <w:left w:val="single" w:color="auto" w:sz="4" w:space="0"/>
                    <w:right w:val="single" w:color="auto" w:sz="4" w:space="0"/>
                  </w:tcBorders>
                  <w:vAlign w:val="center"/>
                </w:tcPr>
                <w:p>
                  <w:pPr>
                    <w:pStyle w:val="34"/>
                    <w:rPr>
                      <w:sz w:val="24"/>
                    </w:rPr>
                  </w:pPr>
                  <w:r>
                    <w:rPr>
                      <w:rFonts w:hint="eastAsia"/>
                      <w:sz w:val="24"/>
                    </w:rPr>
                    <w:t>原子吸收分光光度计/SP-3500AA(4AT)/</w:t>
                  </w:r>
                </w:p>
                <w:p>
                  <w:pPr>
                    <w:pStyle w:val="34"/>
                    <w:rPr>
                      <w:sz w:val="24"/>
                    </w:rPr>
                  </w:pPr>
                  <w:r>
                    <w:rPr>
                      <w:sz w:val="24"/>
                    </w:rPr>
                    <w:t>ZXJC-YQ-0</w:t>
                  </w:r>
                  <w:r>
                    <w:rPr>
                      <w:rFonts w:hint="eastAsia"/>
                      <w:sz w:val="24"/>
                    </w:rPr>
                    <w:t>83</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0.625μg/L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铁</w:t>
                  </w:r>
                </w:p>
              </w:tc>
              <w:tc>
                <w:tcPr>
                  <w:tcW w:w="3119" w:type="dxa"/>
                  <w:vMerge w:val="restart"/>
                  <w:tcBorders>
                    <w:left w:val="single" w:color="auto" w:sz="4" w:space="0"/>
                    <w:right w:val="single" w:color="auto" w:sz="4" w:space="0"/>
                  </w:tcBorders>
                  <w:vAlign w:val="center"/>
                </w:tcPr>
                <w:p>
                  <w:pPr>
                    <w:pStyle w:val="34"/>
                    <w:rPr>
                      <w:sz w:val="24"/>
                    </w:rPr>
                  </w:pPr>
                  <w:r>
                    <w:rPr>
                      <w:sz w:val="24"/>
                    </w:rPr>
                    <w:t>水质</w:t>
                  </w:r>
                  <w:r>
                    <w:rPr>
                      <w:rFonts w:hint="eastAsia"/>
                      <w:sz w:val="24"/>
                    </w:rPr>
                    <w:t xml:space="preserve"> </w:t>
                  </w:r>
                  <w:r>
                    <w:rPr>
                      <w:sz w:val="24"/>
                    </w:rPr>
                    <w:t xml:space="preserve">铁、锰的测定  </w:t>
                  </w:r>
                </w:p>
                <w:p>
                  <w:pPr>
                    <w:pStyle w:val="34"/>
                    <w:rPr>
                      <w:sz w:val="24"/>
                    </w:rPr>
                  </w:pPr>
                  <w:r>
                    <w:rPr>
                      <w:sz w:val="24"/>
                    </w:rPr>
                    <w:t>火焰原子吸收分光光度法</w:t>
                  </w:r>
                </w:p>
                <w:p>
                  <w:pPr>
                    <w:pStyle w:val="34"/>
                    <w:rPr>
                      <w:sz w:val="24"/>
                    </w:rPr>
                  </w:pPr>
                  <w:r>
                    <w:rPr>
                      <w:sz w:val="24"/>
                    </w:rPr>
                    <w:t>GB/T 11911-1989</w:t>
                  </w:r>
                </w:p>
              </w:tc>
              <w:tc>
                <w:tcPr>
                  <w:tcW w:w="2422" w:type="dxa"/>
                  <w:vMerge w:val="restart"/>
                  <w:tcBorders>
                    <w:left w:val="single" w:color="auto" w:sz="4" w:space="0"/>
                    <w:right w:val="single" w:color="auto" w:sz="4" w:space="0"/>
                  </w:tcBorders>
                  <w:vAlign w:val="center"/>
                </w:tcPr>
                <w:p>
                  <w:pPr>
                    <w:pStyle w:val="34"/>
                    <w:rPr>
                      <w:sz w:val="24"/>
                    </w:rPr>
                  </w:pPr>
                  <w:r>
                    <w:rPr>
                      <w:rFonts w:hint="eastAsia"/>
                      <w:sz w:val="24"/>
                    </w:rPr>
                    <w:t>原子吸收分光光度计/SP-3500AA(4AT)/</w:t>
                  </w:r>
                </w:p>
                <w:p>
                  <w:pPr>
                    <w:pStyle w:val="34"/>
                    <w:rPr>
                      <w:sz w:val="24"/>
                    </w:rPr>
                  </w:pPr>
                  <w:r>
                    <w:rPr>
                      <w:sz w:val="24"/>
                    </w:rPr>
                    <w:t>ZXJC-YQ-0</w:t>
                  </w:r>
                  <w:r>
                    <w:rPr>
                      <w:rFonts w:hint="eastAsia"/>
                      <w:sz w:val="24"/>
                    </w:rPr>
                    <w:t>83</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0.03</w:t>
                  </w:r>
                  <w:r>
                    <w:rPr>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锰</w:t>
                  </w:r>
                </w:p>
              </w:tc>
              <w:tc>
                <w:tcPr>
                  <w:tcW w:w="3119" w:type="dxa"/>
                  <w:vMerge w:val="continue"/>
                  <w:tcBorders>
                    <w:left w:val="single" w:color="auto" w:sz="4" w:space="0"/>
                    <w:right w:val="single" w:color="auto" w:sz="4" w:space="0"/>
                  </w:tcBorders>
                  <w:vAlign w:val="center"/>
                </w:tcPr>
                <w:p>
                  <w:pPr>
                    <w:pStyle w:val="34"/>
                    <w:rPr>
                      <w:sz w:val="24"/>
                    </w:rPr>
                  </w:pPr>
                </w:p>
              </w:tc>
              <w:tc>
                <w:tcPr>
                  <w:tcW w:w="2422" w:type="dxa"/>
                  <w:vMerge w:val="continue"/>
                  <w:tcBorders>
                    <w:left w:val="single" w:color="auto" w:sz="4" w:space="0"/>
                    <w:right w:val="single" w:color="auto" w:sz="4" w:space="0"/>
                  </w:tcBorders>
                  <w:vAlign w:val="center"/>
                </w:tcPr>
                <w:p>
                  <w:pPr>
                    <w:pStyle w:val="34"/>
                    <w:rPr>
                      <w:sz w:val="24"/>
                    </w:rPr>
                  </w:pP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0.01</w:t>
                  </w:r>
                  <w:r>
                    <w:rPr>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砷</w:t>
                  </w:r>
                </w:p>
              </w:tc>
              <w:tc>
                <w:tcPr>
                  <w:tcW w:w="3119" w:type="dxa"/>
                  <w:vMerge w:val="restart"/>
                  <w:tcBorders>
                    <w:left w:val="single" w:color="auto" w:sz="4" w:space="0"/>
                    <w:right w:val="single" w:color="auto" w:sz="4" w:space="0"/>
                  </w:tcBorders>
                  <w:vAlign w:val="center"/>
                </w:tcPr>
                <w:p>
                  <w:pPr>
                    <w:pStyle w:val="34"/>
                    <w:rPr>
                      <w:sz w:val="24"/>
                    </w:rPr>
                  </w:pPr>
                  <w:r>
                    <w:rPr>
                      <w:sz w:val="24"/>
                    </w:rPr>
                    <w:t>水质</w:t>
                  </w:r>
                  <w:r>
                    <w:rPr>
                      <w:rFonts w:hint="eastAsia"/>
                      <w:sz w:val="24"/>
                    </w:rPr>
                    <w:t xml:space="preserve"> </w:t>
                  </w:r>
                  <w:r>
                    <w:rPr>
                      <w:sz w:val="24"/>
                    </w:rPr>
                    <w:t xml:space="preserve">汞、砷、硒、铋和锑的测定 </w:t>
                  </w:r>
                </w:p>
                <w:p>
                  <w:pPr>
                    <w:pStyle w:val="34"/>
                    <w:rPr>
                      <w:sz w:val="24"/>
                    </w:rPr>
                  </w:pPr>
                  <w:r>
                    <w:rPr>
                      <w:sz w:val="24"/>
                    </w:rPr>
                    <w:t xml:space="preserve"> 原子荧光法</w:t>
                  </w:r>
                  <w:r>
                    <w:rPr>
                      <w:sz w:val="24"/>
                    </w:rPr>
                    <w:br w:type="textWrapping"/>
                  </w:r>
                  <w:r>
                    <w:rPr>
                      <w:sz w:val="24"/>
                    </w:rPr>
                    <w:t>HJ 694-2014</w:t>
                  </w:r>
                </w:p>
              </w:tc>
              <w:tc>
                <w:tcPr>
                  <w:tcW w:w="2422" w:type="dxa"/>
                  <w:vMerge w:val="restart"/>
                  <w:tcBorders>
                    <w:left w:val="single" w:color="auto" w:sz="4" w:space="0"/>
                    <w:right w:val="single" w:color="auto" w:sz="4" w:space="0"/>
                  </w:tcBorders>
                  <w:vAlign w:val="center"/>
                </w:tcPr>
                <w:p>
                  <w:pPr>
                    <w:pStyle w:val="34"/>
                    <w:rPr>
                      <w:sz w:val="24"/>
                    </w:rPr>
                  </w:pPr>
                  <w:r>
                    <w:rPr>
                      <w:rFonts w:hint="eastAsia"/>
                      <w:sz w:val="24"/>
                    </w:rPr>
                    <w:t>原子荧光分光光度计/</w:t>
                  </w:r>
                  <w:r>
                    <w:rPr>
                      <w:sz w:val="24"/>
                    </w:rPr>
                    <w:t>AF</w:t>
                  </w:r>
                  <w:r>
                    <w:rPr>
                      <w:rFonts w:hint="eastAsia"/>
                      <w:sz w:val="24"/>
                    </w:rPr>
                    <w:t>-</w:t>
                  </w:r>
                  <w:r>
                    <w:rPr>
                      <w:sz w:val="24"/>
                    </w:rPr>
                    <w:t>7500B</w:t>
                  </w:r>
                  <w:r>
                    <w:rPr>
                      <w:rFonts w:hint="eastAsia"/>
                      <w:sz w:val="24"/>
                    </w:rPr>
                    <w:t>/</w:t>
                  </w:r>
                </w:p>
                <w:p>
                  <w:pPr>
                    <w:pStyle w:val="34"/>
                    <w:rPr>
                      <w:sz w:val="24"/>
                    </w:rPr>
                  </w:pPr>
                  <w:r>
                    <w:rPr>
                      <w:sz w:val="24"/>
                    </w:rPr>
                    <w:t>ZXJC-YQ-0</w:t>
                  </w:r>
                  <w:r>
                    <w:rPr>
                      <w:rFonts w:hint="eastAsia"/>
                      <w:sz w:val="24"/>
                    </w:rPr>
                    <w:t>89</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0.3</w:t>
                  </w:r>
                  <w:r>
                    <w:rPr>
                      <w:sz w:val="24"/>
                    </w:rPr>
                    <w:t>μ</w:t>
                  </w:r>
                  <w:r>
                    <w:rPr>
                      <w:rFonts w:hint="eastAsia"/>
                      <w:sz w:val="24"/>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汞</w:t>
                  </w:r>
                </w:p>
              </w:tc>
              <w:tc>
                <w:tcPr>
                  <w:tcW w:w="3119" w:type="dxa"/>
                  <w:vMerge w:val="continue"/>
                  <w:tcBorders>
                    <w:left w:val="single" w:color="auto" w:sz="4" w:space="0"/>
                    <w:right w:val="single" w:color="auto" w:sz="4" w:space="0"/>
                  </w:tcBorders>
                  <w:vAlign w:val="center"/>
                </w:tcPr>
                <w:p>
                  <w:pPr>
                    <w:pStyle w:val="34"/>
                    <w:rPr>
                      <w:sz w:val="24"/>
                    </w:rPr>
                  </w:pPr>
                </w:p>
              </w:tc>
              <w:tc>
                <w:tcPr>
                  <w:tcW w:w="2422" w:type="dxa"/>
                  <w:vMerge w:val="continue"/>
                  <w:tcBorders>
                    <w:left w:val="single" w:color="auto" w:sz="4" w:space="0"/>
                    <w:right w:val="single" w:color="auto" w:sz="4" w:space="0"/>
                  </w:tcBorders>
                  <w:vAlign w:val="center"/>
                </w:tcPr>
                <w:p>
                  <w:pPr>
                    <w:pStyle w:val="34"/>
                    <w:rPr>
                      <w:sz w:val="24"/>
                    </w:rPr>
                  </w:pP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0.04</w:t>
                  </w:r>
                  <w:r>
                    <w:rPr>
                      <w:sz w:val="24"/>
                    </w:rPr>
                    <w:t>μ</w:t>
                  </w:r>
                  <w:r>
                    <w:rPr>
                      <w:rFonts w:hint="eastAsia"/>
                      <w:sz w:val="24"/>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铜</w:t>
                  </w:r>
                </w:p>
              </w:tc>
              <w:tc>
                <w:tcPr>
                  <w:tcW w:w="3119" w:type="dxa"/>
                  <w:vMerge w:val="restart"/>
                  <w:tcBorders>
                    <w:left w:val="single" w:color="auto" w:sz="4" w:space="0"/>
                    <w:right w:val="single" w:color="auto" w:sz="4" w:space="0"/>
                  </w:tcBorders>
                  <w:vAlign w:val="center"/>
                </w:tcPr>
                <w:p>
                  <w:pPr>
                    <w:pStyle w:val="34"/>
                    <w:rPr>
                      <w:sz w:val="24"/>
                    </w:rPr>
                  </w:pPr>
                  <w:r>
                    <w:rPr>
                      <w:sz w:val="24"/>
                    </w:rPr>
                    <w:t xml:space="preserve">水质 铜、锌、铅、镉的测定 </w:t>
                  </w:r>
                </w:p>
                <w:p>
                  <w:pPr>
                    <w:pStyle w:val="34"/>
                    <w:rPr>
                      <w:sz w:val="24"/>
                    </w:rPr>
                  </w:pPr>
                  <w:r>
                    <w:rPr>
                      <w:sz w:val="24"/>
                    </w:rPr>
                    <w:t xml:space="preserve"> 原子吸收分光光度法</w:t>
                  </w:r>
                  <w:r>
                    <w:rPr>
                      <w:sz w:val="24"/>
                    </w:rPr>
                    <w:br w:type="textWrapping"/>
                  </w:r>
                  <w:r>
                    <w:rPr>
                      <w:sz w:val="24"/>
                    </w:rPr>
                    <w:t>GB/T 7475-1987</w:t>
                  </w:r>
                </w:p>
              </w:tc>
              <w:tc>
                <w:tcPr>
                  <w:tcW w:w="2422" w:type="dxa"/>
                  <w:vMerge w:val="restart"/>
                  <w:tcBorders>
                    <w:left w:val="single" w:color="auto" w:sz="4" w:space="0"/>
                    <w:right w:val="single" w:color="auto" w:sz="4" w:space="0"/>
                  </w:tcBorders>
                  <w:vAlign w:val="center"/>
                </w:tcPr>
                <w:p>
                  <w:pPr>
                    <w:pStyle w:val="34"/>
                    <w:rPr>
                      <w:sz w:val="24"/>
                    </w:rPr>
                  </w:pPr>
                  <w:r>
                    <w:rPr>
                      <w:rFonts w:hint="eastAsia"/>
                      <w:sz w:val="24"/>
                    </w:rPr>
                    <w:t>原子吸收分光光度计/SP-3500AA(4AT)/</w:t>
                  </w:r>
                </w:p>
                <w:p>
                  <w:pPr>
                    <w:pStyle w:val="34"/>
                    <w:rPr>
                      <w:sz w:val="24"/>
                    </w:rPr>
                  </w:pPr>
                  <w:r>
                    <w:rPr>
                      <w:sz w:val="24"/>
                    </w:rPr>
                    <w:t>ZXJC-YQ-0</w:t>
                  </w:r>
                  <w:r>
                    <w:rPr>
                      <w:rFonts w:hint="eastAsia"/>
                      <w:sz w:val="24"/>
                    </w:rPr>
                    <w:t>83</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0.05</w:t>
                  </w:r>
                  <w:r>
                    <w:rPr>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锌</w:t>
                  </w:r>
                </w:p>
              </w:tc>
              <w:tc>
                <w:tcPr>
                  <w:tcW w:w="3119" w:type="dxa"/>
                  <w:vMerge w:val="continue"/>
                  <w:tcBorders>
                    <w:left w:val="single" w:color="auto" w:sz="4" w:space="0"/>
                    <w:right w:val="single" w:color="auto" w:sz="4" w:space="0"/>
                  </w:tcBorders>
                  <w:vAlign w:val="center"/>
                </w:tcPr>
                <w:p>
                  <w:pPr>
                    <w:pStyle w:val="34"/>
                    <w:rPr>
                      <w:sz w:val="24"/>
                    </w:rPr>
                  </w:pPr>
                </w:p>
              </w:tc>
              <w:tc>
                <w:tcPr>
                  <w:tcW w:w="2422" w:type="dxa"/>
                  <w:vMerge w:val="continue"/>
                  <w:tcBorders>
                    <w:left w:val="single" w:color="auto" w:sz="4" w:space="0"/>
                    <w:right w:val="single" w:color="auto" w:sz="4" w:space="0"/>
                  </w:tcBorders>
                  <w:vAlign w:val="center"/>
                </w:tcPr>
                <w:p>
                  <w:pPr>
                    <w:pStyle w:val="34"/>
                    <w:rPr>
                      <w:sz w:val="24"/>
                    </w:rPr>
                  </w:pP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0.05</w:t>
                  </w:r>
                  <w:r>
                    <w:rPr>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硫化物</w:t>
                  </w:r>
                </w:p>
              </w:tc>
              <w:tc>
                <w:tcPr>
                  <w:tcW w:w="3119" w:type="dxa"/>
                  <w:tcBorders>
                    <w:left w:val="single" w:color="auto" w:sz="4" w:space="0"/>
                    <w:right w:val="single" w:color="auto" w:sz="4" w:space="0"/>
                  </w:tcBorders>
                  <w:vAlign w:val="center"/>
                </w:tcPr>
                <w:p>
                  <w:pPr>
                    <w:pStyle w:val="34"/>
                    <w:rPr>
                      <w:sz w:val="24"/>
                    </w:rPr>
                  </w:pPr>
                  <w:r>
                    <w:rPr>
                      <w:sz w:val="24"/>
                    </w:rPr>
                    <w:t xml:space="preserve">水质 硫化物的测定 </w:t>
                  </w:r>
                </w:p>
                <w:p>
                  <w:pPr>
                    <w:pStyle w:val="34"/>
                    <w:rPr>
                      <w:sz w:val="24"/>
                    </w:rPr>
                  </w:pPr>
                  <w:r>
                    <w:rPr>
                      <w:sz w:val="24"/>
                    </w:rPr>
                    <w:t>亚甲基蓝分光光度法</w:t>
                  </w:r>
                  <w:r>
                    <w:rPr>
                      <w:sz w:val="24"/>
                    </w:rPr>
                    <w:br w:type="textWrapping"/>
                  </w:r>
                  <w:r>
                    <w:rPr>
                      <w:rFonts w:hint="eastAsia"/>
                      <w:sz w:val="24"/>
                    </w:rPr>
                    <w:t>HJ 1226-2021</w:t>
                  </w:r>
                </w:p>
              </w:tc>
              <w:tc>
                <w:tcPr>
                  <w:tcW w:w="2422" w:type="dxa"/>
                  <w:tcBorders>
                    <w:left w:val="single" w:color="auto" w:sz="4" w:space="0"/>
                    <w:right w:val="single" w:color="auto" w:sz="4" w:space="0"/>
                  </w:tcBorders>
                  <w:vAlign w:val="center"/>
                </w:tcPr>
                <w:p>
                  <w:pPr>
                    <w:pStyle w:val="34"/>
                    <w:rPr>
                      <w:sz w:val="24"/>
                    </w:rPr>
                  </w:pPr>
                  <w:r>
                    <w:rPr>
                      <w:sz w:val="24"/>
                    </w:rPr>
                    <w:t>可见分光光度计</w:t>
                  </w:r>
                  <w:r>
                    <w:rPr>
                      <w:rFonts w:hint="eastAsia"/>
                      <w:sz w:val="24"/>
                    </w:rPr>
                    <w:t>/</w:t>
                  </w:r>
                </w:p>
                <w:p>
                  <w:pPr>
                    <w:pStyle w:val="34"/>
                    <w:rPr>
                      <w:sz w:val="24"/>
                    </w:rPr>
                  </w:pPr>
                  <w:r>
                    <w:rPr>
                      <w:rFonts w:hint="eastAsia"/>
                      <w:sz w:val="24"/>
                    </w:rPr>
                    <w:t>N2S/</w:t>
                  </w:r>
                </w:p>
                <w:p>
                  <w:pPr>
                    <w:pStyle w:val="34"/>
                    <w:rPr>
                      <w:sz w:val="24"/>
                    </w:rPr>
                  </w:pPr>
                  <w:r>
                    <w:rPr>
                      <w:rFonts w:hint="eastAsia"/>
                      <w:sz w:val="24"/>
                    </w:rPr>
                    <w:t>ZX</w:t>
                  </w:r>
                  <w:r>
                    <w:rPr>
                      <w:sz w:val="24"/>
                    </w:rPr>
                    <w:t>JC-YQ-0</w:t>
                  </w:r>
                  <w:r>
                    <w:rPr>
                      <w:rFonts w:hint="eastAsia"/>
                      <w:sz w:val="24"/>
                    </w:rPr>
                    <w:t>21</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挥发酚</w:t>
                  </w:r>
                </w:p>
              </w:tc>
              <w:tc>
                <w:tcPr>
                  <w:tcW w:w="3119" w:type="dxa"/>
                  <w:tcBorders>
                    <w:left w:val="single" w:color="auto" w:sz="4" w:space="0"/>
                    <w:right w:val="single" w:color="auto" w:sz="4" w:space="0"/>
                  </w:tcBorders>
                  <w:vAlign w:val="center"/>
                </w:tcPr>
                <w:p>
                  <w:pPr>
                    <w:pStyle w:val="34"/>
                    <w:rPr>
                      <w:sz w:val="24"/>
                    </w:rPr>
                  </w:pPr>
                  <w:r>
                    <w:rPr>
                      <w:sz w:val="24"/>
                    </w:rPr>
                    <w:t>水质 挥发酚的测定</w:t>
                  </w:r>
                </w:p>
                <w:p>
                  <w:pPr>
                    <w:pStyle w:val="34"/>
                    <w:rPr>
                      <w:sz w:val="24"/>
                    </w:rPr>
                  </w:pPr>
                  <w:r>
                    <w:rPr>
                      <w:sz w:val="24"/>
                    </w:rPr>
                    <w:t>4-氨基安替比林分光光度法</w:t>
                  </w:r>
                </w:p>
                <w:p>
                  <w:pPr>
                    <w:pStyle w:val="34"/>
                    <w:rPr>
                      <w:sz w:val="24"/>
                    </w:rPr>
                  </w:pPr>
                  <w:r>
                    <w:rPr>
                      <w:sz w:val="24"/>
                    </w:rPr>
                    <w:t>HJ 503-2009</w:t>
                  </w:r>
                </w:p>
              </w:tc>
              <w:tc>
                <w:tcPr>
                  <w:tcW w:w="2422" w:type="dxa"/>
                  <w:tcBorders>
                    <w:left w:val="single" w:color="auto" w:sz="4" w:space="0"/>
                    <w:right w:val="single" w:color="auto" w:sz="4" w:space="0"/>
                  </w:tcBorders>
                  <w:vAlign w:val="center"/>
                </w:tcPr>
                <w:p>
                  <w:pPr>
                    <w:pStyle w:val="34"/>
                    <w:rPr>
                      <w:sz w:val="24"/>
                    </w:rPr>
                  </w:pPr>
                  <w:r>
                    <w:rPr>
                      <w:sz w:val="24"/>
                    </w:rPr>
                    <w:t>可见分光光度计</w:t>
                  </w:r>
                  <w:r>
                    <w:rPr>
                      <w:rFonts w:hint="eastAsia"/>
                      <w:sz w:val="24"/>
                    </w:rPr>
                    <w:t>/</w:t>
                  </w:r>
                </w:p>
                <w:p>
                  <w:pPr>
                    <w:pStyle w:val="34"/>
                    <w:rPr>
                      <w:sz w:val="24"/>
                    </w:rPr>
                  </w:pPr>
                  <w:r>
                    <w:rPr>
                      <w:rFonts w:hint="eastAsia"/>
                      <w:sz w:val="24"/>
                    </w:rPr>
                    <w:t>N2S/</w:t>
                  </w:r>
                </w:p>
                <w:p>
                  <w:pPr>
                    <w:pStyle w:val="34"/>
                    <w:rPr>
                      <w:sz w:val="24"/>
                    </w:rPr>
                  </w:pPr>
                  <w:r>
                    <w:rPr>
                      <w:rFonts w:hint="eastAsia"/>
                      <w:sz w:val="24"/>
                    </w:rPr>
                    <w:t>ZX</w:t>
                  </w:r>
                  <w:r>
                    <w:rPr>
                      <w:sz w:val="24"/>
                    </w:rPr>
                    <w:t>JC-YQ-0</w:t>
                  </w:r>
                  <w:r>
                    <w:rPr>
                      <w:rFonts w:hint="eastAsia"/>
                      <w:sz w:val="24"/>
                    </w:rPr>
                    <w:t>21</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浑浊度</w:t>
                  </w:r>
                </w:p>
              </w:tc>
              <w:tc>
                <w:tcPr>
                  <w:tcW w:w="3119" w:type="dxa"/>
                  <w:tcBorders>
                    <w:left w:val="single" w:color="auto" w:sz="4" w:space="0"/>
                    <w:right w:val="single" w:color="auto" w:sz="4" w:space="0"/>
                  </w:tcBorders>
                  <w:vAlign w:val="center"/>
                </w:tcPr>
                <w:p>
                  <w:pPr>
                    <w:pStyle w:val="34"/>
                    <w:rPr>
                      <w:sz w:val="24"/>
                    </w:rPr>
                  </w:pPr>
                  <w:r>
                    <w:rPr>
                      <w:rFonts w:hint="eastAsia"/>
                      <w:sz w:val="24"/>
                    </w:rPr>
                    <w:t>水质 浊度的测定</w:t>
                  </w:r>
                </w:p>
                <w:p>
                  <w:pPr>
                    <w:pStyle w:val="34"/>
                    <w:rPr>
                      <w:sz w:val="24"/>
                    </w:rPr>
                  </w:pPr>
                  <w:r>
                    <w:rPr>
                      <w:rFonts w:hint="eastAsia"/>
                      <w:sz w:val="24"/>
                    </w:rPr>
                    <w:t>分光光度法</w:t>
                  </w:r>
                </w:p>
                <w:p>
                  <w:pPr>
                    <w:pStyle w:val="34"/>
                    <w:rPr>
                      <w:sz w:val="24"/>
                    </w:rPr>
                  </w:pPr>
                  <w:r>
                    <w:rPr>
                      <w:rFonts w:hint="eastAsia"/>
                      <w:sz w:val="24"/>
                    </w:rPr>
                    <w:t>GB/T 13200-1991</w:t>
                  </w:r>
                </w:p>
              </w:tc>
              <w:tc>
                <w:tcPr>
                  <w:tcW w:w="2422" w:type="dxa"/>
                  <w:tcBorders>
                    <w:left w:val="single" w:color="auto" w:sz="4" w:space="0"/>
                    <w:right w:val="single" w:color="auto" w:sz="4" w:space="0"/>
                  </w:tcBorders>
                  <w:vAlign w:val="center"/>
                </w:tcPr>
                <w:p>
                  <w:pPr>
                    <w:pStyle w:val="34"/>
                    <w:rPr>
                      <w:sz w:val="24"/>
                    </w:rPr>
                  </w:pPr>
                  <w:r>
                    <w:rPr>
                      <w:rFonts w:hint="eastAsia"/>
                      <w:sz w:val="24"/>
                    </w:rPr>
                    <w:t>50m具塞比色管</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3度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阴离子表面活性剂</w:t>
                  </w:r>
                </w:p>
              </w:tc>
              <w:tc>
                <w:tcPr>
                  <w:tcW w:w="3119" w:type="dxa"/>
                  <w:tcBorders>
                    <w:left w:val="single" w:color="auto" w:sz="4" w:space="0"/>
                    <w:right w:val="single" w:color="auto" w:sz="4" w:space="0"/>
                  </w:tcBorders>
                  <w:vAlign w:val="center"/>
                </w:tcPr>
                <w:p>
                  <w:pPr>
                    <w:pStyle w:val="34"/>
                    <w:rPr>
                      <w:sz w:val="24"/>
                    </w:rPr>
                  </w:pPr>
                  <w:r>
                    <w:rPr>
                      <w:rFonts w:hint="eastAsia"/>
                      <w:sz w:val="24"/>
                    </w:rPr>
                    <w:t>水质 阴离子表面活性剂的测定</w:t>
                  </w:r>
                </w:p>
                <w:p>
                  <w:pPr>
                    <w:pStyle w:val="34"/>
                    <w:rPr>
                      <w:sz w:val="24"/>
                    </w:rPr>
                  </w:pPr>
                  <w:r>
                    <w:rPr>
                      <w:rFonts w:hint="eastAsia"/>
                      <w:sz w:val="24"/>
                    </w:rPr>
                    <w:t>亚甲蓝分光光度法</w:t>
                  </w:r>
                </w:p>
                <w:p>
                  <w:pPr>
                    <w:pStyle w:val="34"/>
                    <w:rPr>
                      <w:sz w:val="24"/>
                    </w:rPr>
                  </w:pPr>
                  <w:r>
                    <w:rPr>
                      <w:rFonts w:hint="eastAsia"/>
                      <w:sz w:val="24"/>
                    </w:rPr>
                    <w:t>GB/T 7494-1987</w:t>
                  </w:r>
                </w:p>
              </w:tc>
              <w:tc>
                <w:tcPr>
                  <w:tcW w:w="2422" w:type="dxa"/>
                  <w:tcBorders>
                    <w:left w:val="single" w:color="auto" w:sz="4" w:space="0"/>
                    <w:right w:val="single" w:color="auto" w:sz="4" w:space="0"/>
                  </w:tcBorders>
                  <w:vAlign w:val="center"/>
                </w:tcPr>
                <w:p>
                  <w:pPr>
                    <w:pStyle w:val="34"/>
                    <w:rPr>
                      <w:sz w:val="24"/>
                    </w:rPr>
                  </w:pPr>
                  <w:r>
                    <w:rPr>
                      <w:sz w:val="24"/>
                    </w:rPr>
                    <w:t>可见分光光度计</w:t>
                  </w:r>
                  <w:r>
                    <w:rPr>
                      <w:rFonts w:hint="eastAsia"/>
                      <w:sz w:val="24"/>
                    </w:rPr>
                    <w:t>/</w:t>
                  </w:r>
                </w:p>
                <w:p>
                  <w:pPr>
                    <w:pStyle w:val="34"/>
                    <w:rPr>
                      <w:sz w:val="24"/>
                    </w:rPr>
                  </w:pPr>
                  <w:r>
                    <w:rPr>
                      <w:rFonts w:hint="eastAsia"/>
                      <w:sz w:val="24"/>
                    </w:rPr>
                    <w:t>N2S/</w:t>
                  </w:r>
                </w:p>
                <w:p>
                  <w:pPr>
                    <w:pStyle w:val="34"/>
                    <w:rPr>
                      <w:sz w:val="24"/>
                    </w:rPr>
                  </w:pPr>
                  <w:r>
                    <w:rPr>
                      <w:rFonts w:hint="eastAsia"/>
                      <w:sz w:val="24"/>
                    </w:rPr>
                    <w:t>ZX</w:t>
                  </w:r>
                  <w:r>
                    <w:rPr>
                      <w:sz w:val="24"/>
                    </w:rPr>
                    <w:t>JC-YQ-0</w:t>
                  </w:r>
                  <w:r>
                    <w:rPr>
                      <w:rFonts w:hint="eastAsia"/>
                      <w:sz w:val="24"/>
                    </w:rPr>
                    <w:t>21</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石油类</w:t>
                  </w:r>
                </w:p>
              </w:tc>
              <w:tc>
                <w:tcPr>
                  <w:tcW w:w="3119" w:type="dxa"/>
                  <w:tcBorders>
                    <w:left w:val="single" w:color="auto" w:sz="4" w:space="0"/>
                    <w:right w:val="single" w:color="auto" w:sz="4" w:space="0"/>
                  </w:tcBorders>
                  <w:vAlign w:val="center"/>
                </w:tcPr>
                <w:p>
                  <w:pPr>
                    <w:pStyle w:val="34"/>
                    <w:rPr>
                      <w:sz w:val="24"/>
                    </w:rPr>
                  </w:pPr>
                  <w:r>
                    <w:rPr>
                      <w:sz w:val="24"/>
                    </w:rPr>
                    <w:t xml:space="preserve">水质 石油类的测定 </w:t>
                  </w:r>
                </w:p>
                <w:p>
                  <w:pPr>
                    <w:pStyle w:val="34"/>
                    <w:rPr>
                      <w:sz w:val="24"/>
                    </w:rPr>
                  </w:pPr>
                  <w:r>
                    <w:rPr>
                      <w:sz w:val="24"/>
                    </w:rPr>
                    <w:t>紫外分光光度法（试行）</w:t>
                  </w:r>
                </w:p>
                <w:p>
                  <w:pPr>
                    <w:pStyle w:val="34"/>
                    <w:rPr>
                      <w:sz w:val="24"/>
                    </w:rPr>
                  </w:pPr>
                  <w:r>
                    <w:rPr>
                      <w:sz w:val="24"/>
                    </w:rPr>
                    <w:t>HJ 970-2018</w:t>
                  </w:r>
                </w:p>
              </w:tc>
              <w:tc>
                <w:tcPr>
                  <w:tcW w:w="2422" w:type="dxa"/>
                  <w:tcBorders>
                    <w:left w:val="single" w:color="auto" w:sz="4" w:space="0"/>
                    <w:right w:val="single" w:color="auto" w:sz="4" w:space="0"/>
                  </w:tcBorders>
                  <w:vAlign w:val="center"/>
                </w:tcPr>
                <w:p>
                  <w:pPr>
                    <w:pStyle w:val="34"/>
                    <w:rPr>
                      <w:sz w:val="24"/>
                    </w:rPr>
                  </w:pPr>
                  <w:r>
                    <w:rPr>
                      <w:rFonts w:hint="eastAsia"/>
                      <w:sz w:val="24"/>
                    </w:rPr>
                    <w:t>紫外可见分光光度计/</w:t>
                  </w:r>
                </w:p>
                <w:p>
                  <w:pPr>
                    <w:pStyle w:val="34"/>
                    <w:rPr>
                      <w:sz w:val="24"/>
                    </w:rPr>
                  </w:pPr>
                  <w:r>
                    <w:rPr>
                      <w:sz w:val="24"/>
                    </w:rPr>
                    <w:t>SP-756P</w:t>
                  </w:r>
                  <w:r>
                    <w:rPr>
                      <w:rFonts w:hint="eastAsia"/>
                      <w:sz w:val="24"/>
                    </w:rPr>
                    <w:t>/</w:t>
                  </w:r>
                </w:p>
                <w:p>
                  <w:pPr>
                    <w:pStyle w:val="34"/>
                    <w:rPr>
                      <w:sz w:val="24"/>
                    </w:rPr>
                  </w:pPr>
                  <w:r>
                    <w:rPr>
                      <w:rFonts w:hint="eastAsia"/>
                      <w:sz w:val="24"/>
                    </w:rPr>
                    <w:t>ZX</w:t>
                  </w:r>
                  <w:r>
                    <w:rPr>
                      <w:sz w:val="24"/>
                    </w:rPr>
                    <w:t>JC-YQ-0</w:t>
                  </w:r>
                  <w:r>
                    <w:rPr>
                      <w:rFonts w:hint="eastAsia"/>
                      <w:sz w:val="24"/>
                    </w:rPr>
                    <w:t>27</w:t>
                  </w:r>
                </w:p>
              </w:tc>
              <w:tc>
                <w:tcPr>
                  <w:tcW w:w="1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0.01mg/L</w:t>
                  </w:r>
                </w:p>
              </w:tc>
            </w:tr>
          </w:tbl>
          <w:p>
            <w:pPr>
              <w:ind w:firstLine="480"/>
              <w:rPr>
                <w:sz w:val="24"/>
                <w:szCs w:val="24"/>
              </w:rPr>
            </w:pPr>
            <w:r>
              <w:rPr>
                <w:rFonts w:hint="eastAsia"/>
                <w:sz w:val="24"/>
                <w:szCs w:val="24"/>
              </w:rPr>
              <w:t>③监测</w:t>
            </w:r>
            <w:r>
              <w:rPr>
                <w:sz w:val="24"/>
                <w:szCs w:val="24"/>
              </w:rPr>
              <w:t>结果</w:t>
            </w:r>
          </w:p>
          <w:p>
            <w:pPr>
              <w:pStyle w:val="34"/>
              <w:ind w:firstLine="482"/>
              <w:rPr>
                <w:sz w:val="24"/>
              </w:rPr>
            </w:pPr>
            <w:r>
              <w:rPr>
                <w:b/>
                <w:sz w:val="24"/>
              </w:rPr>
              <w:t>表3-</w:t>
            </w:r>
            <w:r>
              <w:rPr>
                <w:rFonts w:hint="eastAsia"/>
                <w:b/>
                <w:sz w:val="24"/>
              </w:rPr>
              <w:t>7</w:t>
            </w:r>
            <w:r>
              <w:rPr>
                <w:b/>
                <w:sz w:val="24"/>
              </w:rPr>
              <w:t xml:space="preserve">  </w:t>
            </w:r>
            <w:r>
              <w:rPr>
                <w:rFonts w:hint="eastAsia"/>
                <w:b/>
                <w:sz w:val="24"/>
              </w:rPr>
              <w:t>地下水</w:t>
            </w:r>
            <w:r>
              <w:rPr>
                <w:b/>
                <w:sz w:val="24"/>
              </w:rPr>
              <w:t>环境质量</w:t>
            </w:r>
            <w:r>
              <w:rPr>
                <w:rFonts w:hint="eastAsia"/>
                <w:b/>
                <w:sz w:val="24"/>
              </w:rPr>
              <w:t>监测</w:t>
            </w:r>
            <w:r>
              <w:rPr>
                <w:b/>
                <w:sz w:val="24"/>
              </w:rPr>
              <w:t>结果</w:t>
            </w:r>
          </w:p>
          <w:tbl>
            <w:tblPr>
              <w:tblStyle w:val="21"/>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6"/>
              <w:gridCol w:w="2760"/>
              <w:gridCol w:w="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2396" w:type="dxa"/>
                  <w:vMerge w:val="restart"/>
                  <w:tcBorders>
                    <w:top w:val="single" w:color="auto" w:sz="4" w:space="0"/>
                    <w:left w:val="single" w:color="auto" w:sz="4" w:space="0"/>
                    <w:right w:val="single" w:color="auto" w:sz="4" w:space="0"/>
                  </w:tcBorders>
                  <w:shd w:val="pct10" w:color="auto" w:fill="auto"/>
                  <w:vAlign w:val="center"/>
                </w:tcPr>
                <w:p>
                  <w:pPr>
                    <w:pStyle w:val="34"/>
                    <w:rPr>
                      <w:b/>
                      <w:sz w:val="24"/>
                    </w:rPr>
                  </w:pPr>
                  <w:r>
                    <w:rPr>
                      <w:b/>
                      <w:sz w:val="24"/>
                    </w:rPr>
                    <w:t>项目</w:t>
                  </w:r>
                </w:p>
              </w:tc>
              <w:tc>
                <w:tcPr>
                  <w:tcW w:w="2760"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rFonts w:hint="eastAsia"/>
                      <w:b/>
                      <w:sz w:val="24"/>
                    </w:rPr>
                    <w:t>监测点位及结果</w:t>
                  </w:r>
                </w:p>
              </w:tc>
              <w:tc>
                <w:tcPr>
                  <w:tcW w:w="3044" w:type="dxa"/>
                  <w:vMerge w:val="restart"/>
                  <w:tcBorders>
                    <w:top w:val="single" w:color="auto" w:sz="4" w:space="0"/>
                    <w:left w:val="single" w:color="auto" w:sz="4" w:space="0"/>
                    <w:right w:val="single" w:color="auto" w:sz="4" w:space="0"/>
                  </w:tcBorders>
                  <w:shd w:val="pct10" w:color="auto" w:fill="auto"/>
                  <w:vAlign w:val="center"/>
                </w:tcPr>
                <w:p>
                  <w:pPr>
                    <w:pStyle w:val="34"/>
                    <w:rPr>
                      <w:b/>
                      <w:sz w:val="24"/>
                    </w:rPr>
                  </w:pPr>
                  <w:r>
                    <w:rPr>
                      <w:rFonts w:hint="eastAsia"/>
                      <w:b/>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396" w:type="dxa"/>
                  <w:vMerge w:val="continue"/>
                  <w:tcBorders>
                    <w:left w:val="single" w:color="auto" w:sz="4" w:space="0"/>
                    <w:bottom w:val="single" w:color="auto" w:sz="4" w:space="0"/>
                    <w:right w:val="single" w:color="auto" w:sz="4" w:space="0"/>
                  </w:tcBorders>
                  <w:shd w:val="pct10" w:color="auto" w:fill="auto"/>
                  <w:vAlign w:val="center"/>
                </w:tcPr>
                <w:p>
                  <w:pPr>
                    <w:pStyle w:val="34"/>
                    <w:rPr>
                      <w:b/>
                      <w:sz w:val="24"/>
                    </w:rPr>
                  </w:pPr>
                </w:p>
              </w:tc>
              <w:tc>
                <w:tcPr>
                  <w:tcW w:w="2760"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rFonts w:hint="eastAsia"/>
                      <w:b/>
                      <w:sz w:val="24"/>
                    </w:rPr>
                    <w:t>下游井</w:t>
                  </w:r>
                </w:p>
              </w:tc>
              <w:tc>
                <w:tcPr>
                  <w:tcW w:w="3044" w:type="dxa"/>
                  <w:vMerge w:val="continue"/>
                  <w:tcBorders>
                    <w:left w:val="single" w:color="auto" w:sz="4" w:space="0"/>
                    <w:bottom w:val="single" w:color="auto" w:sz="4" w:space="0"/>
                    <w:right w:val="single" w:color="auto" w:sz="4" w:space="0"/>
                  </w:tcBorders>
                  <w:shd w:val="pct10" w:color="auto" w:fill="auto"/>
                  <w:vAlign w:val="center"/>
                </w:tcPr>
                <w:p>
                  <w:pPr>
                    <w:pStyle w:val="34"/>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K</w:t>
                  </w:r>
                  <w:r>
                    <w:rPr>
                      <w:sz w:val="24"/>
                      <w:vertAlign w:val="superscript"/>
                    </w:rPr>
                    <w:t>+</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1.88</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Na</w:t>
                  </w:r>
                  <w:r>
                    <w:rPr>
                      <w:sz w:val="24"/>
                      <w:vertAlign w:val="superscript"/>
                    </w:rPr>
                    <w:t>+</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25.6</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Ca</w:t>
                  </w:r>
                  <w:r>
                    <w:rPr>
                      <w:sz w:val="24"/>
                      <w:vertAlign w:val="superscript"/>
                    </w:rPr>
                    <w:t>2+</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61.4</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Mg</w:t>
                  </w:r>
                  <w:r>
                    <w:rPr>
                      <w:sz w:val="24"/>
                      <w:vertAlign w:val="superscript"/>
                    </w:rPr>
                    <w:t>2+</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32.2</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CO</w:t>
                  </w:r>
                  <w:r>
                    <w:rPr>
                      <w:sz w:val="24"/>
                      <w:vertAlign w:val="subscript"/>
                    </w:rPr>
                    <w:t>3</w:t>
                  </w:r>
                  <w:r>
                    <w:rPr>
                      <w:sz w:val="24"/>
                      <w:vertAlign w:val="superscript"/>
                    </w:rPr>
                    <w:t>2-</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5ND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HCO</w:t>
                  </w:r>
                  <w:r>
                    <w:rPr>
                      <w:sz w:val="24"/>
                      <w:vertAlign w:val="subscript"/>
                    </w:rPr>
                    <w:t>3</w:t>
                  </w:r>
                  <w:r>
                    <w:rPr>
                      <w:sz w:val="24"/>
                      <w:vertAlign w:val="superscript"/>
                    </w:rPr>
                    <w:t>-</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193</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Cl</w:t>
                  </w:r>
                  <w:r>
                    <w:rPr>
                      <w:sz w:val="24"/>
                      <w:vertAlign w:val="superscript"/>
                    </w:rPr>
                    <w:t>-</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74.4</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SO</w:t>
                  </w:r>
                  <w:r>
                    <w:rPr>
                      <w:sz w:val="24"/>
                      <w:vertAlign w:val="subscript"/>
                    </w:rPr>
                    <w:t>4</w:t>
                  </w:r>
                  <w:r>
                    <w:rPr>
                      <w:sz w:val="24"/>
                      <w:vertAlign w:val="superscript"/>
                    </w:rPr>
                    <w:t>2-</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91.6</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pH值</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6.93</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浑浊度</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3</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总硬度</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313</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溶解性总固体</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419</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铁</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0.03ND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锰</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0.01ND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铜</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0.05ND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锌</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0.05ND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挥发酚</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0.0009</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阴离子表面活性剂</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0.05ND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耗氧量</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0.91</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氨氮</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0.091</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硫化物</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0.003ND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硝酸盐</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1.03</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亚硝酸盐</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0.001ND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氰化物</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0.002ND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氟化物</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0.36</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砷</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0.3ND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μ</w:t>
                  </w:r>
                  <w:r>
                    <w:rPr>
                      <w:rFonts w:hint="eastAsia"/>
                      <w:sz w:val="24"/>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汞</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0.04ND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μ</w:t>
                  </w:r>
                  <w:r>
                    <w:rPr>
                      <w:rFonts w:hint="eastAsia"/>
                      <w:sz w:val="24"/>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六价铬</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0.004ND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铅</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0.625ND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μ</w:t>
                  </w:r>
                  <w:r>
                    <w:rPr>
                      <w:rFonts w:hint="eastAsia"/>
                      <w:sz w:val="24"/>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镉</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0.5ND</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μ</w:t>
                  </w:r>
                  <w:r>
                    <w:rPr>
                      <w:rFonts w:hint="eastAsia"/>
                      <w:sz w:val="24"/>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臭和味</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无</w:t>
                  </w: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396"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rFonts w:hint="eastAsia"/>
                      <w:sz w:val="24"/>
                    </w:rPr>
                    <w:t>石油类</w:t>
                  </w:r>
                </w:p>
              </w:tc>
              <w:tc>
                <w:tcPr>
                  <w:tcW w:w="2760" w:type="dxa"/>
                  <w:tcBorders>
                    <w:top w:val="single" w:color="auto" w:sz="4" w:space="0"/>
                    <w:left w:val="single" w:color="auto" w:sz="4" w:space="0"/>
                    <w:bottom w:val="single" w:color="auto" w:sz="4" w:space="0"/>
                    <w:right w:val="single" w:color="auto" w:sz="4" w:space="0"/>
                  </w:tcBorders>
                  <w:vAlign w:val="center"/>
                </w:tcPr>
                <w:p>
                  <w:pPr>
                    <w:pStyle w:val="34"/>
                    <w:rPr>
                      <w:sz w:val="24"/>
                    </w:rPr>
                  </w:pPr>
                </w:p>
              </w:tc>
              <w:tc>
                <w:tcPr>
                  <w:tcW w:w="3044" w:type="dxa"/>
                  <w:tcBorders>
                    <w:top w:val="single" w:color="auto" w:sz="4" w:space="0"/>
                    <w:left w:val="single" w:color="auto" w:sz="4" w:space="0"/>
                    <w:bottom w:val="single" w:color="auto" w:sz="4" w:space="0"/>
                    <w:right w:val="single" w:color="auto" w:sz="4" w:space="0"/>
                  </w:tcBorders>
                  <w:vAlign w:val="center"/>
                </w:tcPr>
                <w:p>
                  <w:pPr>
                    <w:pStyle w:val="34"/>
                    <w:rPr>
                      <w:sz w:val="24"/>
                    </w:rPr>
                  </w:pPr>
                </w:p>
              </w:tc>
            </w:tr>
          </w:tbl>
          <w:p>
            <w:pPr>
              <w:ind w:firstLine="480"/>
              <w:rPr>
                <w:sz w:val="24"/>
                <w:szCs w:val="24"/>
              </w:rPr>
            </w:pPr>
            <w:r>
              <w:rPr>
                <w:sz w:val="24"/>
                <w:szCs w:val="24"/>
              </w:rPr>
              <w:t>根据检测结果可知</w:t>
            </w:r>
            <w:r>
              <w:rPr>
                <w:rFonts w:hint="eastAsia"/>
                <w:sz w:val="24"/>
                <w:szCs w:val="24"/>
              </w:rPr>
              <w:t>，</w:t>
            </w:r>
            <w:r>
              <w:rPr>
                <w:sz w:val="24"/>
                <w:szCs w:val="24"/>
              </w:rPr>
              <w:t>本项目</w:t>
            </w:r>
            <w:r>
              <w:rPr>
                <w:rFonts w:hint="eastAsia"/>
                <w:sz w:val="24"/>
                <w:szCs w:val="24"/>
              </w:rPr>
              <w:t>地下水</w:t>
            </w:r>
            <w:r>
              <w:rPr>
                <w:sz w:val="24"/>
                <w:szCs w:val="24"/>
              </w:rPr>
              <w:t>环境质量符合</w:t>
            </w:r>
            <w:r>
              <w:rPr>
                <w:rFonts w:hint="eastAsia"/>
                <w:sz w:val="24"/>
                <w:szCs w:val="24"/>
              </w:rPr>
              <w:t>《地下水质量标准》（GB/T14848-2017）III类标准中的限值要求，地下水环境质量状况良好。</w:t>
            </w:r>
          </w:p>
          <w:p>
            <w:pPr>
              <w:ind w:firstLine="480"/>
              <w:rPr>
                <w:sz w:val="24"/>
                <w:szCs w:val="24"/>
              </w:rPr>
            </w:pPr>
            <w:r>
              <w:rPr>
                <w:rFonts w:hint="eastAsia"/>
                <w:sz w:val="24"/>
                <w:szCs w:val="24"/>
              </w:rPr>
              <w:t>3、土壤环境</w:t>
            </w:r>
          </w:p>
          <w:p>
            <w:pPr>
              <w:ind w:firstLine="480"/>
              <w:rPr>
                <w:sz w:val="24"/>
                <w:szCs w:val="24"/>
              </w:rPr>
            </w:pPr>
            <w:r>
              <w:rPr>
                <w:sz w:val="24"/>
                <w:szCs w:val="24"/>
              </w:rPr>
              <w:t>本次</w:t>
            </w:r>
            <w:r>
              <w:rPr>
                <w:rFonts w:hint="eastAsia"/>
                <w:sz w:val="24"/>
                <w:szCs w:val="24"/>
              </w:rPr>
              <w:t>土壤</w:t>
            </w:r>
            <w:r>
              <w:rPr>
                <w:sz w:val="24"/>
                <w:szCs w:val="24"/>
              </w:rPr>
              <w:t>环境质量监测项目为</w:t>
            </w:r>
            <w:r>
              <w:rPr>
                <w:rFonts w:hint="eastAsia"/>
                <w:sz w:val="24"/>
                <w:szCs w:val="24"/>
              </w:rPr>
              <w:t>建设项目基本45项及石油烃</w:t>
            </w:r>
            <w:r>
              <w:rPr>
                <w:sz w:val="24"/>
                <w:szCs w:val="24"/>
              </w:rPr>
              <w:t>，由</w:t>
            </w:r>
            <w:r>
              <w:rPr>
                <w:rFonts w:hint="eastAsia"/>
                <w:sz w:val="24"/>
                <w:szCs w:val="24"/>
              </w:rPr>
              <w:t>山东缗衡计量检测有限公司</w:t>
            </w:r>
            <w:r>
              <w:rPr>
                <w:sz w:val="24"/>
                <w:szCs w:val="24"/>
              </w:rPr>
              <w:t>进行监测。</w:t>
            </w:r>
            <w:r>
              <w:rPr>
                <w:rFonts w:hint="eastAsia"/>
                <w:sz w:val="24"/>
                <w:szCs w:val="24"/>
              </w:rPr>
              <w:t>采样</w:t>
            </w:r>
            <w:r>
              <w:rPr>
                <w:sz w:val="24"/>
                <w:szCs w:val="24"/>
              </w:rPr>
              <w:t>为202</w:t>
            </w:r>
            <w:r>
              <w:rPr>
                <w:rFonts w:hint="eastAsia"/>
                <w:sz w:val="24"/>
                <w:szCs w:val="24"/>
              </w:rPr>
              <w:t>2</w:t>
            </w:r>
            <w:r>
              <w:rPr>
                <w:sz w:val="24"/>
                <w:szCs w:val="24"/>
              </w:rPr>
              <w:t>年</w:t>
            </w:r>
            <w:r>
              <w:rPr>
                <w:rFonts w:hint="eastAsia"/>
                <w:sz w:val="24"/>
                <w:szCs w:val="24"/>
              </w:rPr>
              <w:t>7</w:t>
            </w:r>
            <w:r>
              <w:rPr>
                <w:sz w:val="24"/>
                <w:szCs w:val="24"/>
              </w:rPr>
              <w:t>月</w:t>
            </w:r>
            <w:r>
              <w:rPr>
                <w:rFonts w:hint="eastAsia"/>
                <w:sz w:val="24"/>
                <w:szCs w:val="24"/>
              </w:rPr>
              <w:t>5</w:t>
            </w:r>
            <w:r>
              <w:rPr>
                <w:sz w:val="24"/>
                <w:szCs w:val="24"/>
              </w:rPr>
              <w:t>日。</w:t>
            </w:r>
          </w:p>
          <w:p>
            <w:pPr>
              <w:ind w:firstLine="480"/>
              <w:rPr>
                <w:sz w:val="24"/>
                <w:szCs w:val="24"/>
              </w:rPr>
            </w:pPr>
            <w:r>
              <w:rPr>
                <w:rFonts w:hint="eastAsia" w:ascii="宋体" w:hAnsi="宋体" w:cs="宋体"/>
                <w:sz w:val="24"/>
                <w:szCs w:val="24"/>
              </w:rPr>
              <w:t>①</w:t>
            </w:r>
            <w:r>
              <w:rPr>
                <w:sz w:val="24"/>
                <w:szCs w:val="24"/>
              </w:rPr>
              <w:t>监测点位基本信息</w:t>
            </w:r>
          </w:p>
          <w:p>
            <w:pPr>
              <w:pStyle w:val="34"/>
              <w:ind w:firstLine="482"/>
              <w:rPr>
                <w:b/>
                <w:kern w:val="0"/>
                <w:sz w:val="24"/>
              </w:rPr>
            </w:pPr>
            <w:r>
              <w:rPr>
                <w:b/>
                <w:sz w:val="24"/>
              </w:rPr>
              <w:t>表3-</w:t>
            </w:r>
            <w:r>
              <w:rPr>
                <w:rFonts w:hint="eastAsia"/>
                <w:b/>
                <w:sz w:val="24"/>
              </w:rPr>
              <w:t>8</w:t>
            </w:r>
            <w:r>
              <w:rPr>
                <w:b/>
                <w:sz w:val="24"/>
              </w:rPr>
              <w:t xml:space="preserve">  监测点位基本信息表</w:t>
            </w:r>
          </w:p>
          <w:tbl>
            <w:tblPr>
              <w:tblStyle w:val="21"/>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3296"/>
              <w:gridCol w:w="3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27"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序号</w:t>
                  </w:r>
                </w:p>
              </w:tc>
              <w:tc>
                <w:tcPr>
                  <w:tcW w:w="3296"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监测点位置</w:t>
                  </w:r>
                </w:p>
              </w:tc>
              <w:tc>
                <w:tcPr>
                  <w:tcW w:w="3677"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27"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1</w:t>
                  </w:r>
                </w:p>
              </w:tc>
              <w:tc>
                <w:tcPr>
                  <w:tcW w:w="3296" w:type="dxa"/>
                  <w:tcBorders>
                    <w:top w:val="single" w:color="auto" w:sz="4" w:space="0"/>
                    <w:left w:val="single" w:color="auto" w:sz="4" w:space="0"/>
                    <w:right w:val="single" w:color="auto" w:sz="4" w:space="0"/>
                  </w:tcBorders>
                  <w:vAlign w:val="center"/>
                </w:tcPr>
                <w:p>
                  <w:pPr>
                    <w:pStyle w:val="34"/>
                    <w:rPr>
                      <w:sz w:val="24"/>
                    </w:rPr>
                  </w:pPr>
                  <w:r>
                    <w:rPr>
                      <w:rFonts w:hint="eastAsia"/>
                      <w:sz w:val="24"/>
                    </w:rPr>
                    <w:t>厂区</w:t>
                  </w:r>
                  <w:r>
                    <w:rPr>
                      <w:sz w:val="24"/>
                    </w:rPr>
                    <w:t>空地</w:t>
                  </w:r>
                </w:p>
              </w:tc>
              <w:tc>
                <w:tcPr>
                  <w:tcW w:w="3677" w:type="dxa"/>
                  <w:tcBorders>
                    <w:top w:val="single" w:color="auto" w:sz="4" w:space="0"/>
                    <w:left w:val="single" w:color="auto" w:sz="4" w:space="0"/>
                    <w:right w:val="single" w:color="auto" w:sz="4" w:space="0"/>
                  </w:tcBorders>
                  <w:vAlign w:val="center"/>
                </w:tcPr>
                <w:p>
                  <w:pPr>
                    <w:pStyle w:val="34"/>
                    <w:rPr>
                      <w:sz w:val="24"/>
                    </w:rPr>
                  </w:pPr>
                  <w:r>
                    <w:rPr>
                      <w:rFonts w:hint="eastAsia"/>
                      <w:sz w:val="24"/>
                    </w:rPr>
                    <w:t>建设项目基本45项及石油烃</w:t>
                  </w:r>
                </w:p>
              </w:tc>
            </w:tr>
          </w:tbl>
          <w:p>
            <w:pPr>
              <w:ind w:firstLine="480"/>
              <w:rPr>
                <w:sz w:val="24"/>
                <w:szCs w:val="24"/>
              </w:rPr>
            </w:pPr>
            <w:r>
              <w:rPr>
                <w:rFonts w:hint="eastAsia" w:ascii="宋体" w:hAnsi="宋体" w:cs="宋体"/>
                <w:sz w:val="24"/>
                <w:szCs w:val="24"/>
              </w:rPr>
              <w:t>②</w:t>
            </w:r>
            <w:r>
              <w:rPr>
                <w:sz w:val="24"/>
                <w:szCs w:val="24"/>
              </w:rPr>
              <w:t>分析方法</w:t>
            </w:r>
          </w:p>
          <w:p>
            <w:pPr>
              <w:ind w:firstLine="480"/>
              <w:rPr>
                <w:sz w:val="24"/>
                <w:szCs w:val="24"/>
              </w:rPr>
            </w:pPr>
          </w:p>
          <w:p>
            <w:pPr>
              <w:ind w:firstLine="480"/>
              <w:rPr>
                <w:sz w:val="24"/>
                <w:szCs w:val="24"/>
              </w:rPr>
            </w:pPr>
          </w:p>
          <w:p>
            <w:pPr>
              <w:ind w:firstLine="480"/>
              <w:rPr>
                <w:sz w:val="24"/>
                <w:szCs w:val="24"/>
              </w:rPr>
            </w:pPr>
          </w:p>
          <w:p>
            <w:pPr>
              <w:pStyle w:val="34"/>
              <w:ind w:firstLine="482"/>
              <w:rPr>
                <w:b/>
                <w:kern w:val="0"/>
                <w:sz w:val="24"/>
              </w:rPr>
            </w:pPr>
            <w:r>
              <w:rPr>
                <w:b/>
                <w:sz w:val="24"/>
              </w:rPr>
              <w:t>表3-</w:t>
            </w:r>
            <w:r>
              <w:rPr>
                <w:rFonts w:hint="eastAsia"/>
                <w:b/>
                <w:sz w:val="24"/>
              </w:rPr>
              <w:t>9</w:t>
            </w:r>
            <w:r>
              <w:rPr>
                <w:b/>
                <w:sz w:val="24"/>
              </w:rPr>
              <w:t xml:space="preserve">  土壤因子监测方法</w:t>
            </w:r>
          </w:p>
          <w:tbl>
            <w:tblPr>
              <w:tblStyle w:val="21"/>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2"/>
              <w:gridCol w:w="2645"/>
              <w:gridCol w:w="2283"/>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trPr>
              <w:tc>
                <w:tcPr>
                  <w:tcW w:w="1902"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项目</w:t>
                  </w:r>
                </w:p>
              </w:tc>
              <w:tc>
                <w:tcPr>
                  <w:tcW w:w="2645"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检测方法/依据</w:t>
                  </w:r>
                </w:p>
              </w:tc>
              <w:tc>
                <w:tcPr>
                  <w:tcW w:w="2283"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仪器设备名称编号</w:t>
                  </w:r>
                </w:p>
                <w:p>
                  <w:pPr>
                    <w:pStyle w:val="34"/>
                    <w:rPr>
                      <w:b/>
                      <w:sz w:val="24"/>
                    </w:rPr>
                  </w:pPr>
                  <w:r>
                    <w:rPr>
                      <w:b/>
                      <w:sz w:val="24"/>
                    </w:rPr>
                    <w:t>及检定有效期</w:t>
                  </w:r>
                </w:p>
              </w:tc>
              <w:tc>
                <w:tcPr>
                  <w:tcW w:w="1370"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r>
                    <w:rPr>
                      <w:sz w:val="24"/>
                      <w:szCs w:val="24"/>
                    </w:rPr>
                    <w:t>砷</w:t>
                  </w:r>
                </w:p>
              </w:tc>
              <w:tc>
                <w:tcPr>
                  <w:tcW w:w="2645" w:type="dxa"/>
                  <w:vMerge w:val="restart"/>
                  <w:tcBorders>
                    <w:top w:val="single" w:color="auto" w:sz="4" w:space="0"/>
                    <w:left w:val="single" w:color="auto" w:sz="4" w:space="0"/>
                    <w:right w:val="single" w:color="auto" w:sz="4" w:space="0"/>
                  </w:tcBorders>
                  <w:vAlign w:val="center"/>
                </w:tcPr>
                <w:p>
                  <w:pPr>
                    <w:tabs>
                      <w:tab w:val="left" w:pos="7020"/>
                    </w:tabs>
                    <w:spacing w:line="240" w:lineRule="auto"/>
                    <w:ind w:firstLine="0" w:firstLineChars="0"/>
                    <w:jc w:val="center"/>
                    <w:rPr>
                      <w:sz w:val="24"/>
                      <w:szCs w:val="24"/>
                    </w:rPr>
                  </w:pPr>
                  <w:r>
                    <w:rPr>
                      <w:rFonts w:hint="eastAsia"/>
                      <w:sz w:val="24"/>
                      <w:szCs w:val="24"/>
                    </w:rPr>
                    <w:t>HJ 680-2013 土壤和沉积物 汞、砷、硒、铋、锑的测定 微波消解/原子荧光法</w:t>
                  </w:r>
                </w:p>
              </w:tc>
              <w:tc>
                <w:tcPr>
                  <w:tcW w:w="2283" w:type="dxa"/>
                  <w:vMerge w:val="restart"/>
                  <w:tcBorders>
                    <w:top w:val="single" w:color="auto" w:sz="4" w:space="0"/>
                    <w:left w:val="single" w:color="auto" w:sz="4" w:space="0"/>
                    <w:right w:val="single" w:color="auto" w:sz="4" w:space="0"/>
                  </w:tcBorders>
                  <w:vAlign w:val="center"/>
                </w:tcPr>
                <w:p>
                  <w:pPr>
                    <w:tabs>
                      <w:tab w:val="left" w:pos="7020"/>
                    </w:tabs>
                    <w:spacing w:line="240" w:lineRule="auto"/>
                    <w:ind w:firstLine="0" w:firstLineChars="0"/>
                    <w:jc w:val="center"/>
                    <w:rPr>
                      <w:sz w:val="24"/>
                      <w:szCs w:val="24"/>
                    </w:rPr>
                  </w:pPr>
                  <w:r>
                    <w:rPr>
                      <w:sz w:val="24"/>
                      <w:szCs w:val="24"/>
                    </w:rPr>
                    <w:t>BAF-2000型</w:t>
                  </w:r>
                </w:p>
                <w:p>
                  <w:pPr>
                    <w:pStyle w:val="12"/>
                    <w:adjustRightInd w:val="0"/>
                    <w:snapToGrid w:val="0"/>
                    <w:rPr>
                      <w:b w:val="0"/>
                      <w:w w:val="100"/>
                      <w:kern w:val="0"/>
                      <w:sz w:val="24"/>
                      <w:szCs w:val="24"/>
                    </w:rPr>
                  </w:pPr>
                  <w:r>
                    <w:rPr>
                      <w:b w:val="0"/>
                      <w:w w:val="100"/>
                      <w:kern w:val="0"/>
                      <w:sz w:val="24"/>
                      <w:szCs w:val="24"/>
                    </w:rPr>
                    <w:t>原子荧光光度计YQ-163</w:t>
                  </w: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r>
                    <w:rPr>
                      <w:sz w:val="24"/>
                      <w:szCs w:val="24"/>
                    </w:rPr>
                    <w:t>汞</w:t>
                  </w:r>
                </w:p>
              </w:tc>
              <w:tc>
                <w:tcPr>
                  <w:tcW w:w="2645" w:type="dxa"/>
                  <w:vMerge w:val="continue"/>
                  <w:tcBorders>
                    <w:left w:val="single" w:color="auto" w:sz="4" w:space="0"/>
                    <w:right w:val="single" w:color="auto" w:sz="4" w:space="0"/>
                  </w:tcBorders>
                  <w:vAlign w:val="center"/>
                </w:tcPr>
                <w:p>
                  <w:pPr>
                    <w:pStyle w:val="34"/>
                    <w:rPr>
                      <w:kern w:val="0"/>
                      <w:sz w:val="24"/>
                    </w:rPr>
                  </w:pPr>
                </w:p>
              </w:tc>
              <w:tc>
                <w:tcPr>
                  <w:tcW w:w="2283" w:type="dxa"/>
                  <w:vMerge w:val="continue"/>
                  <w:tcBorders>
                    <w:left w:val="single" w:color="auto" w:sz="4" w:space="0"/>
                    <w:right w:val="single" w:color="auto" w:sz="4" w:space="0"/>
                  </w:tcBorders>
                  <w:vAlign w:val="center"/>
                </w:tcPr>
                <w:p>
                  <w:pPr>
                    <w:pStyle w:val="34"/>
                    <w:rPr>
                      <w:kern w:val="0"/>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0.002mg/kg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r>
                    <w:rPr>
                      <w:sz w:val="24"/>
                      <w:szCs w:val="24"/>
                    </w:rPr>
                    <w:t>铜</w:t>
                  </w:r>
                </w:p>
              </w:tc>
              <w:tc>
                <w:tcPr>
                  <w:tcW w:w="2645" w:type="dxa"/>
                  <w:vMerge w:val="restart"/>
                  <w:tcBorders>
                    <w:left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rPr>
                  </w:pPr>
                  <w:r>
                    <w:rPr>
                      <w:rFonts w:hint="eastAsia"/>
                      <w:spacing w:val="-3"/>
                      <w:sz w:val="24"/>
                      <w:szCs w:val="24"/>
                    </w:rPr>
                    <w:t>HJ 491-2019 土壤和沉积物 铜、锌、铅、镍、铬的测定 火焰原子吸收分光光度法</w:t>
                  </w:r>
                </w:p>
              </w:tc>
              <w:tc>
                <w:tcPr>
                  <w:tcW w:w="2283" w:type="dxa"/>
                  <w:vMerge w:val="restart"/>
                  <w:tcBorders>
                    <w:left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TAS-99</w:t>
                  </w:r>
                  <w:r>
                    <w:rPr>
                      <w:rFonts w:hint="eastAsia"/>
                      <w:sz w:val="24"/>
                      <w:szCs w:val="24"/>
                    </w:rPr>
                    <w:t>0</w:t>
                  </w:r>
                  <w:r>
                    <w:rPr>
                      <w:sz w:val="24"/>
                      <w:szCs w:val="24"/>
                    </w:rPr>
                    <w:t>型</w:t>
                  </w:r>
                </w:p>
                <w:p>
                  <w:pPr>
                    <w:pStyle w:val="34"/>
                    <w:rPr>
                      <w:sz w:val="24"/>
                    </w:rPr>
                  </w:pPr>
                  <w:r>
                    <w:rPr>
                      <w:sz w:val="24"/>
                    </w:rPr>
                    <w:t>原子吸收分光光度计 YQ-288</w:t>
                  </w:r>
                </w:p>
              </w:tc>
              <w:tc>
                <w:tcPr>
                  <w:tcW w:w="1370"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rPr>
                  </w:pPr>
                  <w:r>
                    <w:rPr>
                      <w:rFonts w:hint="eastAsia"/>
                      <w:kern w:val="2"/>
                      <w:sz w:val="24"/>
                      <w:szCs w:val="24"/>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r>
                    <w:rPr>
                      <w:sz w:val="24"/>
                      <w:szCs w:val="24"/>
                    </w:rPr>
                    <w:t>镍</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rPr>
                  </w:pPr>
                  <w:r>
                    <w:rPr>
                      <w:rFonts w:hint="eastAsia"/>
                      <w:kern w:val="2"/>
                      <w:sz w:val="24"/>
                      <w:szCs w:val="24"/>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r>
                    <w:rPr>
                      <w:sz w:val="24"/>
                      <w:szCs w:val="24"/>
                    </w:rPr>
                    <w:t>铅</w:t>
                  </w:r>
                </w:p>
              </w:tc>
              <w:tc>
                <w:tcPr>
                  <w:tcW w:w="2645" w:type="dxa"/>
                  <w:vMerge w:val="restart"/>
                  <w:tcBorders>
                    <w:left w:val="single" w:color="auto" w:sz="4" w:space="0"/>
                    <w:right w:val="single" w:color="auto" w:sz="4" w:space="0"/>
                  </w:tcBorders>
                  <w:vAlign w:val="center"/>
                </w:tcPr>
                <w:p>
                  <w:pPr>
                    <w:spacing w:line="240" w:lineRule="auto"/>
                    <w:ind w:firstLine="0" w:firstLineChars="0"/>
                    <w:jc w:val="center"/>
                    <w:rPr>
                      <w:sz w:val="24"/>
                      <w:szCs w:val="24"/>
                    </w:rPr>
                  </w:pPr>
                  <w:r>
                    <w:rPr>
                      <w:rFonts w:hint="eastAsia"/>
                      <w:spacing w:val="-3"/>
                      <w:sz w:val="24"/>
                      <w:szCs w:val="24"/>
                    </w:rPr>
                    <w:t>GB/T 17141-1997土壤质量 铅、镉的测定 石墨炉原子吸收分光光度法</w:t>
                  </w: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rPr>
                  </w:pPr>
                  <w:r>
                    <w:rPr>
                      <w:rFonts w:hint="eastAsia"/>
                      <w:kern w:val="2"/>
                      <w:sz w:val="24"/>
                      <w:szCs w:val="24"/>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rPr>
                  </w:pPr>
                  <w:r>
                    <w:rPr>
                      <w:sz w:val="24"/>
                      <w:szCs w:val="24"/>
                    </w:rPr>
                    <w:t>镉</w:t>
                  </w:r>
                </w:p>
              </w:tc>
              <w:tc>
                <w:tcPr>
                  <w:tcW w:w="2645"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bCs/>
                      <w:kern w:val="2"/>
                      <w:sz w:val="24"/>
                      <w:szCs w:val="24"/>
                      <w:lang w:val="zh-TW" w:eastAsia="zh-TW"/>
                    </w:rPr>
                  </w:pPr>
                </w:p>
              </w:tc>
              <w:tc>
                <w:tcPr>
                  <w:tcW w:w="2283" w:type="dxa"/>
                  <w:vMerge w:val="continue"/>
                  <w:tcBorders>
                    <w:left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p>
              </w:tc>
              <w:tc>
                <w:tcPr>
                  <w:tcW w:w="1370"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rPr>
                  </w:pPr>
                  <w:r>
                    <w:rPr>
                      <w:rFonts w:hint="eastAsia"/>
                      <w:kern w:val="2"/>
                      <w:sz w:val="24"/>
                      <w:szCs w:val="24"/>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铬（六价）</w:t>
                  </w:r>
                </w:p>
              </w:tc>
              <w:tc>
                <w:tcPr>
                  <w:tcW w:w="264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lang w:val="zh-TW" w:eastAsia="zh-TW"/>
                    </w:rPr>
                    <w:t>HJ 1082-2019土壤和沉积物 六价铬的测定 碱溶液提取一火焰原子吸收分光光度法</w:t>
                  </w:r>
                </w:p>
              </w:tc>
              <w:tc>
                <w:tcPr>
                  <w:tcW w:w="2283"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四氯化碳</w:t>
                  </w:r>
                </w:p>
              </w:tc>
              <w:tc>
                <w:tcPr>
                  <w:tcW w:w="2645" w:type="dxa"/>
                  <w:vMerge w:val="restart"/>
                  <w:tcBorders>
                    <w:top w:val="single" w:color="auto" w:sz="4" w:space="0"/>
                    <w:left w:val="single" w:color="auto" w:sz="4" w:space="0"/>
                    <w:right w:val="single" w:color="auto" w:sz="4" w:space="0"/>
                  </w:tcBorders>
                  <w:vAlign w:val="center"/>
                </w:tcPr>
                <w:p>
                  <w:pPr>
                    <w:pStyle w:val="34"/>
                    <w:rPr>
                      <w:sz w:val="24"/>
                    </w:rPr>
                  </w:pPr>
                  <w:r>
                    <w:rPr>
                      <w:sz w:val="24"/>
                      <w:lang w:val="zh-TW" w:eastAsia="zh-TW"/>
                    </w:rPr>
                    <w:t>HJ 736-2015土壤和沉积物 挥发性卤代烃的测定 顶空/气相色谱-质谱法</w:t>
                  </w:r>
                </w:p>
              </w:tc>
              <w:tc>
                <w:tcPr>
                  <w:tcW w:w="2283"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6890NG5973AMSD型</w:t>
                  </w:r>
                </w:p>
                <w:p>
                  <w:pPr>
                    <w:pStyle w:val="34"/>
                    <w:rPr>
                      <w:sz w:val="24"/>
                    </w:rPr>
                  </w:pPr>
                  <w:r>
                    <w:rPr>
                      <w:sz w:val="24"/>
                    </w:rPr>
                    <w:t>气相-质谱联用仪 YQ-024</w:t>
                  </w: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氯仿</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氯甲烷</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1,1-二氯乙烷</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1,2-二氯乙烷</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1,1-二氯乙烯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顺-1,2-二氯乙烯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反-1,2-二氯乙烯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二氯甲烷</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1,2-二氯丙烷</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rPr>
                  </w:pPr>
                  <w:r>
                    <w:rPr>
                      <w:sz w:val="24"/>
                      <w:szCs w:val="24"/>
                    </w:rPr>
                    <w:t>1,1,1,2-四氯乙烷</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1,1,2,2-四氯乙烷</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四氯乙烯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1,1,1-三氯乙烷</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1,1,2-三氯乙烷</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三氯乙烯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1,2,3-三氯丙烷</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氯乙烯</w:t>
                  </w:r>
                </w:p>
              </w:tc>
              <w:tc>
                <w:tcPr>
                  <w:tcW w:w="2645" w:type="dxa"/>
                  <w:vMerge w:val="continue"/>
                  <w:tcBorders>
                    <w:left w:val="single" w:color="auto" w:sz="4" w:space="0"/>
                    <w:bottom w:val="single" w:color="auto" w:sz="4" w:space="0"/>
                    <w:right w:val="single" w:color="auto" w:sz="4" w:space="0"/>
                  </w:tcBorders>
                  <w:vAlign w:val="center"/>
                </w:tcPr>
                <w:p>
                  <w:pPr>
                    <w:pStyle w:val="34"/>
                    <w:rPr>
                      <w:sz w:val="24"/>
                    </w:rPr>
                  </w:pPr>
                </w:p>
              </w:tc>
              <w:tc>
                <w:tcPr>
                  <w:tcW w:w="2283" w:type="dxa"/>
                  <w:vMerge w:val="continue"/>
                  <w:tcBorders>
                    <w:left w:val="single" w:color="auto" w:sz="4" w:space="0"/>
                    <w:bottom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苯</w:t>
                  </w:r>
                </w:p>
              </w:tc>
              <w:tc>
                <w:tcPr>
                  <w:tcW w:w="2645" w:type="dxa"/>
                  <w:vMerge w:val="restart"/>
                  <w:tcBorders>
                    <w:top w:val="single" w:color="auto" w:sz="4" w:space="0"/>
                    <w:left w:val="single" w:color="auto" w:sz="4" w:space="0"/>
                    <w:right w:val="single" w:color="auto" w:sz="4" w:space="0"/>
                  </w:tcBorders>
                  <w:vAlign w:val="center"/>
                </w:tcPr>
                <w:p>
                  <w:pPr>
                    <w:pStyle w:val="34"/>
                    <w:rPr>
                      <w:sz w:val="24"/>
                    </w:rPr>
                  </w:pPr>
                  <w:r>
                    <w:rPr>
                      <w:sz w:val="24"/>
                      <w:lang w:val="zh-TW" w:eastAsia="zh-TW"/>
                    </w:rPr>
                    <w:t>HJ 742-2015土壤和沉积物 挥发性芳香烃的测定 顶空/气相色谱法</w:t>
                  </w:r>
                </w:p>
              </w:tc>
              <w:tc>
                <w:tcPr>
                  <w:tcW w:w="2283"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CP-3800型</w:t>
                  </w:r>
                </w:p>
                <w:p>
                  <w:pPr>
                    <w:spacing w:line="240" w:lineRule="auto"/>
                    <w:ind w:firstLine="0" w:firstLineChars="0"/>
                    <w:jc w:val="center"/>
                    <w:rPr>
                      <w:sz w:val="24"/>
                      <w:szCs w:val="24"/>
                    </w:rPr>
                  </w:pPr>
                  <w:r>
                    <w:rPr>
                      <w:sz w:val="24"/>
                      <w:szCs w:val="24"/>
                    </w:rPr>
                    <w:t>气相色谱仪 YQ-011</w:t>
                  </w:r>
                </w:p>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3.1μg/kg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氯苯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3.9μg/kg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1,2-二氯苯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3.6μg/kg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1,4-二氯苯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4.3μg/kg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乙苯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4.6μg/kg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苯乙烯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甲苯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3.2μg/kg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间-二甲苯+对-二甲苯</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4.4μg/kg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邻-二甲苯</w:t>
                  </w:r>
                </w:p>
              </w:tc>
              <w:tc>
                <w:tcPr>
                  <w:tcW w:w="2645" w:type="dxa"/>
                  <w:vMerge w:val="continue"/>
                  <w:tcBorders>
                    <w:left w:val="single" w:color="auto" w:sz="4" w:space="0"/>
                    <w:bottom w:val="single" w:color="auto" w:sz="4" w:space="0"/>
                    <w:right w:val="single" w:color="auto" w:sz="4" w:space="0"/>
                  </w:tcBorders>
                  <w:vAlign w:val="center"/>
                </w:tcPr>
                <w:p>
                  <w:pPr>
                    <w:pStyle w:val="34"/>
                    <w:rPr>
                      <w:sz w:val="24"/>
                    </w:rPr>
                  </w:pPr>
                </w:p>
              </w:tc>
              <w:tc>
                <w:tcPr>
                  <w:tcW w:w="2283" w:type="dxa"/>
                  <w:vMerge w:val="continue"/>
                  <w:tcBorders>
                    <w:left w:val="single" w:color="auto" w:sz="4" w:space="0"/>
                    <w:bottom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4.7μg/kg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硝基苯</w:t>
                  </w:r>
                </w:p>
              </w:tc>
              <w:tc>
                <w:tcPr>
                  <w:tcW w:w="2645" w:type="dxa"/>
                  <w:vMerge w:val="restart"/>
                  <w:tcBorders>
                    <w:top w:val="single" w:color="auto" w:sz="4" w:space="0"/>
                    <w:left w:val="single" w:color="auto" w:sz="4" w:space="0"/>
                    <w:right w:val="single" w:color="auto" w:sz="4" w:space="0"/>
                  </w:tcBorders>
                  <w:vAlign w:val="center"/>
                </w:tcPr>
                <w:p>
                  <w:pPr>
                    <w:pStyle w:val="34"/>
                    <w:rPr>
                      <w:sz w:val="24"/>
                    </w:rPr>
                  </w:pPr>
                  <w:r>
                    <w:rPr>
                      <w:sz w:val="24"/>
                      <w:lang w:val="zh-TW" w:eastAsia="zh-TW"/>
                    </w:rPr>
                    <w:t>HJ 834-2017土壤和沉积物 半挥发性有机物的测定 气相色谱-质谱法</w:t>
                  </w:r>
                </w:p>
              </w:tc>
              <w:tc>
                <w:tcPr>
                  <w:tcW w:w="2283"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6890N/G5973AMSD型</w:t>
                  </w:r>
                </w:p>
                <w:p>
                  <w:pPr>
                    <w:pStyle w:val="34"/>
                    <w:rPr>
                      <w:sz w:val="24"/>
                    </w:rPr>
                  </w:pPr>
                  <w:r>
                    <w:rPr>
                      <w:sz w:val="24"/>
                    </w:rPr>
                    <w:t>气相-质谱联用仪 YQ-024</w:t>
                  </w: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苯胺</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0.10mg/kg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2-氯</w:t>
                  </w:r>
                  <w:r>
                    <w:rPr>
                      <w:rFonts w:hint="eastAsia"/>
                      <w:sz w:val="24"/>
                      <w:szCs w:val="24"/>
                    </w:rPr>
                    <w:t>苯</w:t>
                  </w:r>
                  <w:r>
                    <w:rPr>
                      <w:sz w:val="24"/>
                      <w:szCs w:val="24"/>
                    </w:rPr>
                    <w:t>酚</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kern w:val="2"/>
                      <w:sz w:val="24"/>
                      <w:szCs w:val="24"/>
                    </w:rPr>
                  </w:pPr>
                  <w:r>
                    <w:rPr>
                      <w:sz w:val="24"/>
                      <w:szCs w:val="24"/>
                    </w:rPr>
                    <w:t>0.06mg/kg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苯并[a]芘</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苯并[a]蒽</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苯并[b]荧蒽</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苯并[k]荧蒽</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䓛</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二苯并[a，h]蒽</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茚并[1,2，3-cd]芘</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lang w:val="zh-TW" w:eastAsia="zh-TW"/>
                    </w:rPr>
                  </w:pPr>
                  <w:r>
                    <w:rPr>
                      <w:sz w:val="24"/>
                      <w:szCs w:val="24"/>
                    </w:rPr>
                    <w:t>萘</w:t>
                  </w:r>
                </w:p>
              </w:tc>
              <w:tc>
                <w:tcPr>
                  <w:tcW w:w="2645" w:type="dxa"/>
                  <w:vMerge w:val="continue"/>
                  <w:tcBorders>
                    <w:left w:val="single" w:color="auto" w:sz="4" w:space="0"/>
                    <w:right w:val="single" w:color="auto" w:sz="4" w:space="0"/>
                  </w:tcBorders>
                  <w:vAlign w:val="center"/>
                </w:tcPr>
                <w:p>
                  <w:pPr>
                    <w:pStyle w:val="34"/>
                    <w:rPr>
                      <w:sz w:val="24"/>
                    </w:rPr>
                  </w:pPr>
                </w:p>
              </w:tc>
              <w:tc>
                <w:tcPr>
                  <w:tcW w:w="2283" w:type="dxa"/>
                  <w:vMerge w:val="continue"/>
                  <w:tcBorders>
                    <w:left w:val="single" w:color="auto" w:sz="4" w:space="0"/>
                    <w:right w:val="single" w:color="auto" w:sz="4" w:space="0"/>
                  </w:tcBorders>
                  <w:vAlign w:val="center"/>
                </w:tcPr>
                <w:p>
                  <w:pPr>
                    <w:pStyle w:val="34"/>
                    <w:rPr>
                      <w:sz w:val="24"/>
                    </w:rPr>
                  </w:pP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石油烃</w:t>
                  </w:r>
                </w:p>
              </w:tc>
              <w:tc>
                <w:tcPr>
                  <w:tcW w:w="2645" w:type="dxa"/>
                  <w:tcBorders>
                    <w:left w:val="single" w:color="auto" w:sz="4" w:space="0"/>
                    <w:bottom w:val="single" w:color="auto" w:sz="4" w:space="0"/>
                    <w:right w:val="single" w:color="auto" w:sz="4" w:space="0"/>
                  </w:tcBorders>
                  <w:vAlign w:val="center"/>
                </w:tcPr>
                <w:p>
                  <w:pPr>
                    <w:pStyle w:val="34"/>
                    <w:rPr>
                      <w:sz w:val="24"/>
                    </w:rPr>
                  </w:pPr>
                  <w:r>
                    <w:rPr>
                      <w:rFonts w:hint="eastAsia"/>
                      <w:sz w:val="24"/>
                    </w:rPr>
                    <w:t>HJ 1021-2019土壤和沉积物 石油烃（C10-C40）的测定 气相色谱法（发布稿）</w:t>
                  </w:r>
                </w:p>
              </w:tc>
              <w:tc>
                <w:tcPr>
                  <w:tcW w:w="2283" w:type="dxa"/>
                  <w:tcBorders>
                    <w:left w:val="single" w:color="auto" w:sz="4" w:space="0"/>
                    <w:bottom w:val="single" w:color="auto" w:sz="4" w:space="0"/>
                    <w:right w:val="single" w:color="auto" w:sz="4" w:space="0"/>
                  </w:tcBorders>
                  <w:vAlign w:val="center"/>
                </w:tcPr>
                <w:p>
                  <w:pPr>
                    <w:pStyle w:val="34"/>
                    <w:rPr>
                      <w:sz w:val="24"/>
                    </w:rPr>
                  </w:pPr>
                  <w:r>
                    <w:rPr>
                      <w:rFonts w:hint="eastAsia"/>
                      <w:sz w:val="24"/>
                    </w:rPr>
                    <w:t>CP-3800型</w:t>
                  </w:r>
                </w:p>
                <w:p>
                  <w:pPr>
                    <w:pStyle w:val="34"/>
                    <w:rPr>
                      <w:sz w:val="24"/>
                    </w:rPr>
                  </w:pPr>
                  <w:r>
                    <w:rPr>
                      <w:rFonts w:hint="eastAsia"/>
                      <w:sz w:val="24"/>
                    </w:rPr>
                    <w:t>气相色谱仪 YQ-011</w:t>
                  </w:r>
                </w:p>
              </w:tc>
              <w:tc>
                <w:tcPr>
                  <w:tcW w:w="137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6mg/kg</w:t>
                  </w:r>
                </w:p>
              </w:tc>
            </w:tr>
          </w:tbl>
          <w:p>
            <w:pPr>
              <w:ind w:firstLine="480"/>
              <w:rPr>
                <w:sz w:val="24"/>
                <w:szCs w:val="24"/>
              </w:rPr>
            </w:pPr>
            <w:r>
              <w:rPr>
                <w:rFonts w:hint="eastAsia"/>
                <w:sz w:val="24"/>
                <w:szCs w:val="24"/>
              </w:rPr>
              <w:t>③检测</w:t>
            </w:r>
            <w:r>
              <w:rPr>
                <w:sz w:val="24"/>
                <w:szCs w:val="24"/>
              </w:rPr>
              <w:t>结果</w:t>
            </w:r>
          </w:p>
          <w:p>
            <w:pPr>
              <w:pStyle w:val="34"/>
              <w:ind w:firstLine="482"/>
              <w:rPr>
                <w:sz w:val="24"/>
              </w:rPr>
            </w:pPr>
            <w:r>
              <w:rPr>
                <w:b/>
                <w:sz w:val="24"/>
              </w:rPr>
              <w:t>表3-</w:t>
            </w:r>
            <w:r>
              <w:rPr>
                <w:rFonts w:hint="eastAsia"/>
                <w:b/>
                <w:sz w:val="24"/>
              </w:rPr>
              <w:t>10</w:t>
            </w:r>
            <w:r>
              <w:rPr>
                <w:b/>
                <w:sz w:val="24"/>
              </w:rPr>
              <w:t xml:space="preserve">  土壤环境质量检测结果</w:t>
            </w:r>
          </w:p>
          <w:tbl>
            <w:tblPr>
              <w:tblStyle w:val="21"/>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7"/>
              <w:gridCol w:w="3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07"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项目</w:t>
                  </w:r>
                </w:p>
              </w:tc>
              <w:tc>
                <w:tcPr>
                  <w:tcW w:w="3993"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rFonts w:hint="eastAsia"/>
                      <w:b/>
                      <w:sz w:val="24"/>
                    </w:rPr>
                    <w:t>检测</w:t>
                  </w:r>
                  <w:r>
                    <w:rPr>
                      <w:b/>
                      <w:sz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四氯化碳(μg/kg)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氯仿(μg/kg)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氯甲烷(μg/kg)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1,1-二氯乙烷(μg/kg)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1,2-二氯乙烷(μg/kg)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1,1-二氯乙烯(μg/kg)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顺-1,2-二氯乙烯(μg/kg)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反-1,2-二氯乙烯(μg/kg)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二氯甲烷(μg/kg)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1,2-二氯丙烷(μg/kg)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1,1,1,2-四氯乙烷(μg/kg)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1,1,2,2-四氯乙烷(μg/kg)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四氯乙烯(μg/kg)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1,1,1-三氯乙烷(μg/kg)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1,1,2-三氯乙烷(μg/kg)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三氯乙烯(μg/kg)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1,2,3-三氯丙烷(μg/kg)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氯乙烯(μg/kg)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氯苯(μg/kg)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1,2-二氯苯(μg/kg)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1,4-二氯苯(μg/kg)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kern w:val="2"/>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乙苯(μg/kg)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苯乙烯(μg/kg)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甲苯(μg/kg)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间-二甲苯+对-二甲苯(μg/kg)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邻-二甲苯(μg/kg)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硝基苯（mg/kg）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苯胺（mg/kg）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2-氯酚（mg/kg）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苯并[a]芘（mg/kg）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苯并[a]蒽（mg/kg）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苯并[b]荧蒽（mg/kg）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苯并[k]荧蒽（mg/kg）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䓛（mg/kg）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二苯并[a，h]蒽（mg/kg）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茚并[1,2，3-cd]芘（mg/kg）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萘（mg/kg）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r>
                    <w:rPr>
                      <w:sz w:val="24"/>
                      <w:szCs w:val="24"/>
                    </w:rPr>
                    <w:t>砷（mg/kg）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r>
                    <w:rPr>
                      <w:sz w:val="24"/>
                      <w:szCs w:val="24"/>
                    </w:rPr>
                    <w:t>镉（mg/kg）</w:t>
                  </w:r>
                </w:p>
              </w:tc>
              <w:tc>
                <w:tcPr>
                  <w:tcW w:w="3993" w:type="dxa"/>
                  <w:tcBorders>
                    <w:top w:val="single" w:color="auto" w:sz="4" w:space="0"/>
                    <w:left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r>
                    <w:rPr>
                      <w:sz w:val="24"/>
                      <w:szCs w:val="24"/>
                    </w:rPr>
                    <w:t>铜（mg/kg）</w:t>
                  </w:r>
                </w:p>
              </w:tc>
              <w:tc>
                <w:tcPr>
                  <w:tcW w:w="3993" w:type="dxa"/>
                  <w:tcBorders>
                    <w:top w:val="single" w:color="auto" w:sz="4" w:space="0"/>
                    <w:left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r>
                    <w:rPr>
                      <w:sz w:val="24"/>
                      <w:szCs w:val="24"/>
                    </w:rPr>
                    <w:t>铅（mg/kg）</w:t>
                  </w:r>
                </w:p>
              </w:tc>
              <w:tc>
                <w:tcPr>
                  <w:tcW w:w="3993" w:type="dxa"/>
                  <w:tcBorders>
                    <w:top w:val="single" w:color="auto" w:sz="4" w:space="0"/>
                    <w:left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lang w:val="zh-TW" w:eastAsia="zh-TW"/>
                    </w:rPr>
                  </w:pPr>
                  <w:r>
                    <w:rPr>
                      <w:sz w:val="24"/>
                      <w:szCs w:val="24"/>
                    </w:rPr>
                    <w:t>镍（mg/kg）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tabs>
                      <w:tab w:val="left" w:pos="7020"/>
                    </w:tabs>
                    <w:spacing w:line="240" w:lineRule="auto"/>
                    <w:ind w:firstLine="0" w:firstLineChars="0"/>
                    <w:jc w:val="center"/>
                    <w:rPr>
                      <w:kern w:val="2"/>
                      <w:sz w:val="24"/>
                      <w:szCs w:val="24"/>
                    </w:rPr>
                  </w:pPr>
                  <w:r>
                    <w:rPr>
                      <w:sz w:val="24"/>
                      <w:szCs w:val="24"/>
                    </w:rPr>
                    <w:t>汞（mg/kg）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rFonts w:hint="eastAsia"/>
                      <w:sz w:val="24"/>
                      <w:szCs w:val="24"/>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kern w:val="2"/>
                      <w:sz w:val="24"/>
                      <w:szCs w:val="24"/>
                    </w:rPr>
                  </w:pPr>
                  <w:r>
                    <w:rPr>
                      <w:sz w:val="24"/>
                      <w:szCs w:val="24"/>
                    </w:rPr>
                    <w:t>铬（六价）（mg/kg）</w:t>
                  </w:r>
                </w:p>
              </w:tc>
              <w:tc>
                <w:tcPr>
                  <w:tcW w:w="3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420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石油烃</w:t>
                  </w:r>
                  <w:r>
                    <w:rPr>
                      <w:rFonts w:hint="eastAsia"/>
                      <w:sz w:val="24"/>
                      <w:szCs w:val="24"/>
                    </w:rPr>
                    <w:t>（mg/kg）</w:t>
                  </w:r>
                </w:p>
              </w:tc>
              <w:tc>
                <w:tcPr>
                  <w:tcW w:w="3993" w:type="dxa"/>
                  <w:tcBorders>
                    <w:top w:val="single" w:color="auto" w:sz="4" w:space="0"/>
                    <w:left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10</w:t>
                  </w:r>
                </w:p>
              </w:tc>
            </w:tr>
          </w:tbl>
          <w:p>
            <w:pPr>
              <w:ind w:firstLine="480"/>
              <w:rPr>
                <w:sz w:val="24"/>
                <w:szCs w:val="24"/>
              </w:rPr>
            </w:pPr>
            <w:r>
              <w:rPr>
                <w:sz w:val="24"/>
                <w:szCs w:val="24"/>
              </w:rPr>
              <w:t>根据检测结果可知</w:t>
            </w:r>
            <w:r>
              <w:rPr>
                <w:rFonts w:hint="eastAsia"/>
                <w:sz w:val="24"/>
                <w:szCs w:val="24"/>
              </w:rPr>
              <w:t>，</w:t>
            </w:r>
            <w:r>
              <w:rPr>
                <w:sz w:val="24"/>
                <w:szCs w:val="24"/>
              </w:rPr>
              <w:t>本项目所在地土壤环境质量符合</w:t>
            </w:r>
            <w:r>
              <w:rPr>
                <w:rFonts w:hint="eastAsia"/>
                <w:sz w:val="24"/>
                <w:szCs w:val="24"/>
              </w:rPr>
              <w:t>《土壤环境质量 建设用地土壤污染风险管控标准（试行）》（GB36600-2018）中的限值要求，土壤环境质量状况良好。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vAlign w:val="center"/>
          </w:tcPr>
          <w:p>
            <w:pPr>
              <w:spacing w:line="276" w:lineRule="auto"/>
              <w:ind w:firstLine="0" w:firstLineChars="0"/>
              <w:jc w:val="center"/>
              <w:rPr>
                <w:sz w:val="24"/>
                <w:szCs w:val="24"/>
              </w:rPr>
            </w:pPr>
            <w:r>
              <w:rPr>
                <w:sz w:val="24"/>
                <w:szCs w:val="24"/>
              </w:rPr>
              <w:t>环境</w:t>
            </w:r>
          </w:p>
          <w:p>
            <w:pPr>
              <w:spacing w:line="276" w:lineRule="auto"/>
              <w:ind w:firstLine="0" w:firstLineChars="0"/>
              <w:jc w:val="center"/>
              <w:rPr>
                <w:sz w:val="24"/>
                <w:szCs w:val="24"/>
              </w:rPr>
            </w:pPr>
            <w:r>
              <w:rPr>
                <w:sz w:val="24"/>
                <w:szCs w:val="24"/>
              </w:rPr>
              <w:t>保护</w:t>
            </w:r>
          </w:p>
          <w:p>
            <w:pPr>
              <w:pStyle w:val="34"/>
              <w:rPr>
                <w:kern w:val="0"/>
                <w:sz w:val="24"/>
              </w:rPr>
            </w:pPr>
            <w:r>
              <w:rPr>
                <w:kern w:val="0"/>
                <w:sz w:val="24"/>
              </w:rPr>
              <w:t>目标</w:t>
            </w:r>
          </w:p>
        </w:tc>
        <w:tc>
          <w:tcPr>
            <w:tcW w:w="8426" w:type="dxa"/>
          </w:tcPr>
          <w:p>
            <w:pPr>
              <w:ind w:firstLine="480"/>
              <w:rPr>
                <w:sz w:val="24"/>
                <w:szCs w:val="24"/>
              </w:rPr>
            </w:pPr>
            <w:r>
              <w:rPr>
                <w:sz w:val="24"/>
                <w:szCs w:val="24"/>
              </w:rPr>
              <w:t>本项目位于</w:t>
            </w:r>
            <w:r>
              <w:rPr>
                <w:rFonts w:hint="eastAsia"/>
                <w:sz w:val="24"/>
                <w:szCs w:val="24"/>
              </w:rPr>
              <w:t>石泉县</w:t>
            </w:r>
            <w:r>
              <w:rPr>
                <w:sz w:val="24"/>
                <w:szCs w:val="24"/>
              </w:rPr>
              <w:t>城关镇丝银坝村二组，厂界外500m范围内无自然保护区</w:t>
            </w:r>
            <w:r>
              <w:rPr>
                <w:rFonts w:hint="eastAsia"/>
                <w:sz w:val="24"/>
                <w:szCs w:val="24"/>
              </w:rPr>
              <w:t>、</w:t>
            </w:r>
            <w:r>
              <w:rPr>
                <w:sz w:val="24"/>
                <w:szCs w:val="24"/>
              </w:rPr>
              <w:t>风景名胜区</w:t>
            </w:r>
            <w:r>
              <w:rPr>
                <w:rFonts w:hint="eastAsia"/>
                <w:sz w:val="24"/>
                <w:szCs w:val="24"/>
              </w:rPr>
              <w:t>。</w:t>
            </w:r>
            <w:r>
              <w:rPr>
                <w:sz w:val="24"/>
                <w:szCs w:val="24"/>
              </w:rPr>
              <w:t>厂界外50m范围内无声环境保护目标</w:t>
            </w:r>
            <w:r>
              <w:rPr>
                <w:rFonts w:hint="eastAsia"/>
                <w:sz w:val="24"/>
                <w:szCs w:val="24"/>
              </w:rPr>
              <w:t>。</w:t>
            </w:r>
            <w:r>
              <w:rPr>
                <w:sz w:val="24"/>
                <w:szCs w:val="24"/>
              </w:rPr>
              <w:t>厂界外</w:t>
            </w:r>
            <w:r>
              <w:rPr>
                <w:rFonts w:hint="eastAsia"/>
                <w:sz w:val="24"/>
                <w:szCs w:val="24"/>
              </w:rPr>
              <w:t>500m范围内无地下水集中式饮用水水源和热水、矿泉水、温泉等特殊地下水资源。</w:t>
            </w:r>
            <w:r>
              <w:rPr>
                <w:sz w:val="24"/>
                <w:szCs w:val="24"/>
              </w:rPr>
              <w:t xml:space="preserve"> 本项目不属于产业园区外建设的新增用地的项目</w:t>
            </w:r>
            <w:r>
              <w:rPr>
                <w:rFonts w:hint="eastAsia"/>
                <w:sz w:val="24"/>
                <w:szCs w:val="24"/>
              </w:rPr>
              <w:t>，</w:t>
            </w:r>
            <w:r>
              <w:rPr>
                <w:sz w:val="24"/>
                <w:szCs w:val="24"/>
              </w:rPr>
              <w:t>不涉及生态环境保护目标</w:t>
            </w:r>
            <w:r>
              <w:rPr>
                <w:rFonts w:hint="eastAsia"/>
                <w:sz w:val="24"/>
                <w:szCs w:val="24"/>
              </w:rPr>
              <w:t>。</w:t>
            </w:r>
          </w:p>
          <w:p>
            <w:pPr>
              <w:spacing w:line="240" w:lineRule="auto"/>
              <w:ind w:firstLine="482"/>
              <w:jc w:val="center"/>
              <w:rPr>
                <w:b/>
                <w:bCs/>
                <w:sz w:val="24"/>
              </w:rPr>
            </w:pPr>
            <w:r>
              <w:rPr>
                <w:b/>
                <w:bCs/>
                <w:sz w:val="24"/>
              </w:rPr>
              <w:t>表3</w:t>
            </w:r>
            <w:r>
              <w:rPr>
                <w:rFonts w:hint="eastAsia"/>
                <w:b/>
                <w:bCs/>
                <w:sz w:val="24"/>
              </w:rPr>
              <w:t>-11</w:t>
            </w:r>
            <w:r>
              <w:rPr>
                <w:b/>
                <w:bCs/>
                <w:sz w:val="24"/>
              </w:rPr>
              <w:t xml:space="preserve">  </w:t>
            </w:r>
            <w:r>
              <w:rPr>
                <w:rFonts w:hint="eastAsia"/>
                <w:b/>
                <w:bCs/>
                <w:sz w:val="24"/>
              </w:rPr>
              <w:t>环境保护</w:t>
            </w:r>
            <w:r>
              <w:rPr>
                <w:b/>
                <w:bCs/>
                <w:sz w:val="24"/>
              </w:rPr>
              <w:t>目标情况</w:t>
            </w:r>
          </w:p>
          <w:tbl>
            <w:tblPr>
              <w:tblStyle w:val="21"/>
              <w:tblW w:w="81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983"/>
              <w:gridCol w:w="1319"/>
              <w:gridCol w:w="1215"/>
              <w:gridCol w:w="651"/>
              <w:gridCol w:w="816"/>
              <w:gridCol w:w="749"/>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816" w:type="dxa"/>
                  <w:vMerge w:val="restart"/>
                  <w:shd w:val="pct10" w:color="auto" w:fill="auto"/>
                  <w:vAlign w:val="center"/>
                </w:tcPr>
                <w:p>
                  <w:pPr>
                    <w:spacing w:line="240" w:lineRule="auto"/>
                    <w:ind w:firstLine="0" w:firstLineChars="0"/>
                    <w:jc w:val="center"/>
                    <w:rPr>
                      <w:b/>
                      <w:szCs w:val="21"/>
                    </w:rPr>
                  </w:pPr>
                  <w:r>
                    <w:rPr>
                      <w:b/>
                      <w:szCs w:val="21"/>
                    </w:rPr>
                    <w:t>环境要素</w:t>
                  </w:r>
                </w:p>
              </w:tc>
              <w:tc>
                <w:tcPr>
                  <w:tcW w:w="983" w:type="dxa"/>
                  <w:vMerge w:val="restart"/>
                  <w:shd w:val="pct10" w:color="auto" w:fill="auto"/>
                  <w:vAlign w:val="center"/>
                </w:tcPr>
                <w:p>
                  <w:pPr>
                    <w:spacing w:line="240" w:lineRule="auto"/>
                    <w:ind w:firstLine="0" w:firstLineChars="0"/>
                    <w:jc w:val="center"/>
                    <w:rPr>
                      <w:b/>
                      <w:szCs w:val="21"/>
                    </w:rPr>
                  </w:pPr>
                  <w:r>
                    <w:rPr>
                      <w:b/>
                      <w:szCs w:val="21"/>
                    </w:rPr>
                    <w:t>名称</w:t>
                  </w:r>
                </w:p>
              </w:tc>
              <w:tc>
                <w:tcPr>
                  <w:tcW w:w="2534" w:type="dxa"/>
                  <w:gridSpan w:val="2"/>
                  <w:tcBorders>
                    <w:bottom w:val="single" w:color="auto" w:sz="4" w:space="0"/>
                  </w:tcBorders>
                  <w:shd w:val="pct10" w:color="auto" w:fill="auto"/>
                  <w:vAlign w:val="center"/>
                </w:tcPr>
                <w:p>
                  <w:pPr>
                    <w:spacing w:line="240" w:lineRule="auto"/>
                    <w:ind w:firstLine="0" w:firstLineChars="0"/>
                    <w:jc w:val="center"/>
                    <w:rPr>
                      <w:b/>
                      <w:szCs w:val="21"/>
                    </w:rPr>
                  </w:pPr>
                  <w:r>
                    <w:rPr>
                      <w:b/>
                      <w:szCs w:val="21"/>
                    </w:rPr>
                    <w:t>坐标/°</w:t>
                  </w:r>
                </w:p>
              </w:tc>
              <w:tc>
                <w:tcPr>
                  <w:tcW w:w="651" w:type="dxa"/>
                  <w:vMerge w:val="restart"/>
                  <w:shd w:val="pct10" w:color="auto" w:fill="auto"/>
                  <w:vAlign w:val="center"/>
                </w:tcPr>
                <w:p>
                  <w:pPr>
                    <w:spacing w:line="240" w:lineRule="auto"/>
                    <w:ind w:firstLine="0" w:firstLineChars="0"/>
                    <w:jc w:val="center"/>
                    <w:rPr>
                      <w:b/>
                      <w:szCs w:val="21"/>
                    </w:rPr>
                  </w:pPr>
                  <w:r>
                    <w:rPr>
                      <w:b/>
                      <w:szCs w:val="21"/>
                    </w:rPr>
                    <w:t>相对</w:t>
                  </w:r>
                  <w:r>
                    <w:rPr>
                      <w:rFonts w:hint="eastAsia"/>
                      <w:b/>
                      <w:szCs w:val="21"/>
                    </w:rPr>
                    <w:t>厂址</w:t>
                  </w:r>
                  <w:r>
                    <w:rPr>
                      <w:b/>
                      <w:szCs w:val="21"/>
                    </w:rPr>
                    <w:t>方位</w:t>
                  </w:r>
                </w:p>
              </w:tc>
              <w:tc>
                <w:tcPr>
                  <w:tcW w:w="816" w:type="dxa"/>
                  <w:vMerge w:val="restart"/>
                  <w:shd w:val="pct10" w:color="auto" w:fill="auto"/>
                  <w:vAlign w:val="center"/>
                </w:tcPr>
                <w:p>
                  <w:pPr>
                    <w:spacing w:line="240" w:lineRule="auto"/>
                    <w:ind w:firstLine="0" w:firstLineChars="0"/>
                    <w:jc w:val="center"/>
                    <w:rPr>
                      <w:b/>
                      <w:szCs w:val="21"/>
                    </w:rPr>
                  </w:pPr>
                  <w:r>
                    <w:rPr>
                      <w:b/>
                      <w:szCs w:val="21"/>
                    </w:rPr>
                    <w:t>相对</w:t>
                  </w:r>
                  <w:r>
                    <w:rPr>
                      <w:rFonts w:hint="eastAsia"/>
                      <w:b/>
                      <w:szCs w:val="21"/>
                    </w:rPr>
                    <w:t>厂界</w:t>
                  </w:r>
                  <w:r>
                    <w:rPr>
                      <w:b/>
                      <w:szCs w:val="21"/>
                    </w:rPr>
                    <w:t>距离/m</w:t>
                  </w:r>
                </w:p>
              </w:tc>
              <w:tc>
                <w:tcPr>
                  <w:tcW w:w="749" w:type="dxa"/>
                  <w:vMerge w:val="restart"/>
                  <w:shd w:val="pct10" w:color="auto" w:fill="auto"/>
                  <w:vAlign w:val="center"/>
                </w:tcPr>
                <w:p>
                  <w:pPr>
                    <w:spacing w:line="240" w:lineRule="auto"/>
                    <w:ind w:firstLine="0" w:firstLineChars="0"/>
                    <w:jc w:val="center"/>
                    <w:rPr>
                      <w:b/>
                      <w:szCs w:val="21"/>
                    </w:rPr>
                  </w:pPr>
                  <w:r>
                    <w:rPr>
                      <w:rFonts w:hint="eastAsia"/>
                      <w:b/>
                      <w:szCs w:val="21"/>
                    </w:rPr>
                    <w:t>人数</w:t>
                  </w:r>
                </w:p>
                <w:p>
                  <w:pPr>
                    <w:spacing w:line="240" w:lineRule="auto"/>
                    <w:ind w:firstLine="0" w:firstLineChars="0"/>
                    <w:jc w:val="center"/>
                    <w:rPr>
                      <w:b/>
                      <w:szCs w:val="21"/>
                    </w:rPr>
                  </w:pPr>
                  <w:r>
                    <w:rPr>
                      <w:rFonts w:hint="eastAsia"/>
                      <w:b/>
                      <w:szCs w:val="21"/>
                    </w:rPr>
                    <w:t>（人）</w:t>
                  </w:r>
                </w:p>
              </w:tc>
              <w:tc>
                <w:tcPr>
                  <w:tcW w:w="1648" w:type="dxa"/>
                  <w:vMerge w:val="restart"/>
                  <w:shd w:val="pct10" w:color="auto" w:fill="auto"/>
                  <w:vAlign w:val="center"/>
                </w:tcPr>
                <w:p>
                  <w:pPr>
                    <w:spacing w:line="240" w:lineRule="auto"/>
                    <w:ind w:firstLine="0" w:firstLineChars="0"/>
                    <w:jc w:val="center"/>
                    <w:rPr>
                      <w:b/>
                      <w:szCs w:val="21"/>
                    </w:rPr>
                  </w:pPr>
                  <w:r>
                    <w:rPr>
                      <w:b/>
                      <w:szCs w:val="21"/>
                    </w:rPr>
                    <w:t>保护</w:t>
                  </w:r>
                </w:p>
                <w:p>
                  <w:pPr>
                    <w:spacing w:line="240" w:lineRule="auto"/>
                    <w:ind w:firstLine="0" w:firstLineChars="0"/>
                    <w:jc w:val="center"/>
                    <w:rPr>
                      <w:b/>
                      <w:szCs w:val="21"/>
                    </w:rPr>
                  </w:pPr>
                  <w:r>
                    <w:rPr>
                      <w:b/>
                      <w:szCs w:val="21"/>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6" w:type="dxa"/>
                  <w:vMerge w:val="continue"/>
                  <w:shd w:val="clear" w:color="auto" w:fill="auto"/>
                  <w:vAlign w:val="center"/>
                </w:tcPr>
                <w:p>
                  <w:pPr>
                    <w:spacing w:line="240" w:lineRule="auto"/>
                    <w:ind w:firstLine="0" w:firstLineChars="0"/>
                    <w:jc w:val="center"/>
                    <w:rPr>
                      <w:b/>
                      <w:szCs w:val="21"/>
                    </w:rPr>
                  </w:pPr>
                </w:p>
              </w:tc>
              <w:tc>
                <w:tcPr>
                  <w:tcW w:w="983" w:type="dxa"/>
                  <w:vMerge w:val="continue"/>
                  <w:shd w:val="clear" w:color="auto" w:fill="auto"/>
                  <w:vAlign w:val="center"/>
                </w:tcPr>
                <w:p>
                  <w:pPr>
                    <w:spacing w:line="240" w:lineRule="auto"/>
                    <w:ind w:firstLine="0" w:firstLineChars="0"/>
                    <w:jc w:val="center"/>
                    <w:rPr>
                      <w:b/>
                      <w:szCs w:val="21"/>
                    </w:rPr>
                  </w:pPr>
                </w:p>
              </w:tc>
              <w:tc>
                <w:tcPr>
                  <w:tcW w:w="1319" w:type="dxa"/>
                  <w:shd w:val="pct10" w:color="auto" w:fill="auto"/>
                  <w:vAlign w:val="center"/>
                </w:tcPr>
                <w:p>
                  <w:pPr>
                    <w:spacing w:line="240" w:lineRule="auto"/>
                    <w:ind w:firstLine="0" w:firstLineChars="0"/>
                    <w:jc w:val="center"/>
                    <w:rPr>
                      <w:b/>
                      <w:szCs w:val="21"/>
                    </w:rPr>
                  </w:pPr>
                  <w:r>
                    <w:rPr>
                      <w:rFonts w:hint="eastAsia"/>
                      <w:b/>
                      <w:szCs w:val="21"/>
                    </w:rPr>
                    <w:t>经度</w:t>
                  </w:r>
                </w:p>
              </w:tc>
              <w:tc>
                <w:tcPr>
                  <w:tcW w:w="1215" w:type="dxa"/>
                  <w:shd w:val="pct10" w:color="auto" w:fill="auto"/>
                  <w:vAlign w:val="center"/>
                </w:tcPr>
                <w:p>
                  <w:pPr>
                    <w:spacing w:line="240" w:lineRule="auto"/>
                    <w:ind w:firstLine="0" w:firstLineChars="0"/>
                    <w:jc w:val="center"/>
                    <w:rPr>
                      <w:b/>
                      <w:szCs w:val="21"/>
                    </w:rPr>
                  </w:pPr>
                  <w:r>
                    <w:rPr>
                      <w:rFonts w:hint="eastAsia"/>
                      <w:b/>
                      <w:szCs w:val="21"/>
                    </w:rPr>
                    <w:t>纬度</w:t>
                  </w:r>
                </w:p>
              </w:tc>
              <w:tc>
                <w:tcPr>
                  <w:tcW w:w="651" w:type="dxa"/>
                  <w:vMerge w:val="continue"/>
                  <w:shd w:val="clear" w:color="auto" w:fill="auto"/>
                  <w:vAlign w:val="center"/>
                </w:tcPr>
                <w:p>
                  <w:pPr>
                    <w:spacing w:line="240" w:lineRule="auto"/>
                    <w:ind w:firstLine="0" w:firstLineChars="0"/>
                    <w:jc w:val="center"/>
                    <w:rPr>
                      <w:b/>
                      <w:szCs w:val="21"/>
                    </w:rPr>
                  </w:pPr>
                </w:p>
              </w:tc>
              <w:tc>
                <w:tcPr>
                  <w:tcW w:w="816" w:type="dxa"/>
                  <w:vMerge w:val="continue"/>
                  <w:shd w:val="clear" w:color="auto" w:fill="auto"/>
                  <w:vAlign w:val="center"/>
                </w:tcPr>
                <w:p>
                  <w:pPr>
                    <w:spacing w:line="240" w:lineRule="auto"/>
                    <w:ind w:firstLine="0" w:firstLineChars="0"/>
                    <w:jc w:val="center"/>
                    <w:rPr>
                      <w:b/>
                      <w:szCs w:val="21"/>
                    </w:rPr>
                  </w:pPr>
                </w:p>
              </w:tc>
              <w:tc>
                <w:tcPr>
                  <w:tcW w:w="749" w:type="dxa"/>
                  <w:vMerge w:val="continue"/>
                  <w:vAlign w:val="center"/>
                </w:tcPr>
                <w:p>
                  <w:pPr>
                    <w:spacing w:line="240" w:lineRule="auto"/>
                    <w:ind w:firstLine="0" w:firstLineChars="0"/>
                    <w:jc w:val="center"/>
                    <w:rPr>
                      <w:b/>
                      <w:szCs w:val="21"/>
                    </w:rPr>
                  </w:pPr>
                </w:p>
              </w:tc>
              <w:tc>
                <w:tcPr>
                  <w:tcW w:w="1648" w:type="dxa"/>
                  <w:vMerge w:val="continue"/>
                  <w:vAlign w:val="center"/>
                </w:tcPr>
                <w:p>
                  <w:pPr>
                    <w:spacing w:line="240" w:lineRule="auto"/>
                    <w:ind w:firstLine="0" w:firstLineChars="0"/>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6" w:type="dxa"/>
                  <w:shd w:val="clear" w:color="auto" w:fill="auto"/>
                  <w:vAlign w:val="center"/>
                </w:tcPr>
                <w:p>
                  <w:pPr>
                    <w:spacing w:line="240" w:lineRule="auto"/>
                    <w:ind w:firstLine="0" w:firstLineChars="0"/>
                    <w:jc w:val="center"/>
                    <w:rPr>
                      <w:szCs w:val="21"/>
                    </w:rPr>
                  </w:pPr>
                  <w:r>
                    <w:rPr>
                      <w:rFonts w:hint="eastAsia"/>
                      <w:szCs w:val="21"/>
                    </w:rPr>
                    <w:t>声环境</w:t>
                  </w:r>
                </w:p>
              </w:tc>
              <w:tc>
                <w:tcPr>
                  <w:tcW w:w="983" w:type="dxa"/>
                  <w:shd w:val="clear" w:color="auto" w:fill="auto"/>
                  <w:vAlign w:val="center"/>
                </w:tcPr>
                <w:p>
                  <w:pPr>
                    <w:spacing w:line="240" w:lineRule="auto"/>
                    <w:ind w:firstLine="0" w:firstLineChars="0"/>
                    <w:jc w:val="center"/>
                    <w:rPr>
                      <w:szCs w:val="21"/>
                    </w:rPr>
                  </w:pPr>
                  <w:r>
                    <w:rPr>
                      <w:rFonts w:hint="eastAsia"/>
                      <w:szCs w:val="21"/>
                    </w:rPr>
                    <w:t>村户</w:t>
                  </w:r>
                </w:p>
              </w:tc>
              <w:tc>
                <w:tcPr>
                  <w:tcW w:w="1319" w:type="dxa"/>
                  <w:shd w:val="clear" w:color="auto" w:fill="auto"/>
                  <w:vAlign w:val="center"/>
                </w:tcPr>
                <w:p>
                  <w:pPr>
                    <w:widowControl/>
                    <w:spacing w:line="240" w:lineRule="auto"/>
                    <w:ind w:firstLine="0" w:firstLineChars="0"/>
                    <w:jc w:val="center"/>
                    <w:rPr>
                      <w:szCs w:val="21"/>
                    </w:rPr>
                  </w:pPr>
                  <w:r>
                    <w:rPr>
                      <w:rFonts w:hint="eastAsia"/>
                      <w:szCs w:val="21"/>
                    </w:rPr>
                    <w:t>108.209796</w:t>
                  </w:r>
                </w:p>
              </w:tc>
              <w:tc>
                <w:tcPr>
                  <w:tcW w:w="1215" w:type="dxa"/>
                  <w:shd w:val="clear" w:color="auto" w:fill="auto"/>
                  <w:vAlign w:val="center"/>
                </w:tcPr>
                <w:p>
                  <w:pPr>
                    <w:widowControl/>
                    <w:spacing w:line="240" w:lineRule="auto"/>
                    <w:ind w:firstLine="0" w:firstLineChars="0"/>
                    <w:jc w:val="center"/>
                    <w:rPr>
                      <w:szCs w:val="21"/>
                    </w:rPr>
                  </w:pPr>
                  <w:r>
                    <w:rPr>
                      <w:rFonts w:hint="eastAsia"/>
                      <w:szCs w:val="21"/>
                    </w:rPr>
                    <w:t>33.0961365</w:t>
                  </w:r>
                </w:p>
              </w:tc>
              <w:tc>
                <w:tcPr>
                  <w:tcW w:w="651" w:type="dxa"/>
                  <w:shd w:val="clear" w:color="auto" w:fill="auto"/>
                  <w:vAlign w:val="center"/>
                </w:tcPr>
                <w:p>
                  <w:pPr>
                    <w:spacing w:line="240" w:lineRule="auto"/>
                    <w:ind w:firstLine="0" w:firstLineChars="0"/>
                    <w:jc w:val="center"/>
                    <w:rPr>
                      <w:szCs w:val="21"/>
                    </w:rPr>
                  </w:pPr>
                  <w:r>
                    <w:rPr>
                      <w:rFonts w:hint="eastAsia"/>
                      <w:szCs w:val="21"/>
                    </w:rPr>
                    <w:t>NE</w:t>
                  </w:r>
                </w:p>
              </w:tc>
              <w:tc>
                <w:tcPr>
                  <w:tcW w:w="816" w:type="dxa"/>
                  <w:shd w:val="clear" w:color="auto" w:fill="auto"/>
                  <w:vAlign w:val="center"/>
                </w:tcPr>
                <w:p>
                  <w:pPr>
                    <w:spacing w:line="240" w:lineRule="auto"/>
                    <w:ind w:firstLine="0" w:firstLineChars="0"/>
                    <w:jc w:val="center"/>
                    <w:rPr>
                      <w:szCs w:val="21"/>
                    </w:rPr>
                  </w:pPr>
                  <w:r>
                    <w:rPr>
                      <w:rFonts w:hint="eastAsia"/>
                      <w:szCs w:val="21"/>
                    </w:rPr>
                    <w:t>60</w:t>
                  </w:r>
                </w:p>
              </w:tc>
              <w:tc>
                <w:tcPr>
                  <w:tcW w:w="749" w:type="dxa"/>
                  <w:vAlign w:val="center"/>
                </w:tcPr>
                <w:p>
                  <w:pPr>
                    <w:spacing w:line="240" w:lineRule="auto"/>
                    <w:ind w:firstLine="0" w:firstLineChars="0"/>
                    <w:jc w:val="center"/>
                    <w:rPr>
                      <w:szCs w:val="21"/>
                    </w:rPr>
                  </w:pPr>
                  <w:r>
                    <w:rPr>
                      <w:rFonts w:hint="eastAsia"/>
                      <w:szCs w:val="21"/>
                    </w:rPr>
                    <w:t>12</w:t>
                  </w:r>
                </w:p>
              </w:tc>
              <w:tc>
                <w:tcPr>
                  <w:tcW w:w="1648" w:type="dxa"/>
                  <w:vAlign w:val="center"/>
                </w:tcPr>
                <w:p>
                  <w:pPr>
                    <w:spacing w:line="240" w:lineRule="auto"/>
                    <w:ind w:firstLine="0" w:firstLineChars="0"/>
                    <w:jc w:val="center"/>
                    <w:rPr>
                      <w:szCs w:val="21"/>
                    </w:rPr>
                  </w:pPr>
                  <w:r>
                    <w:rPr>
                      <w:rFonts w:hint="eastAsia"/>
                      <w:szCs w:val="21"/>
                    </w:rPr>
                    <w:t>《声环境质量标准》（GB3096</w:t>
                  </w:r>
                </w:p>
                <w:p>
                  <w:pPr>
                    <w:spacing w:line="240" w:lineRule="auto"/>
                    <w:ind w:firstLine="0" w:firstLineChars="0"/>
                    <w:jc w:val="center"/>
                    <w:rPr>
                      <w:szCs w:val="21"/>
                    </w:rPr>
                  </w:pPr>
                  <w:r>
                    <w:rPr>
                      <w:rFonts w:hint="eastAsia"/>
                      <w:szCs w:val="21"/>
                    </w:rPr>
                    <w:t>-2008）2类、《环境空气质量</w:t>
                  </w:r>
                </w:p>
                <w:p>
                  <w:pPr>
                    <w:spacing w:line="240" w:lineRule="auto"/>
                    <w:ind w:firstLine="0" w:firstLineChars="0"/>
                    <w:jc w:val="center"/>
                    <w:rPr>
                      <w:szCs w:val="21"/>
                    </w:rPr>
                  </w:pPr>
                  <w:r>
                    <w:rPr>
                      <w:rFonts w:hint="eastAsia"/>
                      <w:szCs w:val="21"/>
                    </w:rPr>
                    <w:t>标准》</w:t>
                  </w:r>
                </w:p>
                <w:p>
                  <w:pPr>
                    <w:spacing w:line="240" w:lineRule="auto"/>
                    <w:ind w:firstLine="0" w:firstLineChars="0"/>
                    <w:jc w:val="center"/>
                    <w:rPr>
                      <w:szCs w:val="21"/>
                    </w:rPr>
                  </w:pPr>
                  <w:r>
                    <w:rPr>
                      <w:rFonts w:hint="eastAsia"/>
                      <w:szCs w:val="21"/>
                    </w:rPr>
                    <w:t>（GB3095</w:t>
                  </w:r>
                </w:p>
                <w:p>
                  <w:pPr>
                    <w:spacing w:line="240" w:lineRule="auto"/>
                    <w:ind w:firstLine="0" w:firstLineChars="0"/>
                    <w:jc w:val="center"/>
                    <w:rPr>
                      <w:szCs w:val="21"/>
                    </w:rPr>
                  </w:pPr>
                  <w:r>
                    <w:rPr>
                      <w:rFonts w:hint="eastAsia"/>
                      <w:szCs w:val="21"/>
                    </w:rPr>
                    <w:t>-2012）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6" w:type="dxa"/>
                  <w:vMerge w:val="restart"/>
                  <w:shd w:val="clear" w:color="auto" w:fill="auto"/>
                  <w:vAlign w:val="center"/>
                </w:tcPr>
                <w:p>
                  <w:pPr>
                    <w:spacing w:line="240" w:lineRule="auto"/>
                    <w:ind w:firstLine="0" w:firstLineChars="0"/>
                    <w:jc w:val="center"/>
                    <w:rPr>
                      <w:szCs w:val="21"/>
                    </w:rPr>
                  </w:pPr>
                  <w:r>
                    <w:rPr>
                      <w:szCs w:val="21"/>
                    </w:rPr>
                    <w:t>大气环境</w:t>
                  </w:r>
                </w:p>
              </w:tc>
              <w:tc>
                <w:tcPr>
                  <w:tcW w:w="983" w:type="dxa"/>
                  <w:shd w:val="clear" w:color="auto" w:fill="auto"/>
                  <w:vAlign w:val="center"/>
                </w:tcPr>
                <w:p>
                  <w:pPr>
                    <w:spacing w:line="240" w:lineRule="auto"/>
                    <w:ind w:firstLine="0" w:firstLineChars="0"/>
                    <w:jc w:val="center"/>
                    <w:rPr>
                      <w:szCs w:val="21"/>
                    </w:rPr>
                  </w:pPr>
                  <w:r>
                    <w:rPr>
                      <w:szCs w:val="21"/>
                    </w:rPr>
                    <w:t>丝银坝村</w:t>
                  </w:r>
                </w:p>
              </w:tc>
              <w:tc>
                <w:tcPr>
                  <w:tcW w:w="1319" w:type="dxa"/>
                  <w:shd w:val="clear" w:color="auto" w:fill="auto"/>
                  <w:vAlign w:val="center"/>
                </w:tcPr>
                <w:p>
                  <w:pPr>
                    <w:widowControl/>
                    <w:spacing w:line="240" w:lineRule="auto"/>
                    <w:ind w:firstLine="0" w:firstLineChars="0"/>
                    <w:jc w:val="center"/>
                    <w:rPr>
                      <w:szCs w:val="21"/>
                    </w:rPr>
                  </w:pPr>
                  <w:r>
                    <w:rPr>
                      <w:rFonts w:hint="eastAsia"/>
                      <w:szCs w:val="21"/>
                    </w:rPr>
                    <w:t>108.2063627</w:t>
                  </w:r>
                </w:p>
              </w:tc>
              <w:tc>
                <w:tcPr>
                  <w:tcW w:w="1215" w:type="dxa"/>
                  <w:shd w:val="clear" w:color="auto" w:fill="auto"/>
                  <w:vAlign w:val="center"/>
                </w:tcPr>
                <w:p>
                  <w:pPr>
                    <w:widowControl/>
                    <w:spacing w:line="240" w:lineRule="auto"/>
                    <w:ind w:firstLine="0" w:firstLineChars="0"/>
                    <w:jc w:val="center"/>
                    <w:rPr>
                      <w:szCs w:val="21"/>
                    </w:rPr>
                  </w:pPr>
                  <w:r>
                    <w:rPr>
                      <w:rFonts w:hint="eastAsia"/>
                      <w:szCs w:val="21"/>
                    </w:rPr>
                    <w:t>33.0944467</w:t>
                  </w:r>
                </w:p>
              </w:tc>
              <w:tc>
                <w:tcPr>
                  <w:tcW w:w="651" w:type="dxa"/>
                  <w:shd w:val="clear" w:color="auto" w:fill="auto"/>
                  <w:vAlign w:val="center"/>
                </w:tcPr>
                <w:p>
                  <w:pPr>
                    <w:spacing w:line="240" w:lineRule="auto"/>
                    <w:ind w:firstLine="0" w:firstLineChars="0"/>
                    <w:jc w:val="center"/>
                    <w:rPr>
                      <w:szCs w:val="21"/>
                    </w:rPr>
                  </w:pPr>
                  <w:r>
                    <w:rPr>
                      <w:rFonts w:hint="eastAsia"/>
                      <w:szCs w:val="21"/>
                    </w:rPr>
                    <w:t>W</w:t>
                  </w:r>
                </w:p>
              </w:tc>
              <w:tc>
                <w:tcPr>
                  <w:tcW w:w="816" w:type="dxa"/>
                  <w:shd w:val="clear" w:color="auto" w:fill="auto"/>
                  <w:vAlign w:val="center"/>
                </w:tcPr>
                <w:p>
                  <w:pPr>
                    <w:spacing w:line="240" w:lineRule="auto"/>
                    <w:ind w:firstLine="0" w:firstLineChars="0"/>
                    <w:jc w:val="center"/>
                    <w:rPr>
                      <w:szCs w:val="21"/>
                    </w:rPr>
                  </w:pPr>
                  <w:r>
                    <w:rPr>
                      <w:rFonts w:hint="eastAsia"/>
                      <w:szCs w:val="21"/>
                    </w:rPr>
                    <w:t>100</w:t>
                  </w:r>
                </w:p>
              </w:tc>
              <w:tc>
                <w:tcPr>
                  <w:tcW w:w="749" w:type="dxa"/>
                  <w:vAlign w:val="center"/>
                </w:tcPr>
                <w:p>
                  <w:pPr>
                    <w:spacing w:line="240" w:lineRule="auto"/>
                    <w:ind w:firstLine="0" w:firstLineChars="0"/>
                    <w:jc w:val="center"/>
                    <w:rPr>
                      <w:szCs w:val="21"/>
                    </w:rPr>
                  </w:pPr>
                  <w:r>
                    <w:rPr>
                      <w:rFonts w:hint="eastAsia"/>
                      <w:szCs w:val="21"/>
                    </w:rPr>
                    <w:t>1600</w:t>
                  </w:r>
                </w:p>
              </w:tc>
              <w:tc>
                <w:tcPr>
                  <w:tcW w:w="1648" w:type="dxa"/>
                  <w:vMerge w:val="restart"/>
                  <w:vAlign w:val="center"/>
                </w:tcPr>
                <w:p>
                  <w:pPr>
                    <w:spacing w:line="240" w:lineRule="auto"/>
                    <w:ind w:firstLine="0" w:firstLineChars="0"/>
                    <w:jc w:val="center"/>
                    <w:rPr>
                      <w:szCs w:val="21"/>
                    </w:rPr>
                  </w:pPr>
                  <w:r>
                    <w:rPr>
                      <w:rFonts w:hint="eastAsia"/>
                      <w:szCs w:val="21"/>
                    </w:rPr>
                    <w:t>《环境空气质量</w:t>
                  </w:r>
                </w:p>
                <w:p>
                  <w:pPr>
                    <w:spacing w:line="240" w:lineRule="auto"/>
                    <w:ind w:firstLine="0" w:firstLineChars="0"/>
                    <w:jc w:val="center"/>
                    <w:rPr>
                      <w:szCs w:val="21"/>
                    </w:rPr>
                  </w:pPr>
                  <w:r>
                    <w:rPr>
                      <w:rFonts w:hint="eastAsia"/>
                      <w:szCs w:val="21"/>
                    </w:rPr>
                    <w:t>标准》</w:t>
                  </w:r>
                </w:p>
                <w:p>
                  <w:pPr>
                    <w:spacing w:line="240" w:lineRule="auto"/>
                    <w:ind w:firstLine="0" w:firstLineChars="0"/>
                    <w:jc w:val="center"/>
                    <w:rPr>
                      <w:szCs w:val="21"/>
                    </w:rPr>
                  </w:pPr>
                  <w:r>
                    <w:rPr>
                      <w:rFonts w:hint="eastAsia"/>
                      <w:szCs w:val="21"/>
                    </w:rPr>
                    <w:t>（GB3095</w:t>
                  </w:r>
                </w:p>
                <w:p>
                  <w:pPr>
                    <w:spacing w:line="240" w:lineRule="auto"/>
                    <w:ind w:firstLine="0" w:firstLineChars="0"/>
                    <w:jc w:val="center"/>
                    <w:rPr>
                      <w:szCs w:val="21"/>
                    </w:rPr>
                  </w:pPr>
                  <w:r>
                    <w:rPr>
                      <w:rFonts w:hint="eastAsia"/>
                      <w:szCs w:val="21"/>
                    </w:rPr>
                    <w:t>-2012）</w:t>
                  </w:r>
                </w:p>
                <w:p>
                  <w:pPr>
                    <w:spacing w:line="240" w:lineRule="auto"/>
                    <w:ind w:firstLine="0" w:firstLineChars="0"/>
                    <w:jc w:val="center"/>
                    <w:rPr>
                      <w:szCs w:val="21"/>
                    </w:rPr>
                  </w:pPr>
                  <w:r>
                    <w:rPr>
                      <w:rFonts w:hint="eastAsia"/>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6" w:type="dxa"/>
                  <w:vMerge w:val="continue"/>
                  <w:shd w:val="clear" w:color="auto" w:fill="auto"/>
                  <w:vAlign w:val="center"/>
                </w:tcPr>
                <w:p>
                  <w:pPr>
                    <w:spacing w:line="240" w:lineRule="auto"/>
                    <w:ind w:firstLine="0" w:firstLineChars="0"/>
                    <w:jc w:val="center"/>
                    <w:rPr>
                      <w:szCs w:val="21"/>
                    </w:rPr>
                  </w:pPr>
                </w:p>
              </w:tc>
              <w:tc>
                <w:tcPr>
                  <w:tcW w:w="983" w:type="dxa"/>
                  <w:shd w:val="clear" w:color="auto" w:fill="auto"/>
                  <w:vAlign w:val="center"/>
                </w:tcPr>
                <w:p>
                  <w:pPr>
                    <w:spacing w:line="240" w:lineRule="auto"/>
                    <w:ind w:firstLine="0" w:firstLineChars="0"/>
                    <w:jc w:val="center"/>
                    <w:rPr>
                      <w:szCs w:val="21"/>
                    </w:rPr>
                  </w:pPr>
                  <w:r>
                    <w:rPr>
                      <w:rFonts w:hint="eastAsia"/>
                      <w:szCs w:val="21"/>
                    </w:rPr>
                    <w:t>石泉县城关镇银龙小学</w:t>
                  </w:r>
                </w:p>
              </w:tc>
              <w:tc>
                <w:tcPr>
                  <w:tcW w:w="1319" w:type="dxa"/>
                  <w:shd w:val="clear" w:color="auto" w:fill="auto"/>
                  <w:vAlign w:val="center"/>
                </w:tcPr>
                <w:p>
                  <w:pPr>
                    <w:widowControl/>
                    <w:spacing w:line="240" w:lineRule="auto"/>
                    <w:ind w:firstLine="0" w:firstLineChars="0"/>
                    <w:jc w:val="center"/>
                    <w:rPr>
                      <w:szCs w:val="21"/>
                    </w:rPr>
                  </w:pPr>
                  <w:r>
                    <w:rPr>
                      <w:rFonts w:hint="eastAsia"/>
                      <w:szCs w:val="21"/>
                    </w:rPr>
                    <w:t>108.203316</w:t>
                  </w:r>
                </w:p>
              </w:tc>
              <w:tc>
                <w:tcPr>
                  <w:tcW w:w="1215" w:type="dxa"/>
                  <w:shd w:val="clear" w:color="auto" w:fill="auto"/>
                  <w:vAlign w:val="center"/>
                </w:tcPr>
                <w:p>
                  <w:pPr>
                    <w:widowControl/>
                    <w:spacing w:line="240" w:lineRule="auto"/>
                    <w:ind w:firstLine="0" w:firstLineChars="0"/>
                    <w:jc w:val="center"/>
                    <w:rPr>
                      <w:szCs w:val="21"/>
                    </w:rPr>
                  </w:pPr>
                  <w:r>
                    <w:rPr>
                      <w:rFonts w:hint="eastAsia"/>
                      <w:szCs w:val="21"/>
                    </w:rPr>
                    <w:t>33.0956698</w:t>
                  </w:r>
                </w:p>
              </w:tc>
              <w:tc>
                <w:tcPr>
                  <w:tcW w:w="651" w:type="dxa"/>
                  <w:shd w:val="clear" w:color="auto" w:fill="auto"/>
                  <w:vAlign w:val="center"/>
                </w:tcPr>
                <w:p>
                  <w:pPr>
                    <w:spacing w:line="240" w:lineRule="auto"/>
                    <w:ind w:firstLine="0" w:firstLineChars="0"/>
                    <w:jc w:val="center"/>
                    <w:rPr>
                      <w:szCs w:val="21"/>
                    </w:rPr>
                  </w:pPr>
                  <w:r>
                    <w:rPr>
                      <w:rFonts w:hint="eastAsia"/>
                      <w:szCs w:val="21"/>
                    </w:rPr>
                    <w:t>NW</w:t>
                  </w:r>
                </w:p>
              </w:tc>
              <w:tc>
                <w:tcPr>
                  <w:tcW w:w="816" w:type="dxa"/>
                  <w:shd w:val="clear" w:color="auto" w:fill="auto"/>
                  <w:vAlign w:val="center"/>
                </w:tcPr>
                <w:p>
                  <w:pPr>
                    <w:spacing w:line="240" w:lineRule="auto"/>
                    <w:ind w:firstLine="0" w:firstLineChars="0"/>
                    <w:jc w:val="center"/>
                    <w:rPr>
                      <w:szCs w:val="21"/>
                    </w:rPr>
                  </w:pPr>
                  <w:r>
                    <w:rPr>
                      <w:rFonts w:hint="eastAsia"/>
                      <w:szCs w:val="21"/>
                    </w:rPr>
                    <w:t>450</w:t>
                  </w:r>
                </w:p>
              </w:tc>
              <w:tc>
                <w:tcPr>
                  <w:tcW w:w="749" w:type="dxa"/>
                  <w:vAlign w:val="center"/>
                </w:tcPr>
                <w:p>
                  <w:pPr>
                    <w:spacing w:line="240" w:lineRule="auto"/>
                    <w:ind w:firstLine="0" w:firstLineChars="0"/>
                    <w:jc w:val="center"/>
                    <w:rPr>
                      <w:szCs w:val="21"/>
                    </w:rPr>
                  </w:pPr>
                  <w:r>
                    <w:rPr>
                      <w:rFonts w:hint="eastAsia"/>
                      <w:szCs w:val="21"/>
                    </w:rPr>
                    <w:t>400</w:t>
                  </w:r>
                </w:p>
              </w:tc>
              <w:tc>
                <w:tcPr>
                  <w:tcW w:w="1648" w:type="dxa"/>
                  <w:vMerge w:val="continue"/>
                  <w:vAlign w:val="center"/>
                </w:tcPr>
                <w:p>
                  <w:pPr>
                    <w:spacing w:line="240" w:lineRule="auto"/>
                    <w:ind w:firstLine="0" w:firstLineChars="0"/>
                    <w:jc w:val="center"/>
                    <w:rPr>
                      <w:szCs w:val="21"/>
                    </w:rPr>
                  </w:pPr>
                </w:p>
              </w:tc>
            </w:tr>
          </w:tbl>
          <w:p>
            <w:pPr>
              <w:ind w:firstLine="48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vAlign w:val="center"/>
          </w:tcPr>
          <w:p>
            <w:pPr>
              <w:ind w:firstLine="0" w:firstLineChars="0"/>
              <w:jc w:val="center"/>
              <w:rPr>
                <w:sz w:val="24"/>
                <w:szCs w:val="24"/>
              </w:rPr>
            </w:pPr>
            <w:r>
              <w:rPr>
                <w:sz w:val="24"/>
                <w:szCs w:val="24"/>
              </w:rPr>
              <w:t>污染</w:t>
            </w:r>
          </w:p>
          <w:p>
            <w:pPr>
              <w:ind w:firstLine="0" w:firstLineChars="0"/>
              <w:jc w:val="center"/>
              <w:rPr>
                <w:sz w:val="24"/>
                <w:szCs w:val="24"/>
              </w:rPr>
            </w:pPr>
            <w:r>
              <w:rPr>
                <w:sz w:val="24"/>
                <w:szCs w:val="24"/>
              </w:rPr>
              <w:t>物排</w:t>
            </w:r>
          </w:p>
          <w:p>
            <w:pPr>
              <w:ind w:firstLine="0" w:firstLineChars="0"/>
              <w:jc w:val="center"/>
              <w:rPr>
                <w:sz w:val="24"/>
                <w:szCs w:val="24"/>
              </w:rPr>
            </w:pPr>
            <w:r>
              <w:rPr>
                <w:sz w:val="24"/>
                <w:szCs w:val="24"/>
              </w:rPr>
              <w:t>放控</w:t>
            </w:r>
          </w:p>
          <w:p>
            <w:pPr>
              <w:ind w:firstLine="0" w:firstLineChars="0"/>
              <w:jc w:val="center"/>
              <w:rPr>
                <w:sz w:val="24"/>
                <w:szCs w:val="24"/>
              </w:rPr>
            </w:pPr>
            <w:r>
              <w:rPr>
                <w:sz w:val="24"/>
                <w:szCs w:val="24"/>
              </w:rPr>
              <w:t>制标</w:t>
            </w:r>
          </w:p>
          <w:p>
            <w:pPr>
              <w:spacing w:line="276" w:lineRule="auto"/>
              <w:ind w:firstLine="0" w:firstLineChars="0"/>
              <w:jc w:val="center"/>
              <w:rPr>
                <w:sz w:val="24"/>
                <w:szCs w:val="24"/>
              </w:rPr>
            </w:pPr>
            <w:r>
              <w:rPr>
                <w:sz w:val="24"/>
                <w:szCs w:val="24"/>
              </w:rPr>
              <w:t>准</w:t>
            </w:r>
          </w:p>
        </w:tc>
        <w:tc>
          <w:tcPr>
            <w:tcW w:w="8426" w:type="dxa"/>
          </w:tcPr>
          <w:p>
            <w:pPr>
              <w:ind w:firstLine="480"/>
              <w:rPr>
                <w:sz w:val="24"/>
                <w:szCs w:val="24"/>
              </w:rPr>
            </w:pPr>
            <w:r>
              <w:rPr>
                <w:sz w:val="24"/>
                <w:szCs w:val="24"/>
              </w:rPr>
              <w:t>1、环境质量标准</w:t>
            </w:r>
          </w:p>
          <w:p>
            <w:pPr>
              <w:ind w:firstLine="480"/>
              <w:rPr>
                <w:sz w:val="24"/>
                <w:szCs w:val="24"/>
              </w:rPr>
            </w:pPr>
            <w:r>
              <w:rPr>
                <w:sz w:val="24"/>
                <w:szCs w:val="24"/>
              </w:rPr>
              <w:t>（1）环境空气质量执行《环境空气质量标准》（GB3095-2012）中的二级标准。</w:t>
            </w:r>
          </w:p>
          <w:p>
            <w:pPr>
              <w:pStyle w:val="34"/>
              <w:rPr>
                <w:b/>
                <w:kern w:val="0"/>
                <w:sz w:val="24"/>
              </w:rPr>
            </w:pPr>
            <w:r>
              <w:rPr>
                <w:b/>
                <w:sz w:val="24"/>
              </w:rPr>
              <w:t>表3-</w:t>
            </w:r>
            <w:r>
              <w:rPr>
                <w:rFonts w:hint="eastAsia"/>
                <w:b/>
                <w:sz w:val="24"/>
              </w:rPr>
              <w:t>12</w:t>
            </w:r>
            <w:r>
              <w:rPr>
                <w:b/>
                <w:sz w:val="24"/>
              </w:rPr>
              <w:t xml:space="preserve">  环境空气质量标准</w:t>
            </w:r>
          </w:p>
          <w:tbl>
            <w:tblPr>
              <w:tblStyle w:val="21"/>
              <w:tblW w:w="819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42"/>
              <w:gridCol w:w="2271"/>
              <w:gridCol w:w="1271"/>
              <w:gridCol w:w="857"/>
              <w:gridCol w:w="22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jc w:val="center"/>
              </w:trPr>
              <w:tc>
                <w:tcPr>
                  <w:tcW w:w="1542" w:type="dxa"/>
                  <w:tcBorders>
                    <w:top w:val="single" w:color="auto" w:sz="4" w:space="0"/>
                    <w:left w:val="single" w:color="auto" w:sz="6" w:space="0"/>
                    <w:bottom w:val="single" w:color="auto" w:sz="6" w:space="0"/>
                    <w:right w:val="single" w:color="auto" w:sz="6" w:space="0"/>
                  </w:tcBorders>
                  <w:shd w:val="pct10" w:color="auto" w:fill="auto"/>
                  <w:vAlign w:val="center"/>
                </w:tcPr>
                <w:p>
                  <w:pPr>
                    <w:pStyle w:val="34"/>
                    <w:rPr>
                      <w:b/>
                      <w:sz w:val="24"/>
                    </w:rPr>
                  </w:pPr>
                  <w:r>
                    <w:rPr>
                      <w:b/>
                      <w:sz w:val="24"/>
                    </w:rPr>
                    <w:t>污染物</w:t>
                  </w:r>
                </w:p>
              </w:tc>
              <w:tc>
                <w:tcPr>
                  <w:tcW w:w="2271" w:type="dxa"/>
                  <w:tcBorders>
                    <w:top w:val="single" w:color="auto" w:sz="4" w:space="0"/>
                    <w:left w:val="single" w:color="auto" w:sz="6" w:space="0"/>
                    <w:bottom w:val="single" w:color="auto" w:sz="6" w:space="0"/>
                    <w:right w:val="single" w:color="auto" w:sz="6" w:space="0"/>
                  </w:tcBorders>
                  <w:shd w:val="pct10" w:color="auto" w:fill="auto"/>
                  <w:vAlign w:val="center"/>
                </w:tcPr>
                <w:p>
                  <w:pPr>
                    <w:pStyle w:val="34"/>
                    <w:rPr>
                      <w:b/>
                      <w:sz w:val="24"/>
                    </w:rPr>
                  </w:pPr>
                  <w:r>
                    <w:rPr>
                      <w:b/>
                      <w:sz w:val="24"/>
                    </w:rPr>
                    <w:t>平均时间</w:t>
                  </w:r>
                </w:p>
              </w:tc>
              <w:tc>
                <w:tcPr>
                  <w:tcW w:w="1271" w:type="dxa"/>
                  <w:tcBorders>
                    <w:top w:val="single" w:color="auto" w:sz="4" w:space="0"/>
                    <w:left w:val="single" w:color="auto" w:sz="6" w:space="0"/>
                    <w:bottom w:val="single" w:color="auto" w:sz="6" w:space="0"/>
                    <w:right w:val="single" w:color="auto" w:sz="6" w:space="0"/>
                  </w:tcBorders>
                  <w:shd w:val="pct10" w:color="auto" w:fill="auto"/>
                  <w:vAlign w:val="center"/>
                </w:tcPr>
                <w:p>
                  <w:pPr>
                    <w:pStyle w:val="34"/>
                    <w:rPr>
                      <w:b/>
                      <w:sz w:val="24"/>
                    </w:rPr>
                  </w:pPr>
                  <w:r>
                    <w:rPr>
                      <w:b/>
                      <w:sz w:val="24"/>
                    </w:rPr>
                    <w:t>标准值</w:t>
                  </w:r>
                </w:p>
              </w:tc>
              <w:tc>
                <w:tcPr>
                  <w:tcW w:w="857" w:type="dxa"/>
                  <w:tcBorders>
                    <w:top w:val="single" w:color="auto" w:sz="4" w:space="0"/>
                    <w:left w:val="single" w:color="auto" w:sz="6" w:space="0"/>
                    <w:bottom w:val="single" w:color="auto" w:sz="6" w:space="0"/>
                    <w:right w:val="single" w:color="auto" w:sz="6" w:space="0"/>
                  </w:tcBorders>
                  <w:shd w:val="pct10" w:color="auto" w:fill="auto"/>
                  <w:vAlign w:val="center"/>
                </w:tcPr>
                <w:p>
                  <w:pPr>
                    <w:pStyle w:val="34"/>
                    <w:rPr>
                      <w:b/>
                      <w:sz w:val="24"/>
                    </w:rPr>
                  </w:pPr>
                  <w:r>
                    <w:rPr>
                      <w:b/>
                      <w:sz w:val="24"/>
                    </w:rPr>
                    <w:t>单位</w:t>
                  </w:r>
                </w:p>
              </w:tc>
              <w:tc>
                <w:tcPr>
                  <w:tcW w:w="2256" w:type="dxa"/>
                  <w:tcBorders>
                    <w:top w:val="single" w:color="auto" w:sz="4" w:space="0"/>
                    <w:left w:val="single" w:color="auto" w:sz="6" w:space="0"/>
                    <w:bottom w:val="single" w:color="auto" w:sz="6" w:space="0"/>
                    <w:right w:val="single" w:color="auto" w:sz="4" w:space="0"/>
                  </w:tcBorders>
                  <w:shd w:val="pct10" w:color="auto" w:fill="auto"/>
                  <w:vAlign w:val="center"/>
                </w:tcPr>
                <w:p>
                  <w:pPr>
                    <w:pStyle w:val="34"/>
                    <w:rPr>
                      <w:b/>
                      <w:sz w:val="24"/>
                    </w:rPr>
                  </w:pPr>
                  <w:r>
                    <w:rPr>
                      <w:b/>
                      <w:sz w:val="24"/>
                    </w:rPr>
                    <w:t>标准来源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42" w:type="dxa"/>
                  <w:tcBorders>
                    <w:top w:val="single" w:color="auto" w:sz="6" w:space="0"/>
                    <w:left w:val="single" w:color="auto" w:sz="6" w:space="0"/>
                    <w:bottom w:val="single" w:color="auto" w:sz="6" w:space="0"/>
                    <w:right w:val="single" w:color="auto" w:sz="6" w:space="0"/>
                  </w:tcBorders>
                  <w:vAlign w:val="center"/>
                </w:tcPr>
                <w:p>
                  <w:pPr>
                    <w:pStyle w:val="34"/>
                    <w:rPr>
                      <w:sz w:val="24"/>
                      <w:vertAlign w:val="subscript"/>
                    </w:rPr>
                  </w:pPr>
                  <w:r>
                    <w:rPr>
                      <w:sz w:val="24"/>
                    </w:rPr>
                    <w:t>SO</w:t>
                  </w:r>
                  <w:r>
                    <w:rPr>
                      <w:sz w:val="24"/>
                      <w:vertAlign w:val="subscript"/>
                    </w:rPr>
                    <w:t>2</w:t>
                  </w:r>
                </w:p>
              </w:tc>
              <w:tc>
                <w:tcPr>
                  <w:tcW w:w="2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年平均</w:t>
                  </w:r>
                </w:p>
              </w:tc>
              <w:tc>
                <w:tcPr>
                  <w:tcW w:w="1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≤60</w:t>
                  </w:r>
                </w:p>
              </w:tc>
              <w:tc>
                <w:tcPr>
                  <w:tcW w:w="857" w:type="dxa"/>
                  <w:vMerge w:val="restart"/>
                  <w:tcBorders>
                    <w:top w:val="single" w:color="auto" w:sz="6" w:space="0"/>
                    <w:left w:val="single" w:color="auto" w:sz="6" w:space="0"/>
                    <w:right w:val="single" w:color="auto" w:sz="6" w:space="0"/>
                  </w:tcBorders>
                  <w:vAlign w:val="center"/>
                </w:tcPr>
                <w:p>
                  <w:pPr>
                    <w:pStyle w:val="34"/>
                    <w:rPr>
                      <w:sz w:val="24"/>
                    </w:rPr>
                  </w:pPr>
                  <w:r>
                    <w:rPr>
                      <w:sz w:val="24"/>
                    </w:rPr>
                    <w:t>μg/m</w:t>
                  </w:r>
                  <w:r>
                    <w:rPr>
                      <w:sz w:val="24"/>
                      <w:vertAlign w:val="superscript"/>
                    </w:rPr>
                    <w:t>3</w:t>
                  </w:r>
                </w:p>
              </w:tc>
              <w:tc>
                <w:tcPr>
                  <w:tcW w:w="2256" w:type="dxa"/>
                  <w:vMerge w:val="restart"/>
                  <w:tcBorders>
                    <w:top w:val="single" w:color="auto" w:sz="6" w:space="0"/>
                    <w:left w:val="single" w:color="auto" w:sz="6" w:space="0"/>
                    <w:bottom w:val="single" w:color="auto" w:sz="4" w:space="0"/>
                    <w:right w:val="single" w:color="auto" w:sz="4" w:space="0"/>
                  </w:tcBorders>
                  <w:vAlign w:val="center"/>
                </w:tcPr>
                <w:p>
                  <w:pPr>
                    <w:pStyle w:val="34"/>
                    <w:rPr>
                      <w:sz w:val="24"/>
                    </w:rPr>
                  </w:pPr>
                  <w:r>
                    <w:rPr>
                      <w:sz w:val="24"/>
                    </w:rPr>
                    <w:t>《环境空气质量</w:t>
                  </w:r>
                </w:p>
                <w:p>
                  <w:pPr>
                    <w:pStyle w:val="34"/>
                    <w:rPr>
                      <w:sz w:val="24"/>
                    </w:rPr>
                  </w:pPr>
                  <w:r>
                    <w:rPr>
                      <w:sz w:val="24"/>
                    </w:rPr>
                    <w:t>标准》</w:t>
                  </w:r>
                </w:p>
                <w:p>
                  <w:pPr>
                    <w:pStyle w:val="34"/>
                    <w:rPr>
                      <w:sz w:val="24"/>
                    </w:rPr>
                  </w:pPr>
                  <w:r>
                    <w:rPr>
                      <w:sz w:val="24"/>
                    </w:rPr>
                    <w:t>（GB3095-2012）</w:t>
                  </w:r>
                </w:p>
                <w:p>
                  <w:pPr>
                    <w:pStyle w:val="34"/>
                    <w:rPr>
                      <w:sz w:val="24"/>
                    </w:rPr>
                  </w:pPr>
                  <w:r>
                    <w:rPr>
                      <w:sz w:val="24"/>
                    </w:rPr>
                    <w:t>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42"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NO</w:t>
                  </w:r>
                  <w:r>
                    <w:rPr>
                      <w:sz w:val="24"/>
                      <w:vertAlign w:val="subscript"/>
                    </w:rPr>
                    <w:t>2</w:t>
                  </w:r>
                </w:p>
              </w:tc>
              <w:tc>
                <w:tcPr>
                  <w:tcW w:w="2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年平均</w:t>
                  </w:r>
                </w:p>
              </w:tc>
              <w:tc>
                <w:tcPr>
                  <w:tcW w:w="1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≤40</w:t>
                  </w:r>
                </w:p>
              </w:tc>
              <w:tc>
                <w:tcPr>
                  <w:tcW w:w="857" w:type="dxa"/>
                  <w:vMerge w:val="continue"/>
                  <w:tcBorders>
                    <w:left w:val="single" w:color="auto" w:sz="6" w:space="0"/>
                    <w:right w:val="single" w:color="auto" w:sz="6" w:space="0"/>
                  </w:tcBorders>
                  <w:vAlign w:val="center"/>
                </w:tcPr>
                <w:p>
                  <w:pPr>
                    <w:widowControl/>
                    <w:spacing w:line="240" w:lineRule="auto"/>
                    <w:ind w:firstLine="0" w:firstLineChars="0"/>
                    <w:rPr>
                      <w:sz w:val="24"/>
                      <w:szCs w:val="24"/>
                    </w:rPr>
                  </w:pPr>
                </w:p>
              </w:tc>
              <w:tc>
                <w:tcPr>
                  <w:tcW w:w="2256" w:type="dxa"/>
                  <w:vMerge w:val="continue"/>
                  <w:tcBorders>
                    <w:top w:val="single" w:color="auto" w:sz="6" w:space="0"/>
                    <w:left w:val="single" w:color="auto" w:sz="6" w:space="0"/>
                    <w:bottom w:val="single" w:color="auto" w:sz="4" w:space="0"/>
                    <w:right w:val="single" w:color="auto" w:sz="4" w:space="0"/>
                  </w:tcBorders>
                  <w:vAlign w:val="center"/>
                </w:tcPr>
                <w:p>
                  <w:pPr>
                    <w:widowControl/>
                    <w:spacing w:line="240" w:lineRule="auto"/>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42"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PM</w:t>
                  </w:r>
                  <w:r>
                    <w:rPr>
                      <w:sz w:val="24"/>
                      <w:vertAlign w:val="subscript"/>
                    </w:rPr>
                    <w:t>10</w:t>
                  </w:r>
                </w:p>
              </w:tc>
              <w:tc>
                <w:tcPr>
                  <w:tcW w:w="2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年平均</w:t>
                  </w:r>
                </w:p>
              </w:tc>
              <w:tc>
                <w:tcPr>
                  <w:tcW w:w="1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≤70</w:t>
                  </w:r>
                </w:p>
              </w:tc>
              <w:tc>
                <w:tcPr>
                  <w:tcW w:w="857" w:type="dxa"/>
                  <w:vMerge w:val="continue"/>
                  <w:tcBorders>
                    <w:left w:val="single" w:color="auto" w:sz="6" w:space="0"/>
                    <w:right w:val="single" w:color="auto" w:sz="6" w:space="0"/>
                  </w:tcBorders>
                  <w:vAlign w:val="center"/>
                </w:tcPr>
                <w:p>
                  <w:pPr>
                    <w:widowControl/>
                    <w:spacing w:line="240" w:lineRule="auto"/>
                    <w:ind w:firstLine="0" w:firstLineChars="0"/>
                    <w:rPr>
                      <w:sz w:val="24"/>
                      <w:szCs w:val="24"/>
                    </w:rPr>
                  </w:pPr>
                </w:p>
              </w:tc>
              <w:tc>
                <w:tcPr>
                  <w:tcW w:w="2256" w:type="dxa"/>
                  <w:vMerge w:val="continue"/>
                  <w:tcBorders>
                    <w:top w:val="single" w:color="auto" w:sz="6" w:space="0"/>
                    <w:left w:val="single" w:color="auto" w:sz="6" w:space="0"/>
                    <w:bottom w:val="single" w:color="auto" w:sz="4" w:space="0"/>
                    <w:right w:val="single" w:color="auto" w:sz="4" w:space="0"/>
                  </w:tcBorders>
                  <w:vAlign w:val="center"/>
                </w:tcPr>
                <w:p>
                  <w:pPr>
                    <w:widowControl/>
                    <w:spacing w:line="240" w:lineRule="auto"/>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42"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PM</w:t>
                  </w:r>
                  <w:r>
                    <w:rPr>
                      <w:sz w:val="24"/>
                      <w:vertAlign w:val="subscript"/>
                    </w:rPr>
                    <w:t>2.5</w:t>
                  </w:r>
                </w:p>
              </w:tc>
              <w:tc>
                <w:tcPr>
                  <w:tcW w:w="2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年平均</w:t>
                  </w:r>
                </w:p>
              </w:tc>
              <w:tc>
                <w:tcPr>
                  <w:tcW w:w="1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≤35</w:t>
                  </w:r>
                </w:p>
              </w:tc>
              <w:tc>
                <w:tcPr>
                  <w:tcW w:w="857" w:type="dxa"/>
                  <w:vMerge w:val="continue"/>
                  <w:tcBorders>
                    <w:left w:val="single" w:color="auto" w:sz="6" w:space="0"/>
                    <w:right w:val="single" w:color="auto" w:sz="6" w:space="0"/>
                  </w:tcBorders>
                  <w:vAlign w:val="center"/>
                </w:tcPr>
                <w:p>
                  <w:pPr>
                    <w:widowControl/>
                    <w:spacing w:line="240" w:lineRule="auto"/>
                    <w:ind w:firstLine="0" w:firstLineChars="0"/>
                    <w:rPr>
                      <w:sz w:val="24"/>
                      <w:szCs w:val="24"/>
                    </w:rPr>
                  </w:pPr>
                </w:p>
              </w:tc>
              <w:tc>
                <w:tcPr>
                  <w:tcW w:w="2256" w:type="dxa"/>
                  <w:vMerge w:val="continue"/>
                  <w:tcBorders>
                    <w:top w:val="single" w:color="auto" w:sz="6" w:space="0"/>
                    <w:left w:val="single" w:color="auto" w:sz="6" w:space="0"/>
                    <w:bottom w:val="single" w:color="auto" w:sz="4" w:space="0"/>
                    <w:right w:val="single" w:color="auto" w:sz="4" w:space="0"/>
                  </w:tcBorders>
                  <w:vAlign w:val="center"/>
                </w:tcPr>
                <w:p>
                  <w:pPr>
                    <w:widowControl/>
                    <w:spacing w:line="240" w:lineRule="auto"/>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42"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O</w:t>
                  </w:r>
                  <w:r>
                    <w:rPr>
                      <w:sz w:val="24"/>
                      <w:vertAlign w:val="subscript"/>
                    </w:rPr>
                    <w:t>3</w:t>
                  </w:r>
                </w:p>
              </w:tc>
              <w:tc>
                <w:tcPr>
                  <w:tcW w:w="2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日最大8小时平均</w:t>
                  </w:r>
                </w:p>
              </w:tc>
              <w:tc>
                <w:tcPr>
                  <w:tcW w:w="1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≤160</w:t>
                  </w:r>
                </w:p>
              </w:tc>
              <w:tc>
                <w:tcPr>
                  <w:tcW w:w="857" w:type="dxa"/>
                  <w:vMerge w:val="continue"/>
                  <w:tcBorders>
                    <w:left w:val="single" w:color="auto" w:sz="6" w:space="0"/>
                    <w:right w:val="single" w:color="auto" w:sz="6" w:space="0"/>
                  </w:tcBorders>
                  <w:vAlign w:val="center"/>
                </w:tcPr>
                <w:p>
                  <w:pPr>
                    <w:widowControl/>
                    <w:spacing w:line="240" w:lineRule="auto"/>
                    <w:ind w:firstLine="0" w:firstLineChars="0"/>
                    <w:rPr>
                      <w:sz w:val="24"/>
                      <w:szCs w:val="24"/>
                    </w:rPr>
                  </w:pPr>
                </w:p>
              </w:tc>
              <w:tc>
                <w:tcPr>
                  <w:tcW w:w="2256" w:type="dxa"/>
                  <w:vMerge w:val="continue"/>
                  <w:tcBorders>
                    <w:top w:val="single" w:color="auto" w:sz="6" w:space="0"/>
                    <w:left w:val="single" w:color="auto" w:sz="6" w:space="0"/>
                    <w:bottom w:val="single" w:color="auto" w:sz="4" w:space="0"/>
                    <w:right w:val="single" w:color="auto" w:sz="4" w:space="0"/>
                  </w:tcBorders>
                  <w:vAlign w:val="center"/>
                </w:tcPr>
                <w:p>
                  <w:pPr>
                    <w:widowControl/>
                    <w:spacing w:line="240" w:lineRule="auto"/>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42"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TSP</w:t>
                  </w:r>
                </w:p>
              </w:tc>
              <w:tc>
                <w:tcPr>
                  <w:tcW w:w="2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24小时评价</w:t>
                  </w:r>
                </w:p>
              </w:tc>
              <w:tc>
                <w:tcPr>
                  <w:tcW w:w="1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≤300</w:t>
                  </w:r>
                </w:p>
              </w:tc>
              <w:tc>
                <w:tcPr>
                  <w:tcW w:w="857" w:type="dxa"/>
                  <w:vMerge w:val="continue"/>
                  <w:tcBorders>
                    <w:left w:val="single" w:color="auto" w:sz="6" w:space="0"/>
                    <w:bottom w:val="single" w:color="auto" w:sz="6" w:space="0"/>
                    <w:right w:val="single" w:color="auto" w:sz="6" w:space="0"/>
                  </w:tcBorders>
                  <w:vAlign w:val="center"/>
                </w:tcPr>
                <w:p>
                  <w:pPr>
                    <w:widowControl/>
                    <w:spacing w:line="240" w:lineRule="auto"/>
                    <w:ind w:firstLine="0" w:firstLineChars="0"/>
                    <w:rPr>
                      <w:sz w:val="24"/>
                      <w:szCs w:val="24"/>
                    </w:rPr>
                  </w:pPr>
                </w:p>
              </w:tc>
              <w:tc>
                <w:tcPr>
                  <w:tcW w:w="2256" w:type="dxa"/>
                  <w:vMerge w:val="continue"/>
                  <w:tcBorders>
                    <w:top w:val="single" w:color="auto" w:sz="6" w:space="0"/>
                    <w:left w:val="single" w:color="auto" w:sz="6" w:space="0"/>
                    <w:bottom w:val="single" w:color="auto" w:sz="4" w:space="0"/>
                    <w:right w:val="single" w:color="auto" w:sz="4" w:space="0"/>
                  </w:tcBorders>
                  <w:vAlign w:val="center"/>
                </w:tcPr>
                <w:p>
                  <w:pPr>
                    <w:widowControl/>
                    <w:spacing w:line="240" w:lineRule="auto"/>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42"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CO</w:t>
                  </w:r>
                </w:p>
              </w:tc>
              <w:tc>
                <w:tcPr>
                  <w:tcW w:w="2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24小时平均</w:t>
                  </w:r>
                </w:p>
              </w:tc>
              <w:tc>
                <w:tcPr>
                  <w:tcW w:w="1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≤4</w:t>
                  </w:r>
                </w:p>
              </w:tc>
              <w:tc>
                <w:tcPr>
                  <w:tcW w:w="857"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mg/m</w:t>
                  </w:r>
                  <w:r>
                    <w:rPr>
                      <w:sz w:val="24"/>
                      <w:vertAlign w:val="superscript"/>
                    </w:rPr>
                    <w:t>3</w:t>
                  </w:r>
                </w:p>
              </w:tc>
              <w:tc>
                <w:tcPr>
                  <w:tcW w:w="2256" w:type="dxa"/>
                  <w:vMerge w:val="continue"/>
                  <w:tcBorders>
                    <w:top w:val="single" w:color="auto" w:sz="6" w:space="0"/>
                    <w:left w:val="single" w:color="auto" w:sz="6" w:space="0"/>
                    <w:bottom w:val="single" w:color="auto" w:sz="6" w:space="0"/>
                    <w:right w:val="single" w:color="auto" w:sz="4" w:space="0"/>
                  </w:tcBorders>
                  <w:vAlign w:val="center"/>
                </w:tcPr>
                <w:p>
                  <w:pPr>
                    <w:widowControl/>
                    <w:spacing w:line="240" w:lineRule="auto"/>
                    <w:ind w:firstLine="0" w:firstLineChars="0"/>
                    <w:rPr>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542" w:type="dxa"/>
                  <w:tcBorders>
                    <w:top w:val="single" w:color="auto" w:sz="6" w:space="0"/>
                    <w:left w:val="single" w:color="auto" w:sz="6" w:space="0"/>
                    <w:bottom w:val="single" w:color="auto" w:sz="4" w:space="0"/>
                    <w:right w:val="single" w:color="auto" w:sz="6" w:space="0"/>
                  </w:tcBorders>
                  <w:vAlign w:val="center"/>
                </w:tcPr>
                <w:p>
                  <w:pPr>
                    <w:pStyle w:val="34"/>
                    <w:rPr>
                      <w:sz w:val="24"/>
                    </w:rPr>
                  </w:pPr>
                  <w:r>
                    <w:rPr>
                      <w:sz w:val="24"/>
                    </w:rPr>
                    <w:t>非甲烷总烃</w:t>
                  </w:r>
                </w:p>
              </w:tc>
              <w:tc>
                <w:tcPr>
                  <w:tcW w:w="2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一次值</w:t>
                  </w:r>
                </w:p>
              </w:tc>
              <w:tc>
                <w:tcPr>
                  <w:tcW w:w="1271" w:type="dxa"/>
                  <w:tcBorders>
                    <w:top w:val="single" w:color="auto" w:sz="6" w:space="0"/>
                    <w:left w:val="single" w:color="auto" w:sz="6" w:space="0"/>
                    <w:bottom w:val="single" w:color="auto" w:sz="6" w:space="0"/>
                    <w:right w:val="single" w:color="auto" w:sz="6" w:space="0"/>
                  </w:tcBorders>
                  <w:vAlign w:val="center"/>
                </w:tcPr>
                <w:p>
                  <w:pPr>
                    <w:pStyle w:val="34"/>
                    <w:rPr>
                      <w:sz w:val="24"/>
                    </w:rPr>
                  </w:pPr>
                  <w:r>
                    <w:rPr>
                      <w:sz w:val="24"/>
                    </w:rPr>
                    <w:t>2000</w:t>
                  </w:r>
                </w:p>
              </w:tc>
              <w:tc>
                <w:tcPr>
                  <w:tcW w:w="857" w:type="dxa"/>
                  <w:tcBorders>
                    <w:top w:val="single" w:color="auto" w:sz="6" w:space="0"/>
                    <w:left w:val="single" w:color="auto" w:sz="6" w:space="0"/>
                    <w:bottom w:val="single" w:color="auto" w:sz="4" w:space="0"/>
                    <w:right w:val="single" w:color="auto" w:sz="6" w:space="0"/>
                  </w:tcBorders>
                  <w:vAlign w:val="center"/>
                </w:tcPr>
                <w:p>
                  <w:pPr>
                    <w:widowControl/>
                    <w:spacing w:line="240" w:lineRule="auto"/>
                    <w:ind w:firstLine="0" w:firstLineChars="0"/>
                    <w:jc w:val="center"/>
                    <w:rPr>
                      <w:sz w:val="24"/>
                      <w:szCs w:val="24"/>
                    </w:rPr>
                  </w:pPr>
                  <w:r>
                    <w:rPr>
                      <w:sz w:val="24"/>
                      <w:szCs w:val="24"/>
                    </w:rPr>
                    <w:t>μg/m</w:t>
                  </w:r>
                  <w:r>
                    <w:rPr>
                      <w:sz w:val="24"/>
                      <w:szCs w:val="24"/>
                      <w:vertAlign w:val="superscript"/>
                    </w:rPr>
                    <w:t>3</w:t>
                  </w:r>
                </w:p>
              </w:tc>
              <w:tc>
                <w:tcPr>
                  <w:tcW w:w="2256" w:type="dxa"/>
                  <w:tcBorders>
                    <w:top w:val="single" w:color="auto" w:sz="6" w:space="0"/>
                    <w:left w:val="single" w:color="auto" w:sz="6" w:space="0"/>
                    <w:bottom w:val="single" w:color="auto" w:sz="4" w:space="0"/>
                    <w:right w:val="single" w:color="auto" w:sz="4" w:space="0"/>
                  </w:tcBorders>
                  <w:vAlign w:val="center"/>
                </w:tcPr>
                <w:p>
                  <w:pPr>
                    <w:widowControl/>
                    <w:spacing w:line="240" w:lineRule="auto"/>
                    <w:ind w:firstLine="0" w:firstLineChars="0"/>
                    <w:jc w:val="center"/>
                    <w:rPr>
                      <w:sz w:val="24"/>
                      <w:szCs w:val="24"/>
                    </w:rPr>
                  </w:pPr>
                  <w:r>
                    <w:rPr>
                      <w:sz w:val="24"/>
                      <w:szCs w:val="24"/>
                    </w:rPr>
                    <w:t>《大气污染物综合排放标准详解》</w:t>
                  </w:r>
                </w:p>
              </w:tc>
            </w:tr>
          </w:tbl>
          <w:p>
            <w:pPr>
              <w:ind w:firstLine="480"/>
              <w:rPr>
                <w:sz w:val="24"/>
                <w:szCs w:val="24"/>
              </w:rPr>
            </w:pPr>
            <w:r>
              <w:rPr>
                <w:rFonts w:hint="eastAsia"/>
                <w:sz w:val="24"/>
                <w:szCs w:val="24"/>
              </w:rPr>
              <w:t>（2）地下水环境质量执行《地下水质量标准》（GB/T14848-2017）III类标准，其中石油类执行《地表水环境质量标准》（GB3838-2002）III类标准。</w:t>
            </w:r>
          </w:p>
          <w:p>
            <w:pPr>
              <w:spacing w:line="240" w:lineRule="auto"/>
              <w:ind w:firstLine="482"/>
              <w:jc w:val="center"/>
              <w:rPr>
                <w:sz w:val="24"/>
                <w:szCs w:val="24"/>
              </w:rPr>
            </w:pPr>
            <w:r>
              <w:rPr>
                <w:b/>
                <w:sz w:val="24"/>
              </w:rPr>
              <w:t>表3-</w:t>
            </w:r>
            <w:r>
              <w:rPr>
                <w:rFonts w:hint="eastAsia"/>
                <w:b/>
                <w:sz w:val="24"/>
              </w:rPr>
              <w:t>13</w:t>
            </w:r>
            <w:r>
              <w:rPr>
                <w:b/>
                <w:sz w:val="24"/>
              </w:rPr>
              <w:t xml:space="preserve">  地下水质量标准</w:t>
            </w:r>
          </w:p>
          <w:tbl>
            <w:tblPr>
              <w:tblStyle w:val="21"/>
              <w:tblW w:w="81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2757"/>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shd w:val="pct10" w:color="auto" w:fill="auto"/>
                  <w:vAlign w:val="center"/>
                </w:tcPr>
                <w:p>
                  <w:pPr>
                    <w:spacing w:line="240" w:lineRule="auto"/>
                    <w:ind w:firstLine="0" w:firstLineChars="0"/>
                    <w:jc w:val="center"/>
                    <w:rPr>
                      <w:b/>
                      <w:bCs/>
                      <w:sz w:val="24"/>
                      <w:szCs w:val="24"/>
                    </w:rPr>
                  </w:pPr>
                  <w:r>
                    <w:rPr>
                      <w:b/>
                      <w:bCs/>
                      <w:sz w:val="24"/>
                      <w:szCs w:val="24"/>
                    </w:rPr>
                    <w:t>监测因子</w:t>
                  </w:r>
                </w:p>
              </w:tc>
              <w:tc>
                <w:tcPr>
                  <w:tcW w:w="2757" w:type="dxa"/>
                  <w:shd w:val="pct10" w:color="auto" w:fill="auto"/>
                  <w:vAlign w:val="center"/>
                </w:tcPr>
                <w:p>
                  <w:pPr>
                    <w:spacing w:line="240" w:lineRule="auto"/>
                    <w:ind w:firstLine="0" w:firstLineChars="0"/>
                    <w:jc w:val="center"/>
                    <w:rPr>
                      <w:b/>
                      <w:bCs/>
                      <w:sz w:val="24"/>
                      <w:szCs w:val="24"/>
                    </w:rPr>
                  </w:pPr>
                  <w:r>
                    <w:rPr>
                      <w:rFonts w:hint="eastAsia"/>
                      <w:b/>
                      <w:bCs/>
                      <w:sz w:val="24"/>
                      <w:szCs w:val="24"/>
                    </w:rPr>
                    <w:t>III类标准</w:t>
                  </w:r>
                </w:p>
              </w:tc>
              <w:tc>
                <w:tcPr>
                  <w:tcW w:w="2731" w:type="dxa"/>
                  <w:shd w:val="pct10" w:color="auto" w:fill="auto"/>
                  <w:vAlign w:val="center"/>
                </w:tcPr>
                <w:p>
                  <w:pPr>
                    <w:spacing w:line="240" w:lineRule="auto"/>
                    <w:ind w:firstLine="0" w:firstLineChars="0"/>
                    <w:jc w:val="center"/>
                    <w:rPr>
                      <w:b/>
                      <w:bCs/>
                      <w:sz w:val="24"/>
                      <w:szCs w:val="24"/>
                    </w:rPr>
                  </w:pPr>
                  <w:r>
                    <w:rPr>
                      <w:b/>
                      <w:bCs/>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pStyle w:val="15"/>
                    <w:spacing w:after="0" w:line="240" w:lineRule="auto"/>
                    <w:ind w:left="0" w:leftChars="0" w:firstLine="0" w:firstLineChars="0"/>
                    <w:jc w:val="center"/>
                    <w:rPr>
                      <w:bCs/>
                      <w:sz w:val="24"/>
                      <w:szCs w:val="24"/>
                    </w:rPr>
                  </w:pPr>
                  <w:r>
                    <w:rPr>
                      <w:sz w:val="24"/>
                      <w:szCs w:val="24"/>
                    </w:rPr>
                    <w:t>pH</w:t>
                  </w:r>
                </w:p>
              </w:tc>
              <w:tc>
                <w:tcPr>
                  <w:tcW w:w="2757" w:type="dxa"/>
                  <w:vAlign w:val="center"/>
                </w:tcPr>
                <w:p>
                  <w:pPr>
                    <w:spacing w:line="240" w:lineRule="auto"/>
                    <w:ind w:firstLine="0" w:firstLineChars="0"/>
                    <w:jc w:val="center"/>
                    <w:rPr>
                      <w:bCs/>
                      <w:sz w:val="24"/>
                      <w:szCs w:val="24"/>
                    </w:rPr>
                  </w:pPr>
                  <w:r>
                    <w:rPr>
                      <w:sz w:val="24"/>
                      <w:szCs w:val="24"/>
                    </w:rPr>
                    <w:t>6.5-8.5</w:t>
                  </w:r>
                </w:p>
              </w:tc>
              <w:tc>
                <w:tcPr>
                  <w:tcW w:w="2731" w:type="dxa"/>
                  <w:vAlign w:val="center"/>
                </w:tcPr>
                <w:p>
                  <w:pPr>
                    <w:spacing w:line="240" w:lineRule="auto"/>
                    <w:ind w:firstLine="0" w:firstLineChars="0"/>
                    <w:jc w:val="center"/>
                    <w:rPr>
                      <w:bCs/>
                      <w:sz w:val="24"/>
                      <w:szCs w:val="24"/>
                    </w:rPr>
                  </w:pPr>
                  <w:r>
                    <w:rPr>
                      <w:bCs/>
                      <w:sz w:val="24"/>
                      <w:szCs w:val="24"/>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bCs/>
                      <w:sz w:val="24"/>
                      <w:szCs w:val="24"/>
                    </w:rPr>
                  </w:pPr>
                  <w:r>
                    <w:rPr>
                      <w:sz w:val="24"/>
                      <w:szCs w:val="24"/>
                    </w:rPr>
                    <w:t>Na</w:t>
                  </w:r>
                  <w:r>
                    <w:rPr>
                      <w:sz w:val="24"/>
                      <w:szCs w:val="24"/>
                      <w:vertAlign w:val="superscript"/>
                    </w:rPr>
                    <w:t>+</w:t>
                  </w:r>
                </w:p>
              </w:tc>
              <w:tc>
                <w:tcPr>
                  <w:tcW w:w="2757" w:type="dxa"/>
                  <w:vAlign w:val="center"/>
                </w:tcPr>
                <w:p>
                  <w:pPr>
                    <w:spacing w:line="240" w:lineRule="auto"/>
                    <w:ind w:firstLine="0" w:firstLineChars="0"/>
                    <w:jc w:val="center"/>
                    <w:rPr>
                      <w:bCs/>
                      <w:sz w:val="24"/>
                      <w:szCs w:val="24"/>
                    </w:rPr>
                  </w:pPr>
                  <w:r>
                    <w:rPr>
                      <w:sz w:val="24"/>
                      <w:szCs w:val="24"/>
                    </w:rPr>
                    <w:t>≤200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bCs/>
                      <w:sz w:val="24"/>
                      <w:szCs w:val="24"/>
                    </w:rPr>
                  </w:pPr>
                  <w:r>
                    <w:rPr>
                      <w:rFonts w:hint="eastAsia"/>
                      <w:sz w:val="24"/>
                      <w:szCs w:val="24"/>
                    </w:rPr>
                    <w:t>氨氮</w:t>
                  </w:r>
                </w:p>
              </w:tc>
              <w:tc>
                <w:tcPr>
                  <w:tcW w:w="2757" w:type="dxa"/>
                  <w:vAlign w:val="center"/>
                </w:tcPr>
                <w:p>
                  <w:pPr>
                    <w:spacing w:line="240" w:lineRule="auto"/>
                    <w:ind w:firstLine="0" w:firstLineChars="0"/>
                    <w:jc w:val="center"/>
                    <w:rPr>
                      <w:bCs/>
                      <w:sz w:val="24"/>
                      <w:szCs w:val="24"/>
                    </w:rPr>
                  </w:pPr>
                  <w:r>
                    <w:rPr>
                      <w:sz w:val="24"/>
                      <w:szCs w:val="24"/>
                    </w:rPr>
                    <w:t>≤0.5</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bCs/>
                      <w:sz w:val="24"/>
                      <w:szCs w:val="24"/>
                    </w:rPr>
                  </w:pPr>
                  <w:r>
                    <w:rPr>
                      <w:rFonts w:hint="eastAsia"/>
                      <w:sz w:val="24"/>
                      <w:szCs w:val="24"/>
                    </w:rPr>
                    <w:t>硝酸盐</w:t>
                  </w:r>
                </w:p>
              </w:tc>
              <w:tc>
                <w:tcPr>
                  <w:tcW w:w="2757" w:type="dxa"/>
                  <w:vAlign w:val="center"/>
                </w:tcPr>
                <w:p>
                  <w:pPr>
                    <w:spacing w:line="240" w:lineRule="auto"/>
                    <w:ind w:firstLine="0" w:firstLineChars="0"/>
                    <w:jc w:val="center"/>
                    <w:rPr>
                      <w:sz w:val="24"/>
                      <w:szCs w:val="24"/>
                    </w:rPr>
                  </w:pPr>
                  <w:r>
                    <w:rPr>
                      <w:sz w:val="24"/>
                      <w:szCs w:val="24"/>
                    </w:rPr>
                    <w:t>≤20.0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bCs/>
                      <w:sz w:val="24"/>
                      <w:szCs w:val="24"/>
                    </w:rPr>
                  </w:pPr>
                  <w:r>
                    <w:rPr>
                      <w:rFonts w:hint="eastAsia"/>
                      <w:sz w:val="24"/>
                      <w:szCs w:val="24"/>
                    </w:rPr>
                    <w:t>亚硝酸盐</w:t>
                  </w:r>
                </w:p>
              </w:tc>
              <w:tc>
                <w:tcPr>
                  <w:tcW w:w="2757" w:type="dxa"/>
                  <w:vAlign w:val="center"/>
                </w:tcPr>
                <w:p>
                  <w:pPr>
                    <w:spacing w:line="240" w:lineRule="auto"/>
                    <w:ind w:firstLine="0" w:firstLineChars="0"/>
                    <w:jc w:val="center"/>
                    <w:rPr>
                      <w:bCs/>
                      <w:sz w:val="24"/>
                      <w:szCs w:val="24"/>
                    </w:rPr>
                  </w:pPr>
                  <w:r>
                    <w:rPr>
                      <w:sz w:val="24"/>
                      <w:szCs w:val="24"/>
                    </w:rPr>
                    <w:t>≤1.00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bCs/>
                      <w:sz w:val="24"/>
                      <w:szCs w:val="24"/>
                    </w:rPr>
                  </w:pPr>
                  <w:r>
                    <w:rPr>
                      <w:rFonts w:hint="eastAsia"/>
                      <w:sz w:val="24"/>
                      <w:szCs w:val="24"/>
                    </w:rPr>
                    <w:t>挥发性酚类</w:t>
                  </w:r>
                </w:p>
              </w:tc>
              <w:tc>
                <w:tcPr>
                  <w:tcW w:w="2757" w:type="dxa"/>
                  <w:vAlign w:val="center"/>
                </w:tcPr>
                <w:p>
                  <w:pPr>
                    <w:spacing w:line="240" w:lineRule="auto"/>
                    <w:ind w:firstLine="0" w:firstLineChars="0"/>
                    <w:jc w:val="center"/>
                    <w:rPr>
                      <w:bCs/>
                      <w:sz w:val="24"/>
                      <w:szCs w:val="24"/>
                    </w:rPr>
                  </w:pPr>
                  <w:r>
                    <w:rPr>
                      <w:sz w:val="24"/>
                      <w:szCs w:val="24"/>
                    </w:rPr>
                    <w:t>≤0.002</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bCs/>
                      <w:sz w:val="24"/>
                      <w:szCs w:val="24"/>
                    </w:rPr>
                  </w:pPr>
                  <w:r>
                    <w:rPr>
                      <w:rFonts w:hint="eastAsia"/>
                      <w:sz w:val="24"/>
                      <w:szCs w:val="24"/>
                    </w:rPr>
                    <w:t>氟化物</w:t>
                  </w:r>
                </w:p>
              </w:tc>
              <w:tc>
                <w:tcPr>
                  <w:tcW w:w="2757" w:type="dxa"/>
                  <w:vAlign w:val="center"/>
                </w:tcPr>
                <w:p>
                  <w:pPr>
                    <w:spacing w:line="240" w:lineRule="auto"/>
                    <w:ind w:firstLine="0" w:firstLineChars="0"/>
                    <w:jc w:val="center"/>
                    <w:rPr>
                      <w:bCs/>
                      <w:sz w:val="24"/>
                      <w:szCs w:val="24"/>
                    </w:rPr>
                  </w:pPr>
                  <w:r>
                    <w:rPr>
                      <w:sz w:val="24"/>
                      <w:szCs w:val="24"/>
                    </w:rPr>
                    <w:t>≤1.0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bCs/>
                      <w:sz w:val="24"/>
                      <w:szCs w:val="24"/>
                    </w:rPr>
                  </w:pPr>
                  <w:r>
                    <w:rPr>
                      <w:rFonts w:hint="eastAsia"/>
                      <w:sz w:val="24"/>
                      <w:szCs w:val="24"/>
                    </w:rPr>
                    <w:t>氰化物</w:t>
                  </w:r>
                </w:p>
              </w:tc>
              <w:tc>
                <w:tcPr>
                  <w:tcW w:w="2757" w:type="dxa"/>
                  <w:vAlign w:val="center"/>
                </w:tcPr>
                <w:p>
                  <w:pPr>
                    <w:spacing w:line="240" w:lineRule="auto"/>
                    <w:ind w:firstLine="0" w:firstLineChars="0"/>
                    <w:jc w:val="center"/>
                    <w:rPr>
                      <w:bCs/>
                      <w:sz w:val="24"/>
                      <w:szCs w:val="24"/>
                    </w:rPr>
                  </w:pPr>
                  <w:r>
                    <w:rPr>
                      <w:sz w:val="24"/>
                      <w:szCs w:val="24"/>
                    </w:rPr>
                    <w:t>≤0.05</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砷</w:t>
                  </w:r>
                </w:p>
              </w:tc>
              <w:tc>
                <w:tcPr>
                  <w:tcW w:w="2757" w:type="dxa"/>
                  <w:vAlign w:val="center"/>
                </w:tcPr>
                <w:p>
                  <w:pPr>
                    <w:spacing w:line="240" w:lineRule="auto"/>
                    <w:ind w:firstLine="0" w:firstLineChars="0"/>
                    <w:jc w:val="center"/>
                    <w:rPr>
                      <w:bCs/>
                      <w:sz w:val="24"/>
                      <w:szCs w:val="24"/>
                    </w:rPr>
                  </w:pPr>
                  <w:r>
                    <w:rPr>
                      <w:sz w:val="24"/>
                      <w:szCs w:val="24"/>
                    </w:rPr>
                    <w:t>≤0.01</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汞</w:t>
                  </w:r>
                </w:p>
              </w:tc>
              <w:tc>
                <w:tcPr>
                  <w:tcW w:w="2757" w:type="dxa"/>
                  <w:vAlign w:val="center"/>
                </w:tcPr>
                <w:p>
                  <w:pPr>
                    <w:spacing w:line="240" w:lineRule="auto"/>
                    <w:ind w:firstLine="0" w:firstLineChars="0"/>
                    <w:jc w:val="center"/>
                    <w:rPr>
                      <w:bCs/>
                      <w:sz w:val="24"/>
                      <w:szCs w:val="24"/>
                    </w:rPr>
                  </w:pPr>
                  <w:r>
                    <w:rPr>
                      <w:sz w:val="24"/>
                      <w:szCs w:val="24"/>
                    </w:rPr>
                    <w:t>≤0.001</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六价铬</w:t>
                  </w:r>
                </w:p>
              </w:tc>
              <w:tc>
                <w:tcPr>
                  <w:tcW w:w="2757" w:type="dxa"/>
                  <w:vAlign w:val="center"/>
                </w:tcPr>
                <w:p>
                  <w:pPr>
                    <w:spacing w:line="240" w:lineRule="auto"/>
                    <w:ind w:firstLine="0" w:firstLineChars="0"/>
                    <w:jc w:val="center"/>
                    <w:rPr>
                      <w:bCs/>
                      <w:sz w:val="24"/>
                      <w:szCs w:val="24"/>
                    </w:rPr>
                  </w:pPr>
                  <w:r>
                    <w:rPr>
                      <w:sz w:val="24"/>
                      <w:szCs w:val="24"/>
                    </w:rPr>
                    <w:t>≤0.05</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bCs/>
                      <w:sz w:val="24"/>
                      <w:szCs w:val="24"/>
                    </w:rPr>
                  </w:pPr>
                  <w:r>
                    <w:rPr>
                      <w:rFonts w:hint="eastAsia"/>
                      <w:sz w:val="24"/>
                      <w:szCs w:val="24"/>
                    </w:rPr>
                    <w:t>总硬度</w:t>
                  </w:r>
                </w:p>
              </w:tc>
              <w:tc>
                <w:tcPr>
                  <w:tcW w:w="2757" w:type="dxa"/>
                  <w:vAlign w:val="center"/>
                </w:tcPr>
                <w:p>
                  <w:pPr>
                    <w:spacing w:line="240" w:lineRule="auto"/>
                    <w:ind w:firstLine="0" w:firstLineChars="0"/>
                    <w:jc w:val="center"/>
                    <w:rPr>
                      <w:bCs/>
                      <w:sz w:val="24"/>
                      <w:szCs w:val="24"/>
                    </w:rPr>
                  </w:pPr>
                  <w:r>
                    <w:rPr>
                      <w:sz w:val="24"/>
                      <w:szCs w:val="24"/>
                    </w:rPr>
                    <w:t>≤450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铅</w:t>
                  </w:r>
                </w:p>
              </w:tc>
              <w:tc>
                <w:tcPr>
                  <w:tcW w:w="2757" w:type="dxa"/>
                  <w:vAlign w:val="center"/>
                </w:tcPr>
                <w:p>
                  <w:pPr>
                    <w:spacing w:line="240" w:lineRule="auto"/>
                    <w:ind w:firstLine="0" w:firstLineChars="0"/>
                    <w:jc w:val="center"/>
                    <w:rPr>
                      <w:bCs/>
                      <w:sz w:val="24"/>
                      <w:szCs w:val="24"/>
                    </w:rPr>
                  </w:pPr>
                  <w:r>
                    <w:rPr>
                      <w:sz w:val="24"/>
                      <w:szCs w:val="24"/>
                    </w:rPr>
                    <w:t>≤0.01</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镉</w:t>
                  </w:r>
                </w:p>
              </w:tc>
              <w:tc>
                <w:tcPr>
                  <w:tcW w:w="2757" w:type="dxa"/>
                  <w:vAlign w:val="center"/>
                </w:tcPr>
                <w:p>
                  <w:pPr>
                    <w:spacing w:line="240" w:lineRule="auto"/>
                    <w:ind w:firstLine="0" w:firstLineChars="0"/>
                    <w:jc w:val="center"/>
                    <w:rPr>
                      <w:bCs/>
                      <w:sz w:val="24"/>
                      <w:szCs w:val="24"/>
                    </w:rPr>
                  </w:pPr>
                  <w:r>
                    <w:rPr>
                      <w:sz w:val="24"/>
                      <w:szCs w:val="24"/>
                    </w:rPr>
                    <w:t>≤0.005</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铁</w:t>
                  </w:r>
                </w:p>
              </w:tc>
              <w:tc>
                <w:tcPr>
                  <w:tcW w:w="2757" w:type="dxa"/>
                  <w:vAlign w:val="center"/>
                </w:tcPr>
                <w:p>
                  <w:pPr>
                    <w:spacing w:line="240" w:lineRule="auto"/>
                    <w:ind w:firstLine="0" w:firstLineChars="0"/>
                    <w:jc w:val="center"/>
                    <w:rPr>
                      <w:bCs/>
                      <w:sz w:val="24"/>
                      <w:szCs w:val="24"/>
                    </w:rPr>
                  </w:pPr>
                  <w:r>
                    <w:rPr>
                      <w:sz w:val="24"/>
                      <w:szCs w:val="24"/>
                    </w:rPr>
                    <w:t>≤0.3</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锰</w:t>
                  </w:r>
                </w:p>
              </w:tc>
              <w:tc>
                <w:tcPr>
                  <w:tcW w:w="2757" w:type="dxa"/>
                  <w:vAlign w:val="center"/>
                </w:tcPr>
                <w:p>
                  <w:pPr>
                    <w:spacing w:line="240" w:lineRule="auto"/>
                    <w:ind w:firstLine="0" w:firstLineChars="0"/>
                    <w:jc w:val="center"/>
                    <w:rPr>
                      <w:bCs/>
                      <w:sz w:val="24"/>
                      <w:szCs w:val="24"/>
                    </w:rPr>
                  </w:pPr>
                  <w:r>
                    <w:rPr>
                      <w:sz w:val="24"/>
                      <w:szCs w:val="24"/>
                    </w:rPr>
                    <w:t>≤0.10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锌</w:t>
                  </w:r>
                </w:p>
              </w:tc>
              <w:tc>
                <w:tcPr>
                  <w:tcW w:w="2757" w:type="dxa"/>
                  <w:vAlign w:val="center"/>
                </w:tcPr>
                <w:p>
                  <w:pPr>
                    <w:spacing w:line="240" w:lineRule="auto"/>
                    <w:ind w:firstLine="0" w:firstLineChars="0"/>
                    <w:jc w:val="center"/>
                    <w:rPr>
                      <w:sz w:val="24"/>
                      <w:szCs w:val="24"/>
                    </w:rPr>
                  </w:pPr>
                  <w:r>
                    <w:rPr>
                      <w:sz w:val="24"/>
                      <w:szCs w:val="24"/>
                    </w:rPr>
                    <w:t>≤1</w:t>
                  </w:r>
                  <w:r>
                    <w:rPr>
                      <w:rFonts w:hint="eastAsia"/>
                      <w:sz w:val="24"/>
                      <w:szCs w:val="24"/>
                    </w:rPr>
                    <w:t>.</w:t>
                  </w:r>
                  <w:r>
                    <w:rPr>
                      <w:sz w:val="24"/>
                      <w:szCs w:val="24"/>
                    </w:rPr>
                    <w:t>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铜</w:t>
                  </w:r>
                </w:p>
              </w:tc>
              <w:tc>
                <w:tcPr>
                  <w:tcW w:w="2757" w:type="dxa"/>
                  <w:vAlign w:val="center"/>
                </w:tcPr>
                <w:p>
                  <w:pPr>
                    <w:spacing w:line="240" w:lineRule="auto"/>
                    <w:ind w:firstLine="0" w:firstLineChars="0"/>
                    <w:jc w:val="center"/>
                    <w:rPr>
                      <w:sz w:val="24"/>
                      <w:szCs w:val="24"/>
                    </w:rPr>
                  </w:pPr>
                  <w:r>
                    <w:rPr>
                      <w:sz w:val="24"/>
                      <w:szCs w:val="24"/>
                    </w:rPr>
                    <w:t>≤1</w:t>
                  </w:r>
                  <w:r>
                    <w:rPr>
                      <w:rFonts w:hint="eastAsia"/>
                      <w:sz w:val="24"/>
                      <w:szCs w:val="24"/>
                    </w:rPr>
                    <w:t>.</w:t>
                  </w:r>
                  <w:r>
                    <w:rPr>
                      <w:sz w:val="24"/>
                      <w:szCs w:val="24"/>
                    </w:rPr>
                    <w:t>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溶解性总固体</w:t>
                  </w:r>
                </w:p>
              </w:tc>
              <w:tc>
                <w:tcPr>
                  <w:tcW w:w="2757" w:type="dxa"/>
                  <w:vAlign w:val="center"/>
                </w:tcPr>
                <w:p>
                  <w:pPr>
                    <w:spacing w:line="240" w:lineRule="auto"/>
                    <w:ind w:firstLine="0" w:firstLineChars="0"/>
                    <w:jc w:val="center"/>
                    <w:rPr>
                      <w:bCs/>
                      <w:sz w:val="24"/>
                      <w:szCs w:val="24"/>
                    </w:rPr>
                  </w:pPr>
                  <w:r>
                    <w:rPr>
                      <w:sz w:val="24"/>
                      <w:szCs w:val="24"/>
                    </w:rPr>
                    <w:t>≤1000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耗氧量</w:t>
                  </w:r>
                </w:p>
              </w:tc>
              <w:tc>
                <w:tcPr>
                  <w:tcW w:w="2757" w:type="dxa"/>
                  <w:vAlign w:val="center"/>
                </w:tcPr>
                <w:p>
                  <w:pPr>
                    <w:spacing w:line="240" w:lineRule="auto"/>
                    <w:ind w:firstLine="0" w:firstLineChars="0"/>
                    <w:jc w:val="center"/>
                    <w:rPr>
                      <w:bCs/>
                      <w:sz w:val="24"/>
                      <w:szCs w:val="24"/>
                    </w:rPr>
                  </w:pPr>
                  <w:r>
                    <w:rPr>
                      <w:sz w:val="24"/>
                      <w:szCs w:val="24"/>
                    </w:rPr>
                    <w:t>≤3.0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硫酸盐</w:t>
                  </w:r>
                </w:p>
              </w:tc>
              <w:tc>
                <w:tcPr>
                  <w:tcW w:w="2757" w:type="dxa"/>
                  <w:vAlign w:val="center"/>
                </w:tcPr>
                <w:p>
                  <w:pPr>
                    <w:spacing w:line="240" w:lineRule="auto"/>
                    <w:ind w:firstLine="0" w:firstLineChars="0"/>
                    <w:jc w:val="center"/>
                    <w:rPr>
                      <w:bCs/>
                      <w:sz w:val="24"/>
                      <w:szCs w:val="24"/>
                    </w:rPr>
                  </w:pPr>
                  <w:r>
                    <w:rPr>
                      <w:sz w:val="24"/>
                      <w:szCs w:val="24"/>
                    </w:rPr>
                    <w:t>≤250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氯化物</w:t>
                  </w:r>
                </w:p>
              </w:tc>
              <w:tc>
                <w:tcPr>
                  <w:tcW w:w="2757" w:type="dxa"/>
                  <w:vAlign w:val="center"/>
                </w:tcPr>
                <w:p>
                  <w:pPr>
                    <w:spacing w:line="240" w:lineRule="auto"/>
                    <w:ind w:firstLine="0" w:firstLineChars="0"/>
                    <w:jc w:val="center"/>
                    <w:rPr>
                      <w:bCs/>
                      <w:sz w:val="24"/>
                      <w:szCs w:val="24"/>
                    </w:rPr>
                  </w:pPr>
                  <w:r>
                    <w:rPr>
                      <w:sz w:val="24"/>
                      <w:szCs w:val="24"/>
                    </w:rPr>
                    <w:t>≤250</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rFonts w:hint="eastAsia"/>
                      <w:sz w:val="24"/>
                      <w:szCs w:val="24"/>
                    </w:rPr>
                    <w:t>阴离子表面活性剂</w:t>
                  </w:r>
                </w:p>
              </w:tc>
              <w:tc>
                <w:tcPr>
                  <w:tcW w:w="2757" w:type="dxa"/>
                  <w:vAlign w:val="center"/>
                </w:tcPr>
                <w:p>
                  <w:pPr>
                    <w:spacing w:line="240" w:lineRule="auto"/>
                    <w:ind w:firstLine="0" w:firstLineChars="0"/>
                    <w:jc w:val="center"/>
                    <w:rPr>
                      <w:sz w:val="24"/>
                      <w:szCs w:val="24"/>
                    </w:rPr>
                  </w:pPr>
                  <w:r>
                    <w:rPr>
                      <w:sz w:val="24"/>
                      <w:szCs w:val="24"/>
                    </w:rPr>
                    <w:t>≤</w:t>
                  </w:r>
                  <w:r>
                    <w:rPr>
                      <w:rFonts w:hint="eastAsia"/>
                      <w:sz w:val="24"/>
                      <w:szCs w:val="24"/>
                    </w:rPr>
                    <w:t>0.3</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709" w:type="dxa"/>
                  <w:vAlign w:val="center"/>
                </w:tcPr>
                <w:p>
                  <w:pPr>
                    <w:spacing w:line="240" w:lineRule="auto"/>
                    <w:ind w:firstLine="0" w:firstLineChars="0"/>
                    <w:jc w:val="center"/>
                    <w:rPr>
                      <w:sz w:val="24"/>
                      <w:szCs w:val="24"/>
                    </w:rPr>
                  </w:pPr>
                  <w:r>
                    <w:rPr>
                      <w:sz w:val="24"/>
                      <w:szCs w:val="24"/>
                    </w:rPr>
                    <w:t>石油类</w:t>
                  </w:r>
                </w:p>
              </w:tc>
              <w:tc>
                <w:tcPr>
                  <w:tcW w:w="2757" w:type="dxa"/>
                  <w:vAlign w:val="center"/>
                </w:tcPr>
                <w:p>
                  <w:pPr>
                    <w:spacing w:line="240" w:lineRule="auto"/>
                    <w:ind w:firstLine="0" w:firstLineChars="0"/>
                    <w:jc w:val="center"/>
                    <w:rPr>
                      <w:bCs/>
                      <w:sz w:val="24"/>
                      <w:szCs w:val="24"/>
                    </w:rPr>
                  </w:pPr>
                  <w:r>
                    <w:rPr>
                      <w:bCs/>
                      <w:sz w:val="24"/>
                      <w:szCs w:val="24"/>
                    </w:rPr>
                    <w:t>≤</w:t>
                  </w:r>
                  <w:r>
                    <w:rPr>
                      <w:rFonts w:hint="eastAsia"/>
                      <w:bCs/>
                      <w:sz w:val="24"/>
                      <w:szCs w:val="24"/>
                    </w:rPr>
                    <w:t>0.05</w:t>
                  </w:r>
                </w:p>
              </w:tc>
              <w:tc>
                <w:tcPr>
                  <w:tcW w:w="2731" w:type="dxa"/>
                  <w:vAlign w:val="center"/>
                </w:tcPr>
                <w:p>
                  <w:pPr>
                    <w:spacing w:line="240" w:lineRule="auto"/>
                    <w:ind w:firstLine="0" w:firstLineChars="0"/>
                    <w:jc w:val="center"/>
                    <w:rPr>
                      <w:bCs/>
                      <w:sz w:val="24"/>
                      <w:szCs w:val="24"/>
                    </w:rPr>
                  </w:pPr>
                  <w:r>
                    <w:rPr>
                      <w:rFonts w:hint="eastAsia"/>
                      <w:bCs/>
                      <w:sz w:val="24"/>
                      <w:szCs w:val="24"/>
                    </w:rPr>
                    <w:t>m</w:t>
                  </w:r>
                  <w:r>
                    <w:rPr>
                      <w:bCs/>
                      <w:sz w:val="24"/>
                      <w:szCs w:val="24"/>
                    </w:rPr>
                    <w:t>g</w:t>
                  </w:r>
                  <w:r>
                    <w:rPr>
                      <w:rFonts w:hint="eastAsia"/>
                      <w:bCs/>
                      <w:sz w:val="24"/>
                      <w:szCs w:val="24"/>
                    </w:rPr>
                    <w:t>/L</w:t>
                  </w:r>
                </w:p>
              </w:tc>
            </w:tr>
          </w:tbl>
          <w:p>
            <w:pPr>
              <w:ind w:firstLine="480"/>
              <w:rPr>
                <w:sz w:val="24"/>
                <w:szCs w:val="24"/>
              </w:rPr>
            </w:pPr>
            <w:r>
              <w:rPr>
                <w:sz w:val="24"/>
                <w:szCs w:val="24"/>
              </w:rPr>
              <w:t>（</w:t>
            </w:r>
            <w:r>
              <w:rPr>
                <w:rFonts w:hint="eastAsia"/>
                <w:sz w:val="24"/>
                <w:szCs w:val="24"/>
              </w:rPr>
              <w:t>3</w:t>
            </w:r>
            <w:r>
              <w:rPr>
                <w:sz w:val="24"/>
                <w:szCs w:val="24"/>
              </w:rPr>
              <w:t>）声环境质量执行《声环境质量标准》（GB3096-2008）中</w:t>
            </w:r>
            <w:r>
              <w:rPr>
                <w:rFonts w:hint="eastAsia"/>
                <w:sz w:val="24"/>
                <w:szCs w:val="24"/>
              </w:rPr>
              <w:t>2</w:t>
            </w:r>
            <w:r>
              <w:rPr>
                <w:sz w:val="24"/>
                <w:szCs w:val="24"/>
              </w:rPr>
              <w:t>类标准限值。</w:t>
            </w:r>
          </w:p>
          <w:p>
            <w:pPr>
              <w:pStyle w:val="34"/>
              <w:rPr>
                <w:b/>
                <w:sz w:val="24"/>
              </w:rPr>
            </w:pPr>
            <w:r>
              <w:rPr>
                <w:b/>
                <w:sz w:val="24"/>
              </w:rPr>
              <w:t>表</w:t>
            </w:r>
            <w:r>
              <w:rPr>
                <w:rFonts w:hint="eastAsia"/>
                <w:b/>
                <w:sz w:val="24"/>
              </w:rPr>
              <w:t>3-14</w:t>
            </w:r>
            <w:r>
              <w:rPr>
                <w:b/>
                <w:sz w:val="24"/>
              </w:rPr>
              <w:t xml:space="preserve">  声环境质量标准</w:t>
            </w:r>
          </w:p>
          <w:tbl>
            <w:tblPr>
              <w:tblStyle w:val="21"/>
              <w:tblW w:w="8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514"/>
              <w:gridCol w:w="5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5"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时段</w:t>
                  </w:r>
                </w:p>
              </w:tc>
              <w:tc>
                <w:tcPr>
                  <w:tcW w:w="1514"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标准值</w:t>
                  </w:r>
                </w:p>
              </w:tc>
              <w:tc>
                <w:tcPr>
                  <w:tcW w:w="5291"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395"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昼间</w:t>
                  </w:r>
                </w:p>
              </w:tc>
              <w:tc>
                <w:tcPr>
                  <w:tcW w:w="151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6</w:t>
                  </w:r>
                  <w:r>
                    <w:rPr>
                      <w:rFonts w:hint="eastAsia"/>
                      <w:sz w:val="24"/>
                    </w:rPr>
                    <w:t>0</w:t>
                  </w:r>
                  <w:r>
                    <w:rPr>
                      <w:sz w:val="24"/>
                    </w:rPr>
                    <w:t>dB（A）</w:t>
                  </w:r>
                </w:p>
              </w:tc>
              <w:tc>
                <w:tcPr>
                  <w:tcW w:w="5291" w:type="dxa"/>
                  <w:vMerge w:val="restart"/>
                  <w:tcBorders>
                    <w:top w:val="single" w:color="auto" w:sz="4" w:space="0"/>
                    <w:left w:val="single" w:color="auto" w:sz="4" w:space="0"/>
                    <w:right w:val="single" w:color="auto" w:sz="4" w:space="0"/>
                  </w:tcBorders>
                  <w:vAlign w:val="center"/>
                </w:tcPr>
                <w:p>
                  <w:pPr>
                    <w:pStyle w:val="34"/>
                    <w:rPr>
                      <w:sz w:val="24"/>
                    </w:rPr>
                  </w:pPr>
                  <w:r>
                    <w:rPr>
                      <w:sz w:val="24"/>
                    </w:rPr>
                    <w:t>《声环境质量标准》（GB3096-2008）</w:t>
                  </w:r>
                  <w:r>
                    <w:rPr>
                      <w:rFonts w:hint="eastAsia"/>
                      <w:sz w:val="24"/>
                    </w:rPr>
                    <w:t>2</w:t>
                  </w:r>
                  <w:r>
                    <w:rPr>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395"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夜间</w:t>
                  </w:r>
                </w:p>
              </w:tc>
              <w:tc>
                <w:tcPr>
                  <w:tcW w:w="1514"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5</w:t>
                  </w:r>
                  <w:r>
                    <w:rPr>
                      <w:rFonts w:hint="eastAsia"/>
                      <w:sz w:val="24"/>
                    </w:rPr>
                    <w:t>0</w:t>
                  </w:r>
                  <w:r>
                    <w:rPr>
                      <w:sz w:val="24"/>
                    </w:rPr>
                    <w:t>dB（A）</w:t>
                  </w:r>
                </w:p>
              </w:tc>
              <w:tc>
                <w:tcPr>
                  <w:tcW w:w="5291" w:type="dxa"/>
                  <w:vMerge w:val="continue"/>
                  <w:tcBorders>
                    <w:left w:val="single" w:color="auto" w:sz="4" w:space="0"/>
                    <w:bottom w:val="single" w:color="auto" w:sz="4" w:space="0"/>
                    <w:right w:val="single" w:color="auto" w:sz="4" w:space="0"/>
                  </w:tcBorders>
                  <w:vAlign w:val="center"/>
                </w:tcPr>
                <w:p>
                  <w:pPr>
                    <w:pStyle w:val="34"/>
                    <w:rPr>
                      <w:sz w:val="24"/>
                    </w:rPr>
                  </w:pPr>
                </w:p>
              </w:tc>
            </w:tr>
          </w:tbl>
          <w:p>
            <w:pPr>
              <w:ind w:firstLine="480"/>
              <w:rPr>
                <w:sz w:val="24"/>
                <w:szCs w:val="24"/>
              </w:rPr>
            </w:pPr>
            <w:r>
              <w:rPr>
                <w:rFonts w:hint="eastAsia"/>
                <w:sz w:val="24"/>
                <w:szCs w:val="24"/>
              </w:rPr>
              <w:t>（4）土壤环境质量执行《土壤环境质量标准 建设用地土壤污染风险管控标准（试行）》（GB36600－2018）表1中相关标准。</w:t>
            </w:r>
          </w:p>
          <w:p>
            <w:pPr>
              <w:spacing w:line="240" w:lineRule="auto"/>
              <w:ind w:firstLine="0" w:firstLineChars="0"/>
              <w:jc w:val="center"/>
              <w:rPr>
                <w:b/>
                <w:bCs/>
                <w:sz w:val="24"/>
                <w:szCs w:val="24"/>
              </w:rPr>
            </w:pPr>
            <w:r>
              <w:rPr>
                <w:rFonts w:hint="eastAsia"/>
                <w:b/>
                <w:bCs/>
                <w:sz w:val="24"/>
                <w:szCs w:val="24"/>
              </w:rPr>
              <w:t>表3-15</w:t>
            </w:r>
            <w:r>
              <w:rPr>
                <w:b/>
                <w:bCs/>
                <w:sz w:val="24"/>
                <w:szCs w:val="24"/>
              </w:rPr>
              <w:t xml:space="preserve"> </w:t>
            </w:r>
            <w:r>
              <w:rPr>
                <w:rFonts w:hint="eastAsia"/>
                <w:b/>
                <w:bCs/>
                <w:sz w:val="24"/>
                <w:szCs w:val="24"/>
              </w:rPr>
              <w:t>土壤环境质量标准</w:t>
            </w:r>
            <w:r>
              <w:rPr>
                <w:b/>
                <w:bCs/>
                <w:sz w:val="24"/>
                <w:szCs w:val="24"/>
              </w:rPr>
              <w:t xml:space="preserve"> </w:t>
            </w:r>
            <w:r>
              <w:rPr>
                <w:rFonts w:hint="eastAsia"/>
                <w:b/>
                <w:bCs/>
                <w:sz w:val="24"/>
                <w:szCs w:val="24"/>
              </w:rPr>
              <w:t>建设用地土壤污染风险管控标准（试行）</w:t>
            </w:r>
            <w:r>
              <w:rPr>
                <w:b/>
                <w:bCs/>
                <w:sz w:val="24"/>
                <w:szCs w:val="24"/>
              </w:rPr>
              <w:t xml:space="preserve">                                       </w:t>
            </w:r>
          </w:p>
          <w:tbl>
            <w:tblPr>
              <w:tblStyle w:val="21"/>
              <w:tblW w:w="8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885"/>
              <w:gridCol w:w="2273"/>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886" w:type="dxa"/>
                  <w:vMerge w:val="restart"/>
                  <w:tcBorders>
                    <w:top w:val="single" w:color="auto" w:sz="4" w:space="0"/>
                    <w:left w:val="single" w:color="auto" w:sz="4" w:space="0"/>
                    <w:bottom w:val="single" w:color="auto" w:sz="4" w:space="0"/>
                    <w:right w:val="single" w:color="auto" w:sz="4" w:space="0"/>
                  </w:tcBorders>
                  <w:shd w:val="pct10" w:color="auto" w:fill="auto"/>
                  <w:vAlign w:val="center"/>
                </w:tcPr>
                <w:p>
                  <w:pPr>
                    <w:spacing w:line="240" w:lineRule="auto"/>
                    <w:ind w:firstLine="0" w:firstLineChars="0"/>
                    <w:jc w:val="center"/>
                    <w:rPr>
                      <w:b/>
                      <w:sz w:val="24"/>
                      <w:szCs w:val="24"/>
                    </w:rPr>
                  </w:pPr>
                  <w:r>
                    <w:rPr>
                      <w:rFonts w:hint="eastAsia"/>
                      <w:b/>
                      <w:sz w:val="24"/>
                      <w:szCs w:val="24"/>
                    </w:rPr>
                    <w:t>序号</w:t>
                  </w:r>
                </w:p>
              </w:tc>
              <w:tc>
                <w:tcPr>
                  <w:tcW w:w="2885" w:type="dxa"/>
                  <w:vMerge w:val="restart"/>
                  <w:tcBorders>
                    <w:top w:val="single" w:color="auto" w:sz="4" w:space="0"/>
                    <w:left w:val="single" w:color="auto" w:sz="4" w:space="0"/>
                    <w:bottom w:val="single" w:color="auto" w:sz="4" w:space="0"/>
                    <w:right w:val="single" w:color="auto" w:sz="4" w:space="0"/>
                  </w:tcBorders>
                  <w:shd w:val="pct10" w:color="auto" w:fill="auto"/>
                  <w:vAlign w:val="center"/>
                </w:tcPr>
                <w:p>
                  <w:pPr>
                    <w:spacing w:line="240" w:lineRule="auto"/>
                    <w:ind w:firstLine="0" w:firstLineChars="0"/>
                    <w:jc w:val="center"/>
                    <w:rPr>
                      <w:b/>
                      <w:sz w:val="24"/>
                      <w:szCs w:val="24"/>
                    </w:rPr>
                  </w:pPr>
                  <w:r>
                    <w:rPr>
                      <w:rFonts w:hint="eastAsia"/>
                      <w:b/>
                      <w:sz w:val="24"/>
                      <w:szCs w:val="24"/>
                    </w:rPr>
                    <w:t>污染物项目</w:t>
                  </w:r>
                </w:p>
              </w:tc>
              <w:tc>
                <w:tcPr>
                  <w:tcW w:w="2273" w:type="dxa"/>
                  <w:tcBorders>
                    <w:top w:val="single" w:color="auto" w:sz="4" w:space="0"/>
                    <w:left w:val="single" w:color="auto" w:sz="4" w:space="0"/>
                    <w:bottom w:val="single" w:color="auto" w:sz="4" w:space="0"/>
                    <w:right w:val="single" w:color="auto" w:sz="4" w:space="0"/>
                  </w:tcBorders>
                  <w:shd w:val="pct10" w:color="auto" w:fill="auto"/>
                  <w:vAlign w:val="center"/>
                </w:tcPr>
                <w:p>
                  <w:pPr>
                    <w:spacing w:line="240" w:lineRule="auto"/>
                    <w:ind w:firstLine="0" w:firstLineChars="0"/>
                    <w:jc w:val="center"/>
                    <w:rPr>
                      <w:b/>
                      <w:sz w:val="24"/>
                      <w:szCs w:val="24"/>
                    </w:rPr>
                  </w:pPr>
                  <w:r>
                    <w:rPr>
                      <w:rFonts w:hint="eastAsia"/>
                      <w:b/>
                      <w:sz w:val="24"/>
                      <w:szCs w:val="24"/>
                    </w:rPr>
                    <w:t>筛选值</w:t>
                  </w:r>
                  <w:r>
                    <w:rPr>
                      <w:b/>
                      <w:bCs/>
                      <w:sz w:val="24"/>
                      <w:szCs w:val="24"/>
                    </w:rPr>
                    <w:t>mg/kg</w:t>
                  </w:r>
                </w:p>
              </w:tc>
              <w:tc>
                <w:tcPr>
                  <w:tcW w:w="2156" w:type="dxa"/>
                  <w:tcBorders>
                    <w:top w:val="single" w:color="auto" w:sz="4" w:space="0"/>
                    <w:left w:val="single" w:color="auto" w:sz="4" w:space="0"/>
                    <w:bottom w:val="single" w:color="auto" w:sz="4" w:space="0"/>
                    <w:right w:val="single" w:color="auto" w:sz="4" w:space="0"/>
                  </w:tcBorders>
                  <w:shd w:val="pct10" w:color="auto" w:fill="auto"/>
                  <w:vAlign w:val="center"/>
                </w:tcPr>
                <w:p>
                  <w:pPr>
                    <w:spacing w:line="240" w:lineRule="auto"/>
                    <w:ind w:firstLine="0" w:firstLineChars="0"/>
                    <w:jc w:val="center"/>
                    <w:rPr>
                      <w:b/>
                      <w:sz w:val="24"/>
                      <w:szCs w:val="24"/>
                    </w:rPr>
                  </w:pPr>
                  <w:r>
                    <w:rPr>
                      <w:rFonts w:hint="eastAsia"/>
                      <w:b/>
                      <w:sz w:val="24"/>
                      <w:szCs w:val="24"/>
                    </w:rPr>
                    <w:t>管控值</w:t>
                  </w:r>
                  <w:r>
                    <w:rPr>
                      <w:b/>
                      <w:bCs/>
                      <w:sz w:val="24"/>
                      <w:szCs w:val="24"/>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vMerge w:val="continue"/>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240" w:lineRule="auto"/>
                    <w:ind w:firstLine="0" w:firstLineChars="0"/>
                    <w:rPr>
                      <w:b/>
                      <w:sz w:val="24"/>
                      <w:szCs w:val="24"/>
                    </w:rPr>
                  </w:pPr>
                </w:p>
              </w:tc>
              <w:tc>
                <w:tcPr>
                  <w:tcW w:w="2885" w:type="dxa"/>
                  <w:vMerge w:val="continue"/>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240" w:lineRule="auto"/>
                    <w:ind w:firstLine="0" w:firstLineChars="0"/>
                    <w:rPr>
                      <w:b/>
                      <w:sz w:val="24"/>
                      <w:szCs w:val="24"/>
                    </w:rPr>
                  </w:pPr>
                </w:p>
              </w:tc>
              <w:tc>
                <w:tcPr>
                  <w:tcW w:w="2273" w:type="dxa"/>
                  <w:tcBorders>
                    <w:top w:val="single" w:color="auto" w:sz="4" w:space="0"/>
                    <w:left w:val="single" w:color="auto" w:sz="4" w:space="0"/>
                    <w:bottom w:val="single" w:color="auto" w:sz="4" w:space="0"/>
                    <w:right w:val="single" w:color="auto" w:sz="4" w:space="0"/>
                  </w:tcBorders>
                  <w:shd w:val="pct10" w:color="auto" w:fill="auto"/>
                  <w:vAlign w:val="center"/>
                </w:tcPr>
                <w:p>
                  <w:pPr>
                    <w:spacing w:line="240" w:lineRule="auto"/>
                    <w:ind w:firstLine="0" w:firstLineChars="0"/>
                    <w:jc w:val="center"/>
                    <w:rPr>
                      <w:b/>
                      <w:sz w:val="24"/>
                      <w:szCs w:val="24"/>
                    </w:rPr>
                  </w:pPr>
                  <w:r>
                    <w:rPr>
                      <w:rFonts w:hint="eastAsia"/>
                      <w:b/>
                      <w:sz w:val="24"/>
                      <w:szCs w:val="24"/>
                    </w:rPr>
                    <w:t>第二类用地</w:t>
                  </w:r>
                </w:p>
              </w:tc>
              <w:tc>
                <w:tcPr>
                  <w:tcW w:w="2156" w:type="dxa"/>
                  <w:tcBorders>
                    <w:top w:val="single" w:color="auto" w:sz="4" w:space="0"/>
                    <w:left w:val="single" w:color="auto" w:sz="4" w:space="0"/>
                    <w:bottom w:val="single" w:color="auto" w:sz="4" w:space="0"/>
                    <w:right w:val="single" w:color="auto" w:sz="4" w:space="0"/>
                  </w:tcBorders>
                  <w:shd w:val="pct10" w:color="auto" w:fill="auto"/>
                  <w:vAlign w:val="center"/>
                </w:tcPr>
                <w:p>
                  <w:pPr>
                    <w:spacing w:line="240" w:lineRule="auto"/>
                    <w:ind w:firstLine="0" w:firstLineChars="0"/>
                    <w:jc w:val="center"/>
                    <w:rPr>
                      <w:b/>
                      <w:sz w:val="24"/>
                      <w:szCs w:val="24"/>
                    </w:rPr>
                  </w:pPr>
                  <w:r>
                    <w:rPr>
                      <w:rFonts w:hint="eastAsia"/>
                      <w:b/>
                      <w:sz w:val="24"/>
                      <w:szCs w:val="24"/>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4"/>
                      <w:szCs w:val="24"/>
                    </w:rPr>
                  </w:pPr>
                  <w:r>
                    <w:rPr>
                      <w:rFonts w:hint="eastAsia"/>
                      <w:sz w:val="24"/>
                      <w:szCs w:val="24"/>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镉</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65</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铬（六价）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5.7</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4</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铜</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18000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5</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铅</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800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6</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汞</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38</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7</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镍</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900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4"/>
                      <w:szCs w:val="24"/>
                    </w:rPr>
                  </w:pPr>
                  <w:r>
                    <w:rPr>
                      <w:rFonts w:hint="eastAsia"/>
                      <w:sz w:val="24"/>
                      <w:szCs w:val="24"/>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8</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四氯化碳</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2.8</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9</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氯仿</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0.9</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10</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氯甲烷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37</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11</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1,1-</w:t>
                  </w:r>
                  <w:r>
                    <w:rPr>
                      <w:rFonts w:hint="eastAsia"/>
                      <w:sz w:val="24"/>
                      <w:szCs w:val="24"/>
                    </w:rPr>
                    <w:t>二氯乙烷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9</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12</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1,2-</w:t>
                  </w:r>
                  <w:r>
                    <w:rPr>
                      <w:rFonts w:hint="eastAsia"/>
                      <w:sz w:val="24"/>
                      <w:szCs w:val="24"/>
                    </w:rPr>
                    <w:t>二氯乙烷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13</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1,1-</w:t>
                  </w:r>
                  <w:r>
                    <w:rPr>
                      <w:rFonts w:hint="eastAsia"/>
                      <w:sz w:val="24"/>
                      <w:szCs w:val="24"/>
                    </w:rPr>
                    <w:t>二氯乙烯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66</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14</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顺</w:t>
                  </w:r>
                  <w:r>
                    <w:rPr>
                      <w:sz w:val="24"/>
                      <w:szCs w:val="24"/>
                    </w:rPr>
                    <w:t>-1,2-</w:t>
                  </w:r>
                  <w:r>
                    <w:rPr>
                      <w:rFonts w:hint="eastAsia"/>
                      <w:sz w:val="24"/>
                      <w:szCs w:val="24"/>
                    </w:rPr>
                    <w:t>二氯乙烯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596</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15</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反</w:t>
                  </w:r>
                  <w:r>
                    <w:rPr>
                      <w:sz w:val="24"/>
                      <w:szCs w:val="24"/>
                    </w:rPr>
                    <w:t>-1,2-</w:t>
                  </w:r>
                  <w:r>
                    <w:rPr>
                      <w:rFonts w:hint="eastAsia"/>
                      <w:sz w:val="24"/>
                      <w:szCs w:val="24"/>
                    </w:rPr>
                    <w:t>二氯乙烯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54</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16</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二氯甲烷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616</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17</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1,2-</w:t>
                  </w:r>
                  <w:r>
                    <w:rPr>
                      <w:rFonts w:hint="eastAsia"/>
                      <w:sz w:val="24"/>
                      <w:szCs w:val="24"/>
                    </w:rPr>
                    <w:t>二氯丙烷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18</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1,1,1,2-</w:t>
                  </w:r>
                  <w:r>
                    <w:rPr>
                      <w:rFonts w:hint="eastAsia"/>
                      <w:sz w:val="24"/>
                      <w:szCs w:val="24"/>
                    </w:rPr>
                    <w:t>四氯乙烷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19</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1,1,2,2-</w:t>
                  </w:r>
                  <w:r>
                    <w:rPr>
                      <w:rFonts w:hint="eastAsia"/>
                      <w:sz w:val="24"/>
                      <w:szCs w:val="24"/>
                    </w:rPr>
                    <w:t>四氯乙烷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6.8</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20</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四氯乙烯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53</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21</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1,1,1-</w:t>
                  </w:r>
                  <w:r>
                    <w:rPr>
                      <w:rFonts w:hint="eastAsia"/>
                      <w:sz w:val="24"/>
                      <w:szCs w:val="24"/>
                    </w:rPr>
                    <w:t>三氯乙烷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840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22</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1,1,2-</w:t>
                  </w:r>
                  <w:r>
                    <w:rPr>
                      <w:rFonts w:hint="eastAsia"/>
                      <w:sz w:val="24"/>
                      <w:szCs w:val="24"/>
                    </w:rPr>
                    <w:t>三氯乙烷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2.8</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23</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三氯乙烯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2.8</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24</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1,2,3-</w:t>
                  </w:r>
                  <w:r>
                    <w:rPr>
                      <w:rFonts w:hint="eastAsia"/>
                      <w:sz w:val="24"/>
                      <w:szCs w:val="24"/>
                    </w:rPr>
                    <w:t>三氯丙烷</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0.5</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25</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氯乙烯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0.43</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26</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4</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27</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氯苯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270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28</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1,2-</w:t>
                  </w:r>
                  <w:r>
                    <w:rPr>
                      <w:rFonts w:hint="eastAsia"/>
                      <w:sz w:val="24"/>
                      <w:szCs w:val="24"/>
                    </w:rPr>
                    <w:t>二氯苯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560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29</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1,4-</w:t>
                  </w:r>
                  <w:r>
                    <w:rPr>
                      <w:rFonts w:hint="eastAsia"/>
                      <w:sz w:val="24"/>
                      <w:szCs w:val="24"/>
                    </w:rPr>
                    <w:t>二氯苯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30</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乙苯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28</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31</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苯乙烯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1290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32</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甲苯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1200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33</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间二甲苯</w:t>
                  </w:r>
                  <w:r>
                    <w:rPr>
                      <w:sz w:val="24"/>
                      <w:szCs w:val="24"/>
                    </w:rPr>
                    <w:t>+</w:t>
                  </w:r>
                  <w:r>
                    <w:rPr>
                      <w:rFonts w:hint="eastAsia"/>
                      <w:sz w:val="24"/>
                      <w:szCs w:val="24"/>
                    </w:rPr>
                    <w:t>对二甲苯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570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34</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邻二甲苯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640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4"/>
                      <w:szCs w:val="24"/>
                    </w:rPr>
                  </w:pPr>
                  <w:r>
                    <w:rPr>
                      <w:rFonts w:hint="eastAsia"/>
                      <w:sz w:val="24"/>
                      <w:szCs w:val="24"/>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35</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硝基苯</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76</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36</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苯胺</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260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37</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2-</w:t>
                  </w:r>
                  <w:r>
                    <w:rPr>
                      <w:rFonts w:hint="eastAsia"/>
                      <w:sz w:val="24"/>
                      <w:szCs w:val="24"/>
                    </w:rPr>
                    <w:t>氯酚</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2256</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38</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苯并〔</w:t>
                  </w:r>
                  <w:r>
                    <w:rPr>
                      <w:sz w:val="24"/>
                      <w:szCs w:val="24"/>
                    </w:rPr>
                    <w:t>a</w:t>
                  </w:r>
                  <w:r>
                    <w:rPr>
                      <w:rFonts w:hint="eastAsia"/>
                      <w:sz w:val="24"/>
                      <w:szCs w:val="24"/>
                    </w:rPr>
                    <w:t>〕蒽</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39</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苯并〔</w:t>
                  </w:r>
                  <w:r>
                    <w:rPr>
                      <w:sz w:val="24"/>
                      <w:szCs w:val="24"/>
                    </w:rPr>
                    <w:t>a</w:t>
                  </w:r>
                  <w:r>
                    <w:rPr>
                      <w:rFonts w:hint="eastAsia"/>
                      <w:sz w:val="24"/>
                      <w:szCs w:val="24"/>
                    </w:rPr>
                    <w:t>〕芘</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40</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苯并〔</w:t>
                  </w:r>
                  <w:r>
                    <w:rPr>
                      <w:sz w:val="24"/>
                      <w:szCs w:val="24"/>
                    </w:rPr>
                    <w:t>b</w:t>
                  </w:r>
                  <w:r>
                    <w:rPr>
                      <w:rFonts w:hint="eastAsia"/>
                      <w:sz w:val="24"/>
                      <w:szCs w:val="24"/>
                    </w:rPr>
                    <w:t>〕荧蒽</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41</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苯并〔</w:t>
                  </w:r>
                  <w:r>
                    <w:rPr>
                      <w:sz w:val="24"/>
                      <w:szCs w:val="24"/>
                    </w:rPr>
                    <w:t>k</w:t>
                  </w:r>
                  <w:r>
                    <w:rPr>
                      <w:rFonts w:hint="eastAsia"/>
                      <w:sz w:val="24"/>
                      <w:szCs w:val="24"/>
                    </w:rPr>
                    <w:t>〕荧蒽</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151</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42</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䓛</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1293</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43</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二苯并〔</w:t>
                  </w:r>
                  <w:r>
                    <w:rPr>
                      <w:sz w:val="24"/>
                      <w:szCs w:val="24"/>
                    </w:rPr>
                    <w:t>a,h</w:t>
                  </w:r>
                  <w:r>
                    <w:rPr>
                      <w:rFonts w:hint="eastAsia"/>
                      <w:sz w:val="24"/>
                      <w:szCs w:val="24"/>
                    </w:rPr>
                    <w:t>〕蒽</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44</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茚并〔</w:t>
                  </w:r>
                  <w:r>
                    <w:rPr>
                      <w:sz w:val="24"/>
                      <w:szCs w:val="24"/>
                    </w:rPr>
                    <w:t>1,2,3-cd</w:t>
                  </w:r>
                  <w:r>
                    <w:rPr>
                      <w:rFonts w:hint="eastAsia"/>
                      <w:sz w:val="24"/>
                      <w:szCs w:val="24"/>
                    </w:rPr>
                    <w:t>〕芘</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sz w:val="24"/>
                      <w:szCs w:val="24"/>
                    </w:rPr>
                    <w:t>45</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Ansi="宋体"/>
                      <w:sz w:val="24"/>
                      <w:szCs w:val="24"/>
                    </w:rPr>
                  </w:pPr>
                  <w:r>
                    <w:rPr>
                      <w:rFonts w:hint="eastAsia"/>
                      <w:sz w:val="24"/>
                      <w:szCs w:val="24"/>
                    </w:rPr>
                    <w:t>萘</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70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sz w:val="24"/>
                      <w:szCs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both"/>
                    <w:rPr>
                      <w:sz w:val="24"/>
                      <w:szCs w:val="24"/>
                    </w:rPr>
                  </w:pPr>
                  <w:r>
                    <w:rPr>
                      <w:sz w:val="24"/>
                      <w:szCs w:val="24"/>
                    </w:rPr>
                    <w:t>石油烃类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46</w:t>
                  </w:r>
                </w:p>
              </w:tc>
              <w:tc>
                <w:tcPr>
                  <w:tcW w:w="28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石油烃类</w:t>
                  </w:r>
                </w:p>
              </w:tc>
              <w:tc>
                <w:tcPr>
                  <w:tcW w:w="227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4500</w:t>
                  </w:r>
                </w:p>
              </w:tc>
              <w:tc>
                <w:tcPr>
                  <w:tcW w:w="215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4"/>
                      <w:szCs w:val="24"/>
                    </w:rPr>
                  </w:pPr>
                  <w:r>
                    <w:rPr>
                      <w:rFonts w:hint="eastAsia"/>
                      <w:sz w:val="24"/>
                      <w:szCs w:val="24"/>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4"/>
                      <w:szCs w:val="24"/>
                    </w:rPr>
                  </w:pPr>
                  <w:r>
                    <w:rPr>
                      <w:rFonts w:hint="eastAsia"/>
                      <w:sz w:val="24"/>
                      <w:szCs w:val="24"/>
                    </w:rPr>
                    <w:t>注：</w:t>
                  </w:r>
                  <w:r>
                    <w:rPr>
                      <w:rFonts w:hint="eastAsia" w:cs="宋体"/>
                      <w:sz w:val="24"/>
                      <w:szCs w:val="24"/>
                    </w:rPr>
                    <w:t>①</w:t>
                  </w:r>
                  <w:r>
                    <w:rPr>
                      <w:rFonts w:hint="eastAsia"/>
                      <w:sz w:val="24"/>
                      <w:szCs w:val="24"/>
                    </w:rPr>
                    <w:t>具体地块土壤中污染物检测含量超过筛选值，但等于或者低于土壤环境背景值水平的，不纳入污染物地块管理。</w:t>
                  </w:r>
                </w:p>
              </w:tc>
            </w:tr>
          </w:tbl>
          <w:p>
            <w:pPr>
              <w:ind w:firstLine="480"/>
              <w:rPr>
                <w:sz w:val="24"/>
                <w:szCs w:val="24"/>
              </w:rPr>
            </w:pPr>
            <w:r>
              <w:rPr>
                <w:rFonts w:hint="eastAsia"/>
                <w:sz w:val="24"/>
                <w:szCs w:val="24"/>
              </w:rPr>
              <w:t>2、污染物排放标准</w:t>
            </w:r>
          </w:p>
          <w:p>
            <w:pPr>
              <w:ind w:firstLine="480"/>
              <w:rPr>
                <w:bCs/>
                <w:sz w:val="24"/>
              </w:rPr>
            </w:pPr>
            <w:r>
              <w:rPr>
                <w:rFonts w:hint="eastAsia"/>
                <w:sz w:val="24"/>
                <w:szCs w:val="24"/>
              </w:rPr>
              <w:t>（1）</w:t>
            </w:r>
            <w:r>
              <w:rPr>
                <w:snapToGrid w:val="0"/>
                <w:sz w:val="24"/>
                <w:szCs w:val="24"/>
              </w:rPr>
              <w:t>施工期施工扬尘执行《施工场界扬尘排放限值》（DB61/1078-2017）表1中浓度限值；</w:t>
            </w:r>
            <w:r>
              <w:rPr>
                <w:rFonts w:hint="eastAsia"/>
                <w:bCs/>
                <w:sz w:val="24"/>
              </w:rPr>
              <w:t>运营期产生</w:t>
            </w:r>
            <w:r>
              <w:rPr>
                <w:bCs/>
                <w:sz w:val="24"/>
              </w:rPr>
              <w:t>的颗粒物、</w:t>
            </w:r>
            <w:r>
              <w:rPr>
                <w:rFonts w:hint="eastAsia"/>
                <w:bCs/>
                <w:sz w:val="24"/>
              </w:rPr>
              <w:t>非甲烷总烃</w:t>
            </w:r>
            <w:r>
              <w:rPr>
                <w:bCs/>
                <w:sz w:val="24"/>
              </w:rPr>
              <w:t>执</w:t>
            </w:r>
            <w:r>
              <w:rPr>
                <w:rFonts w:hint="eastAsia"/>
                <w:bCs/>
                <w:sz w:val="24"/>
              </w:rPr>
              <w:t>行</w:t>
            </w:r>
            <w:r>
              <w:rPr>
                <w:bCs/>
                <w:sz w:val="24"/>
              </w:rPr>
              <w:t>《大气污染物综合排放标准》（GB16297-1996</w:t>
            </w:r>
            <w:r>
              <w:rPr>
                <w:rFonts w:hint="eastAsia"/>
                <w:bCs/>
                <w:sz w:val="24"/>
              </w:rPr>
              <w:t>）表2中的限值；</w:t>
            </w:r>
            <w:r>
              <w:rPr>
                <w:bCs/>
                <w:sz w:val="24"/>
              </w:rPr>
              <w:t>厂区内挥发性有机物无组织</w:t>
            </w:r>
            <w:r>
              <w:rPr>
                <w:rFonts w:hint="eastAsia"/>
                <w:bCs/>
                <w:sz w:val="24"/>
              </w:rPr>
              <w:t>排放</w:t>
            </w:r>
            <w:r>
              <w:rPr>
                <w:bCs/>
                <w:sz w:val="24"/>
              </w:rPr>
              <w:t>还应</w:t>
            </w:r>
            <w:r>
              <w:rPr>
                <w:rFonts w:hint="eastAsia"/>
                <w:bCs/>
                <w:sz w:val="24"/>
              </w:rPr>
              <w:t>执行</w:t>
            </w:r>
            <w:r>
              <w:rPr>
                <w:sz w:val="24"/>
              </w:rPr>
              <w:t>《挥发性有机物无组织排放控制标准》（GB37822-2019）</w:t>
            </w:r>
            <w:r>
              <w:rPr>
                <w:rFonts w:hint="eastAsia"/>
                <w:sz w:val="24"/>
              </w:rPr>
              <w:t>中</w:t>
            </w:r>
            <w:r>
              <w:rPr>
                <w:sz w:val="24"/>
              </w:rPr>
              <w:t>限值</w:t>
            </w:r>
            <w:r>
              <w:rPr>
                <w:rFonts w:hint="eastAsia"/>
                <w:sz w:val="24"/>
              </w:rPr>
              <w:t>要求</w:t>
            </w:r>
            <w:r>
              <w:rPr>
                <w:rFonts w:hint="eastAsia"/>
                <w:bCs/>
                <w:sz w:val="24"/>
              </w:rPr>
              <w:t>。</w:t>
            </w:r>
          </w:p>
          <w:p>
            <w:pPr>
              <w:pStyle w:val="34"/>
              <w:rPr>
                <w:b/>
                <w:sz w:val="24"/>
              </w:rPr>
            </w:pPr>
            <w:r>
              <w:rPr>
                <w:b/>
                <w:sz w:val="24"/>
              </w:rPr>
              <w:t>表</w:t>
            </w:r>
            <w:r>
              <w:rPr>
                <w:rFonts w:hint="eastAsia"/>
                <w:b/>
                <w:sz w:val="24"/>
              </w:rPr>
              <w:t>3-16</w:t>
            </w:r>
            <w:r>
              <w:rPr>
                <w:b/>
                <w:sz w:val="24"/>
              </w:rPr>
              <w:t xml:space="preserve">  大气污染物排放执行标准</w:t>
            </w:r>
          </w:p>
          <w:tbl>
            <w:tblPr>
              <w:tblStyle w:val="21"/>
              <w:tblW w:w="8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481"/>
              <w:gridCol w:w="2345"/>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78" w:type="dxa"/>
                  <w:shd w:val="pct10" w:color="auto" w:fill="auto"/>
                  <w:vAlign w:val="center"/>
                </w:tcPr>
                <w:p>
                  <w:pPr>
                    <w:pStyle w:val="41"/>
                    <w:spacing w:beforeLines="0" w:afterLines="0" w:line="240" w:lineRule="auto"/>
                    <w:ind w:firstLine="0" w:firstLineChars="0"/>
                    <w:rPr>
                      <w:rFonts w:ascii="Times New Roman"/>
                      <w:b/>
                      <w:sz w:val="24"/>
                      <w:szCs w:val="24"/>
                    </w:rPr>
                  </w:pPr>
                  <w:r>
                    <w:rPr>
                      <w:rFonts w:ascii="Times New Roman"/>
                      <w:b/>
                      <w:sz w:val="24"/>
                      <w:szCs w:val="24"/>
                    </w:rPr>
                    <w:t>执行标准</w:t>
                  </w:r>
                </w:p>
              </w:tc>
              <w:tc>
                <w:tcPr>
                  <w:tcW w:w="1481" w:type="dxa"/>
                  <w:shd w:val="pct10" w:color="auto" w:fill="auto"/>
                  <w:vAlign w:val="center"/>
                </w:tcPr>
                <w:p>
                  <w:pPr>
                    <w:pStyle w:val="41"/>
                    <w:spacing w:beforeLines="0" w:afterLines="0" w:line="240" w:lineRule="auto"/>
                    <w:ind w:firstLine="0" w:firstLineChars="0"/>
                    <w:rPr>
                      <w:rFonts w:ascii="Times New Roman"/>
                      <w:b/>
                      <w:sz w:val="24"/>
                      <w:szCs w:val="24"/>
                    </w:rPr>
                  </w:pPr>
                  <w:r>
                    <w:rPr>
                      <w:rFonts w:ascii="Times New Roman"/>
                      <w:b/>
                      <w:sz w:val="24"/>
                      <w:szCs w:val="24"/>
                    </w:rPr>
                    <w:t>污染物名称</w:t>
                  </w:r>
                </w:p>
              </w:tc>
              <w:tc>
                <w:tcPr>
                  <w:tcW w:w="2345" w:type="dxa"/>
                  <w:shd w:val="pct10" w:color="auto" w:fill="auto"/>
                  <w:vAlign w:val="center"/>
                </w:tcPr>
                <w:p>
                  <w:pPr>
                    <w:pStyle w:val="41"/>
                    <w:spacing w:beforeLines="0" w:afterLines="0" w:line="240" w:lineRule="auto"/>
                    <w:ind w:firstLine="0" w:firstLineChars="0"/>
                    <w:rPr>
                      <w:rFonts w:ascii="Times New Roman"/>
                      <w:b/>
                      <w:sz w:val="24"/>
                      <w:szCs w:val="24"/>
                    </w:rPr>
                  </w:pPr>
                  <w:r>
                    <w:rPr>
                      <w:rFonts w:ascii="Times New Roman"/>
                      <w:b/>
                      <w:sz w:val="24"/>
                      <w:szCs w:val="24"/>
                    </w:rPr>
                    <w:t>周界外浓度</w:t>
                  </w:r>
                  <w:r>
                    <w:rPr>
                      <w:rFonts w:hint="eastAsia" w:ascii="Times New Roman"/>
                      <w:b/>
                      <w:sz w:val="24"/>
                      <w:szCs w:val="24"/>
                    </w:rPr>
                    <w:t>最高点</w:t>
                  </w:r>
                  <w:r>
                    <w:rPr>
                      <w:rFonts w:hint="eastAsia" w:hAnsi="宋体"/>
                      <w:b/>
                      <w:sz w:val="24"/>
                      <w:szCs w:val="24"/>
                    </w:rPr>
                    <w:t>(</w:t>
                  </w:r>
                  <w:r>
                    <w:rPr>
                      <w:rFonts w:ascii="Times New Roman"/>
                      <w:b/>
                      <w:sz w:val="24"/>
                      <w:szCs w:val="24"/>
                    </w:rPr>
                    <w:t>mg/m</w:t>
                  </w:r>
                  <w:r>
                    <w:rPr>
                      <w:rFonts w:ascii="Times New Roman"/>
                      <w:b/>
                      <w:sz w:val="24"/>
                      <w:szCs w:val="24"/>
                      <w:vertAlign w:val="superscript"/>
                    </w:rPr>
                    <w:t>3</w:t>
                  </w:r>
                  <w:r>
                    <w:rPr>
                      <w:rFonts w:hAnsi="宋体"/>
                      <w:b/>
                      <w:sz w:val="24"/>
                      <w:szCs w:val="24"/>
                    </w:rPr>
                    <w:t>)</w:t>
                  </w:r>
                </w:p>
              </w:tc>
              <w:tc>
                <w:tcPr>
                  <w:tcW w:w="1896" w:type="dxa"/>
                  <w:shd w:val="pct10" w:color="auto" w:fill="auto"/>
                  <w:vAlign w:val="center"/>
                </w:tcPr>
                <w:p>
                  <w:pPr>
                    <w:pStyle w:val="41"/>
                    <w:spacing w:beforeLines="0" w:afterLines="0" w:line="240" w:lineRule="auto"/>
                    <w:ind w:firstLine="0" w:firstLineChars="0"/>
                    <w:rPr>
                      <w:rFonts w:ascii="Times New Roman"/>
                      <w:b/>
                      <w:sz w:val="24"/>
                      <w:szCs w:val="24"/>
                    </w:rPr>
                  </w:pPr>
                  <w:r>
                    <w:rPr>
                      <w:rFonts w:hint="eastAsia" w:ascii="Times New Roman"/>
                      <w:b/>
                      <w:sz w:val="24"/>
                      <w:szCs w:val="24"/>
                    </w:rPr>
                    <w:t>控制点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78" w:type="dxa"/>
                  <w:vMerge w:val="restart"/>
                  <w:vAlign w:val="center"/>
                </w:tcPr>
                <w:p>
                  <w:pPr>
                    <w:pStyle w:val="41"/>
                    <w:spacing w:beforeLines="0" w:afterLines="0" w:line="240" w:lineRule="auto"/>
                    <w:ind w:firstLine="0" w:firstLineChars="0"/>
                    <w:rPr>
                      <w:rFonts w:ascii="Times New Roman"/>
                      <w:sz w:val="24"/>
                      <w:szCs w:val="24"/>
                    </w:rPr>
                  </w:pPr>
                  <w:r>
                    <w:rPr>
                      <w:rFonts w:ascii="Times New Roman"/>
                      <w:sz w:val="24"/>
                      <w:szCs w:val="24"/>
                    </w:rPr>
                    <w:t>《大气污染物综合排放标准》（GB16297-1996）</w:t>
                  </w:r>
                </w:p>
              </w:tc>
              <w:tc>
                <w:tcPr>
                  <w:tcW w:w="1481" w:type="dxa"/>
                  <w:vMerge w:val="restart"/>
                  <w:vAlign w:val="center"/>
                </w:tcPr>
                <w:p>
                  <w:pPr>
                    <w:pStyle w:val="41"/>
                    <w:spacing w:beforeLines="0" w:afterLines="0" w:line="240" w:lineRule="auto"/>
                    <w:ind w:firstLine="0" w:firstLineChars="0"/>
                    <w:rPr>
                      <w:rFonts w:ascii="Times New Roman"/>
                      <w:sz w:val="24"/>
                      <w:szCs w:val="24"/>
                    </w:rPr>
                  </w:pPr>
                  <w:r>
                    <w:rPr>
                      <w:rFonts w:hint="eastAsia" w:ascii="Times New Roman"/>
                      <w:sz w:val="24"/>
                      <w:szCs w:val="24"/>
                    </w:rPr>
                    <w:t>颗粒物</w:t>
                  </w:r>
                </w:p>
              </w:tc>
              <w:tc>
                <w:tcPr>
                  <w:tcW w:w="2345" w:type="dxa"/>
                  <w:vAlign w:val="center"/>
                </w:tcPr>
                <w:p>
                  <w:pPr>
                    <w:pStyle w:val="41"/>
                    <w:spacing w:beforeLines="0" w:afterLines="0" w:line="240" w:lineRule="auto"/>
                    <w:ind w:firstLine="0" w:firstLineChars="0"/>
                    <w:rPr>
                      <w:rFonts w:ascii="Times New Roman"/>
                      <w:sz w:val="24"/>
                      <w:szCs w:val="24"/>
                    </w:rPr>
                  </w:pPr>
                  <w:r>
                    <w:rPr>
                      <w:rFonts w:hint="eastAsia" w:ascii="Times New Roman"/>
                      <w:sz w:val="24"/>
                      <w:szCs w:val="24"/>
                    </w:rPr>
                    <w:t>120</w:t>
                  </w:r>
                </w:p>
              </w:tc>
              <w:tc>
                <w:tcPr>
                  <w:tcW w:w="1896" w:type="dxa"/>
                  <w:vAlign w:val="center"/>
                </w:tcPr>
                <w:p>
                  <w:pPr>
                    <w:pStyle w:val="41"/>
                    <w:spacing w:beforeLines="0" w:afterLines="0" w:line="240" w:lineRule="auto"/>
                    <w:ind w:firstLine="0" w:firstLineChars="0"/>
                    <w:rPr>
                      <w:rFonts w:ascii="Times New Roman"/>
                      <w:sz w:val="24"/>
                      <w:szCs w:val="24"/>
                    </w:rPr>
                  </w:pPr>
                  <w:r>
                    <w:rPr>
                      <w:rFonts w:ascii="Times New Roman"/>
                      <w:sz w:val="24"/>
                      <w:szCs w:val="24"/>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78" w:type="dxa"/>
                  <w:vMerge w:val="continue"/>
                  <w:vAlign w:val="center"/>
                </w:tcPr>
                <w:p>
                  <w:pPr>
                    <w:pStyle w:val="41"/>
                    <w:spacing w:beforeLines="0" w:afterLines="0" w:line="240" w:lineRule="auto"/>
                    <w:ind w:firstLine="0" w:firstLineChars="0"/>
                    <w:rPr>
                      <w:rFonts w:ascii="Times New Roman"/>
                      <w:sz w:val="24"/>
                      <w:szCs w:val="24"/>
                    </w:rPr>
                  </w:pPr>
                </w:p>
              </w:tc>
              <w:tc>
                <w:tcPr>
                  <w:tcW w:w="1481" w:type="dxa"/>
                  <w:vMerge w:val="continue"/>
                  <w:vAlign w:val="center"/>
                </w:tcPr>
                <w:p>
                  <w:pPr>
                    <w:pStyle w:val="41"/>
                    <w:spacing w:beforeLines="0" w:afterLines="0" w:line="240" w:lineRule="auto"/>
                    <w:ind w:firstLine="0" w:firstLineChars="0"/>
                    <w:rPr>
                      <w:rFonts w:ascii="Times New Roman"/>
                      <w:sz w:val="24"/>
                      <w:szCs w:val="24"/>
                    </w:rPr>
                  </w:pPr>
                </w:p>
              </w:tc>
              <w:tc>
                <w:tcPr>
                  <w:tcW w:w="2345" w:type="dxa"/>
                  <w:vAlign w:val="center"/>
                </w:tcPr>
                <w:p>
                  <w:pPr>
                    <w:pStyle w:val="41"/>
                    <w:spacing w:beforeLines="0" w:afterLines="0" w:line="240" w:lineRule="auto"/>
                    <w:ind w:firstLine="0" w:firstLineChars="0"/>
                    <w:rPr>
                      <w:rFonts w:ascii="Times New Roman"/>
                      <w:sz w:val="24"/>
                      <w:szCs w:val="24"/>
                    </w:rPr>
                  </w:pPr>
                  <w:r>
                    <w:rPr>
                      <w:rFonts w:hint="eastAsia" w:ascii="Times New Roman"/>
                      <w:sz w:val="24"/>
                      <w:szCs w:val="24"/>
                    </w:rPr>
                    <w:t>1</w:t>
                  </w:r>
                  <w:r>
                    <w:rPr>
                      <w:rFonts w:ascii="Times New Roman"/>
                      <w:sz w:val="24"/>
                      <w:szCs w:val="24"/>
                    </w:rPr>
                    <w:t>.0</w:t>
                  </w:r>
                </w:p>
              </w:tc>
              <w:tc>
                <w:tcPr>
                  <w:tcW w:w="1896" w:type="dxa"/>
                  <w:vAlign w:val="center"/>
                </w:tcPr>
                <w:p>
                  <w:pPr>
                    <w:pStyle w:val="41"/>
                    <w:spacing w:beforeLines="0" w:afterLines="0" w:line="240" w:lineRule="auto"/>
                    <w:ind w:firstLine="0" w:firstLineChars="0"/>
                    <w:rPr>
                      <w:rFonts w:ascii="Times New Roman"/>
                      <w:sz w:val="24"/>
                      <w:szCs w:val="24"/>
                    </w:rPr>
                  </w:pPr>
                  <w:r>
                    <w:rPr>
                      <w:rFonts w:hint="eastAsia" w:ascii="Times New Roman"/>
                      <w:sz w:val="24"/>
                      <w:szCs w:val="24"/>
                    </w:rPr>
                    <w:t>厂界</w:t>
                  </w:r>
                  <w:r>
                    <w:rPr>
                      <w:rFonts w:ascii="Times New Roman"/>
                      <w:sz w:val="24"/>
                      <w:szCs w:val="24"/>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78" w:type="dxa"/>
                  <w:vMerge w:val="continue"/>
                  <w:vAlign w:val="center"/>
                </w:tcPr>
                <w:p>
                  <w:pPr>
                    <w:pStyle w:val="41"/>
                    <w:spacing w:beforeLines="0" w:afterLines="0" w:line="240" w:lineRule="auto"/>
                    <w:ind w:firstLine="0" w:firstLineChars="0"/>
                    <w:rPr>
                      <w:rFonts w:ascii="Times New Roman"/>
                      <w:sz w:val="24"/>
                      <w:szCs w:val="24"/>
                    </w:rPr>
                  </w:pPr>
                </w:p>
              </w:tc>
              <w:tc>
                <w:tcPr>
                  <w:tcW w:w="1481" w:type="dxa"/>
                  <w:vMerge w:val="restart"/>
                  <w:vAlign w:val="center"/>
                </w:tcPr>
                <w:p>
                  <w:pPr>
                    <w:pStyle w:val="41"/>
                    <w:spacing w:beforeLines="0" w:afterLines="0" w:line="240" w:lineRule="auto"/>
                    <w:ind w:firstLine="0" w:firstLineChars="0"/>
                    <w:rPr>
                      <w:rFonts w:ascii="Times New Roman"/>
                      <w:sz w:val="24"/>
                      <w:szCs w:val="24"/>
                    </w:rPr>
                  </w:pPr>
                  <w:r>
                    <w:rPr>
                      <w:rFonts w:ascii="Times New Roman"/>
                      <w:sz w:val="24"/>
                      <w:szCs w:val="24"/>
                    </w:rPr>
                    <w:t>非甲烷总烃</w:t>
                  </w:r>
                </w:p>
              </w:tc>
              <w:tc>
                <w:tcPr>
                  <w:tcW w:w="2345" w:type="dxa"/>
                  <w:vAlign w:val="center"/>
                </w:tcPr>
                <w:p>
                  <w:pPr>
                    <w:pStyle w:val="41"/>
                    <w:spacing w:beforeLines="0" w:afterLines="0" w:line="240" w:lineRule="auto"/>
                    <w:ind w:firstLine="0" w:firstLineChars="0"/>
                    <w:rPr>
                      <w:rFonts w:ascii="Times New Roman"/>
                      <w:sz w:val="24"/>
                      <w:szCs w:val="24"/>
                    </w:rPr>
                  </w:pPr>
                  <w:r>
                    <w:rPr>
                      <w:rFonts w:hint="eastAsia" w:ascii="Times New Roman"/>
                      <w:sz w:val="24"/>
                      <w:szCs w:val="24"/>
                    </w:rPr>
                    <w:t>1</w:t>
                  </w:r>
                  <w:r>
                    <w:rPr>
                      <w:rFonts w:ascii="Times New Roman"/>
                      <w:sz w:val="24"/>
                      <w:szCs w:val="24"/>
                    </w:rPr>
                    <w:t>20</w:t>
                  </w:r>
                </w:p>
              </w:tc>
              <w:tc>
                <w:tcPr>
                  <w:tcW w:w="1896" w:type="dxa"/>
                  <w:vAlign w:val="center"/>
                </w:tcPr>
                <w:p>
                  <w:pPr>
                    <w:pStyle w:val="41"/>
                    <w:spacing w:beforeLines="0" w:afterLines="0" w:line="240" w:lineRule="auto"/>
                    <w:ind w:firstLine="0" w:firstLineChars="0"/>
                    <w:rPr>
                      <w:rFonts w:ascii="Times New Roman"/>
                      <w:sz w:val="24"/>
                      <w:szCs w:val="24"/>
                    </w:rPr>
                  </w:pPr>
                  <w:r>
                    <w:rPr>
                      <w:rFonts w:ascii="Times New Roman"/>
                      <w:sz w:val="24"/>
                      <w:szCs w:val="24"/>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78" w:type="dxa"/>
                  <w:vMerge w:val="continue"/>
                  <w:vAlign w:val="center"/>
                </w:tcPr>
                <w:p>
                  <w:pPr>
                    <w:pStyle w:val="41"/>
                    <w:spacing w:beforeLines="0" w:afterLines="0" w:line="240" w:lineRule="auto"/>
                    <w:ind w:firstLine="0" w:firstLineChars="0"/>
                    <w:rPr>
                      <w:rFonts w:ascii="Times New Roman"/>
                      <w:sz w:val="24"/>
                      <w:szCs w:val="24"/>
                    </w:rPr>
                  </w:pPr>
                </w:p>
              </w:tc>
              <w:tc>
                <w:tcPr>
                  <w:tcW w:w="1481" w:type="dxa"/>
                  <w:vMerge w:val="continue"/>
                  <w:vAlign w:val="center"/>
                </w:tcPr>
                <w:p>
                  <w:pPr>
                    <w:pStyle w:val="41"/>
                    <w:spacing w:beforeLines="0" w:afterLines="0" w:line="240" w:lineRule="auto"/>
                    <w:ind w:firstLine="0" w:firstLineChars="0"/>
                    <w:rPr>
                      <w:rFonts w:ascii="Times New Roman"/>
                      <w:sz w:val="24"/>
                      <w:szCs w:val="24"/>
                    </w:rPr>
                  </w:pPr>
                </w:p>
              </w:tc>
              <w:tc>
                <w:tcPr>
                  <w:tcW w:w="2345" w:type="dxa"/>
                  <w:vAlign w:val="center"/>
                </w:tcPr>
                <w:p>
                  <w:pPr>
                    <w:pStyle w:val="41"/>
                    <w:spacing w:beforeLines="0" w:afterLines="0" w:line="240" w:lineRule="auto"/>
                    <w:ind w:firstLine="0" w:firstLineChars="0"/>
                    <w:rPr>
                      <w:rFonts w:ascii="Times New Roman"/>
                      <w:sz w:val="24"/>
                      <w:szCs w:val="24"/>
                    </w:rPr>
                  </w:pPr>
                  <w:r>
                    <w:rPr>
                      <w:rFonts w:ascii="Times New Roman"/>
                      <w:sz w:val="24"/>
                      <w:szCs w:val="24"/>
                    </w:rPr>
                    <w:t>4.0</w:t>
                  </w:r>
                </w:p>
              </w:tc>
              <w:tc>
                <w:tcPr>
                  <w:tcW w:w="1896" w:type="dxa"/>
                  <w:vAlign w:val="center"/>
                </w:tcPr>
                <w:p>
                  <w:pPr>
                    <w:pStyle w:val="41"/>
                    <w:spacing w:beforeLines="0" w:afterLines="0" w:line="240" w:lineRule="auto"/>
                    <w:ind w:firstLine="0" w:firstLineChars="0"/>
                    <w:rPr>
                      <w:rFonts w:ascii="Times New Roman"/>
                      <w:sz w:val="24"/>
                      <w:szCs w:val="24"/>
                    </w:rPr>
                  </w:pPr>
                  <w:r>
                    <w:rPr>
                      <w:rFonts w:hint="eastAsia" w:ascii="Times New Roman"/>
                      <w:sz w:val="24"/>
                      <w:szCs w:val="24"/>
                    </w:rPr>
                    <w:t>厂界</w:t>
                  </w:r>
                  <w:r>
                    <w:rPr>
                      <w:rFonts w:ascii="Times New Roman"/>
                      <w:sz w:val="24"/>
                      <w:szCs w:val="24"/>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78" w:type="dxa"/>
                  <w:vAlign w:val="center"/>
                </w:tcPr>
                <w:p>
                  <w:pPr>
                    <w:pStyle w:val="41"/>
                    <w:spacing w:beforeLines="0" w:afterLines="0" w:line="240" w:lineRule="auto"/>
                    <w:ind w:firstLine="0" w:firstLineChars="0"/>
                    <w:rPr>
                      <w:rFonts w:ascii="Times New Roman"/>
                      <w:sz w:val="24"/>
                      <w:szCs w:val="24"/>
                    </w:rPr>
                  </w:pPr>
                  <w:r>
                    <w:rPr>
                      <w:rFonts w:ascii="Times New Roman"/>
                      <w:sz w:val="24"/>
                      <w:szCs w:val="24"/>
                    </w:rPr>
                    <w:t>《挥发性有机物无组织排放控制标准》（GB37822-2019）</w:t>
                  </w:r>
                </w:p>
              </w:tc>
              <w:tc>
                <w:tcPr>
                  <w:tcW w:w="1481" w:type="dxa"/>
                  <w:vAlign w:val="center"/>
                </w:tcPr>
                <w:p>
                  <w:pPr>
                    <w:pStyle w:val="41"/>
                    <w:spacing w:beforeLines="0" w:afterLines="0" w:line="240" w:lineRule="auto"/>
                    <w:ind w:firstLine="0" w:firstLineChars="0"/>
                    <w:rPr>
                      <w:rFonts w:ascii="Times New Roman"/>
                      <w:sz w:val="24"/>
                      <w:szCs w:val="24"/>
                    </w:rPr>
                  </w:pPr>
                  <w:r>
                    <w:rPr>
                      <w:rFonts w:ascii="Times New Roman"/>
                      <w:sz w:val="24"/>
                      <w:szCs w:val="24"/>
                    </w:rPr>
                    <w:t>非甲烷总烃</w:t>
                  </w:r>
                </w:p>
              </w:tc>
              <w:tc>
                <w:tcPr>
                  <w:tcW w:w="2345" w:type="dxa"/>
                  <w:vAlign w:val="center"/>
                </w:tcPr>
                <w:p>
                  <w:pPr>
                    <w:pStyle w:val="41"/>
                    <w:spacing w:beforeLines="0" w:afterLines="0" w:line="240" w:lineRule="auto"/>
                    <w:ind w:firstLine="0" w:firstLineChars="0"/>
                    <w:rPr>
                      <w:rFonts w:ascii="Times New Roman"/>
                      <w:sz w:val="24"/>
                      <w:szCs w:val="24"/>
                    </w:rPr>
                  </w:pPr>
                  <w:r>
                    <w:rPr>
                      <w:rFonts w:hint="eastAsia" w:ascii="Times New Roman"/>
                      <w:sz w:val="24"/>
                      <w:szCs w:val="24"/>
                    </w:rPr>
                    <w:t>6.0</w:t>
                  </w:r>
                </w:p>
              </w:tc>
              <w:tc>
                <w:tcPr>
                  <w:tcW w:w="1896" w:type="dxa"/>
                  <w:vAlign w:val="center"/>
                </w:tcPr>
                <w:p>
                  <w:pPr>
                    <w:pStyle w:val="41"/>
                    <w:spacing w:beforeLines="0" w:afterLines="0" w:line="240" w:lineRule="auto"/>
                    <w:ind w:firstLine="0" w:firstLineChars="0"/>
                    <w:rPr>
                      <w:rFonts w:ascii="Times New Roman"/>
                      <w:sz w:val="24"/>
                      <w:szCs w:val="24"/>
                    </w:rPr>
                  </w:pPr>
                  <w:r>
                    <w:rPr>
                      <w:rFonts w:hint="eastAsia" w:ascii="Times New Roman"/>
                      <w:sz w:val="24"/>
                      <w:szCs w:val="24"/>
                    </w:rPr>
                    <w:t>厂区内</w:t>
                  </w:r>
                  <w:r>
                    <w:rPr>
                      <w:rFonts w:ascii="Times New Roman"/>
                      <w:sz w:val="24"/>
                      <w:szCs w:val="24"/>
                    </w:rPr>
                    <w:t>无组织</w:t>
                  </w:r>
                </w:p>
              </w:tc>
            </w:tr>
          </w:tbl>
          <w:p>
            <w:pPr>
              <w:ind w:firstLine="480"/>
              <w:rPr>
                <w:sz w:val="24"/>
                <w:szCs w:val="32"/>
              </w:rPr>
            </w:pPr>
            <w:r>
              <w:rPr>
                <w:sz w:val="24"/>
                <w:szCs w:val="24"/>
              </w:rPr>
              <w:t>（2）</w:t>
            </w:r>
            <w:r>
              <w:rPr>
                <w:rFonts w:hint="eastAsia"/>
                <w:bCs/>
                <w:sz w:val="24"/>
              </w:rPr>
              <w:t>项目运营期生活污水排放的p</w:t>
            </w:r>
            <w:r>
              <w:rPr>
                <w:bCs/>
                <w:sz w:val="24"/>
              </w:rPr>
              <w:t>H</w:t>
            </w:r>
            <w:r>
              <w:rPr>
                <w:rFonts w:hint="eastAsia"/>
                <w:bCs/>
                <w:sz w:val="24"/>
              </w:rPr>
              <w:t>、C</w:t>
            </w:r>
            <w:r>
              <w:rPr>
                <w:bCs/>
                <w:sz w:val="24"/>
              </w:rPr>
              <w:t>OD</w:t>
            </w:r>
            <w:r>
              <w:rPr>
                <w:rFonts w:hint="eastAsia"/>
                <w:bCs/>
                <w:sz w:val="24"/>
              </w:rPr>
              <w:t>、B</w:t>
            </w:r>
            <w:r>
              <w:rPr>
                <w:bCs/>
                <w:sz w:val="24"/>
              </w:rPr>
              <w:t>OD</w:t>
            </w:r>
            <w:r>
              <w:rPr>
                <w:bCs/>
                <w:sz w:val="24"/>
                <w:vertAlign w:val="subscript"/>
              </w:rPr>
              <w:t>5</w:t>
            </w:r>
            <w:r>
              <w:rPr>
                <w:rFonts w:hint="eastAsia"/>
                <w:bCs/>
                <w:sz w:val="24"/>
              </w:rPr>
              <w:t>、S</w:t>
            </w:r>
            <w:r>
              <w:rPr>
                <w:bCs/>
                <w:sz w:val="24"/>
              </w:rPr>
              <w:t>S</w:t>
            </w:r>
            <w:r>
              <w:rPr>
                <w:rFonts w:hint="eastAsia"/>
                <w:bCs/>
                <w:sz w:val="24"/>
              </w:rPr>
              <w:t>、</w:t>
            </w:r>
            <w:r>
              <w:rPr>
                <w:bCs/>
                <w:sz w:val="24"/>
              </w:rPr>
              <w:t>石油类</w:t>
            </w:r>
            <w:r>
              <w:rPr>
                <w:rFonts w:hint="eastAsia"/>
                <w:bCs/>
                <w:sz w:val="24"/>
              </w:rPr>
              <w:t>执行《污水综合排放标准》（G</w:t>
            </w:r>
            <w:r>
              <w:rPr>
                <w:bCs/>
                <w:sz w:val="24"/>
              </w:rPr>
              <w:t>B8978-1996</w:t>
            </w:r>
            <w:r>
              <w:rPr>
                <w:rFonts w:hint="eastAsia"/>
                <w:bCs/>
                <w:sz w:val="24"/>
              </w:rPr>
              <w:t>）表4中三级标准限值，NH</w:t>
            </w:r>
            <w:r>
              <w:rPr>
                <w:bCs/>
                <w:sz w:val="24"/>
                <w:vertAlign w:val="subscript"/>
              </w:rPr>
              <w:t>3</w:t>
            </w:r>
            <w:r>
              <w:rPr>
                <w:bCs/>
                <w:sz w:val="24"/>
              </w:rPr>
              <w:t>-N</w:t>
            </w:r>
            <w:r>
              <w:rPr>
                <w:rFonts w:hint="eastAsia"/>
                <w:bCs/>
                <w:sz w:val="24"/>
              </w:rPr>
              <w:t>执行《污水排入城镇下水道水质标准》（G</w:t>
            </w:r>
            <w:r>
              <w:rPr>
                <w:bCs/>
                <w:sz w:val="24"/>
              </w:rPr>
              <w:t>B/T31962-2015</w:t>
            </w:r>
            <w:r>
              <w:rPr>
                <w:rFonts w:hint="eastAsia"/>
                <w:bCs/>
                <w:sz w:val="24"/>
              </w:rPr>
              <w:t>）表1中</w:t>
            </w:r>
            <w:r>
              <w:rPr>
                <w:bCs/>
                <w:sz w:val="24"/>
              </w:rPr>
              <w:t>B</w:t>
            </w:r>
            <w:r>
              <w:rPr>
                <w:rFonts w:hint="eastAsia"/>
                <w:bCs/>
                <w:sz w:val="24"/>
              </w:rPr>
              <w:t>级标准限值</w:t>
            </w:r>
            <w:r>
              <w:rPr>
                <w:sz w:val="24"/>
                <w:szCs w:val="32"/>
              </w:rPr>
              <w:t>。</w:t>
            </w:r>
            <w:r>
              <w:rPr>
                <w:rFonts w:hint="eastAsia"/>
                <w:sz w:val="24"/>
                <w:szCs w:val="32"/>
              </w:rPr>
              <w:t>回用水</w:t>
            </w:r>
            <w:r>
              <w:rPr>
                <w:sz w:val="24"/>
                <w:szCs w:val="32"/>
              </w:rPr>
              <w:t>执行</w:t>
            </w:r>
            <w:r>
              <w:rPr>
                <w:rFonts w:hint="eastAsia"/>
                <w:sz w:val="24"/>
                <w:szCs w:val="32"/>
              </w:rPr>
              <w:t>《城市污水再生利用 城市杂用水水质》（</w:t>
            </w:r>
            <w:r>
              <w:rPr>
                <w:sz w:val="24"/>
                <w:szCs w:val="32"/>
              </w:rPr>
              <w:t>GB/T 18920-2020）相关</w:t>
            </w:r>
            <w:r>
              <w:rPr>
                <w:rFonts w:hint="eastAsia"/>
                <w:sz w:val="24"/>
                <w:szCs w:val="32"/>
              </w:rPr>
              <w:t>标准限制。</w:t>
            </w:r>
          </w:p>
          <w:p>
            <w:pPr>
              <w:pStyle w:val="34"/>
              <w:ind w:firstLine="482"/>
              <w:rPr>
                <w:b/>
                <w:bCs/>
                <w:sz w:val="24"/>
              </w:rPr>
            </w:pPr>
            <w:r>
              <w:rPr>
                <w:b/>
                <w:sz w:val="24"/>
              </w:rPr>
              <w:t>表</w:t>
            </w:r>
            <w:r>
              <w:rPr>
                <w:rFonts w:hint="eastAsia"/>
                <w:b/>
                <w:sz w:val="24"/>
              </w:rPr>
              <w:t>3-17</w:t>
            </w:r>
            <w:r>
              <w:rPr>
                <w:b/>
                <w:sz w:val="24"/>
              </w:rPr>
              <w:t xml:space="preserve">  </w:t>
            </w:r>
            <w:r>
              <w:rPr>
                <w:rFonts w:hint="eastAsia"/>
                <w:b/>
                <w:sz w:val="24"/>
              </w:rPr>
              <w:t>废水污染物</w:t>
            </w:r>
            <w:r>
              <w:rPr>
                <w:b/>
                <w:sz w:val="24"/>
              </w:rPr>
              <w:t>排放执行标准</w:t>
            </w:r>
            <w:r>
              <w:rPr>
                <w:rFonts w:hint="eastAsia"/>
                <w:b/>
                <w:sz w:val="24"/>
              </w:rPr>
              <w:t xml:space="preserve"> 单位：mg/L</w:t>
            </w:r>
          </w:p>
          <w:tbl>
            <w:tblPr>
              <w:tblStyle w:val="21"/>
              <w:tblW w:w="8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182"/>
              <w:gridCol w:w="1348"/>
              <w:gridCol w:w="3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shd w:val="pct10" w:color="auto" w:fill="auto"/>
                  <w:vAlign w:val="center"/>
                </w:tcPr>
                <w:p>
                  <w:pPr>
                    <w:spacing w:line="240" w:lineRule="auto"/>
                    <w:ind w:firstLine="0" w:firstLineChars="0"/>
                    <w:jc w:val="center"/>
                    <w:rPr>
                      <w:b/>
                      <w:bCs/>
                      <w:sz w:val="24"/>
                      <w:szCs w:val="24"/>
                    </w:rPr>
                  </w:pPr>
                  <w:r>
                    <w:rPr>
                      <w:b/>
                      <w:bCs/>
                      <w:sz w:val="24"/>
                      <w:szCs w:val="24"/>
                    </w:rPr>
                    <w:t>项目</w:t>
                  </w:r>
                </w:p>
              </w:tc>
              <w:tc>
                <w:tcPr>
                  <w:tcW w:w="1182" w:type="dxa"/>
                  <w:shd w:val="pct10" w:color="auto" w:fill="auto"/>
                  <w:vAlign w:val="center"/>
                </w:tcPr>
                <w:p>
                  <w:pPr>
                    <w:spacing w:line="240" w:lineRule="auto"/>
                    <w:ind w:firstLine="0" w:firstLineChars="0"/>
                    <w:jc w:val="center"/>
                    <w:rPr>
                      <w:b/>
                      <w:bCs/>
                      <w:sz w:val="24"/>
                      <w:szCs w:val="24"/>
                    </w:rPr>
                  </w:pPr>
                  <w:r>
                    <w:rPr>
                      <w:b/>
                      <w:bCs/>
                      <w:sz w:val="24"/>
                      <w:szCs w:val="24"/>
                    </w:rPr>
                    <w:t>标准值</w:t>
                  </w:r>
                </w:p>
              </w:tc>
              <w:tc>
                <w:tcPr>
                  <w:tcW w:w="1348" w:type="dxa"/>
                  <w:shd w:val="pct10" w:color="auto" w:fill="auto"/>
                  <w:vAlign w:val="center"/>
                </w:tcPr>
                <w:p>
                  <w:pPr>
                    <w:spacing w:line="240" w:lineRule="auto"/>
                    <w:ind w:firstLine="0" w:firstLineChars="0"/>
                    <w:jc w:val="center"/>
                    <w:rPr>
                      <w:b/>
                      <w:bCs/>
                      <w:sz w:val="24"/>
                      <w:szCs w:val="24"/>
                    </w:rPr>
                  </w:pPr>
                  <w:r>
                    <w:rPr>
                      <w:rFonts w:hint="eastAsia"/>
                      <w:b/>
                      <w:bCs/>
                      <w:sz w:val="24"/>
                      <w:szCs w:val="24"/>
                    </w:rPr>
                    <w:t>级别</w:t>
                  </w:r>
                </w:p>
              </w:tc>
              <w:tc>
                <w:tcPr>
                  <w:tcW w:w="3982" w:type="dxa"/>
                  <w:shd w:val="pct10" w:color="auto" w:fill="auto"/>
                  <w:vAlign w:val="center"/>
                </w:tcPr>
                <w:p>
                  <w:pPr>
                    <w:spacing w:line="240" w:lineRule="auto"/>
                    <w:ind w:firstLine="0" w:firstLineChars="0"/>
                    <w:jc w:val="center"/>
                    <w:rPr>
                      <w:b/>
                      <w:bCs/>
                      <w:sz w:val="24"/>
                      <w:szCs w:val="24"/>
                    </w:rPr>
                  </w:pPr>
                  <w:r>
                    <w:rPr>
                      <w:b/>
                      <w:bCs/>
                      <w:sz w:val="24"/>
                      <w:szCs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00" w:type="dxa"/>
                  <w:gridSpan w:val="4"/>
                  <w:vAlign w:val="center"/>
                </w:tcPr>
                <w:p>
                  <w:pPr>
                    <w:spacing w:line="240" w:lineRule="auto"/>
                    <w:ind w:firstLine="0" w:firstLineChars="0"/>
                    <w:jc w:val="center"/>
                    <w:rPr>
                      <w:bCs/>
                      <w:sz w:val="24"/>
                      <w:szCs w:val="24"/>
                    </w:rPr>
                  </w:pPr>
                  <w:r>
                    <w:rPr>
                      <w:rFonts w:hint="eastAsia"/>
                      <w:bCs/>
                      <w:sz w:val="24"/>
                      <w:szCs w:val="24"/>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vAlign w:val="center"/>
                </w:tcPr>
                <w:p>
                  <w:pPr>
                    <w:spacing w:line="240" w:lineRule="auto"/>
                    <w:ind w:firstLine="0" w:firstLineChars="0"/>
                    <w:jc w:val="center"/>
                    <w:rPr>
                      <w:bCs/>
                      <w:sz w:val="24"/>
                      <w:szCs w:val="24"/>
                    </w:rPr>
                  </w:pPr>
                  <w:r>
                    <w:rPr>
                      <w:bCs/>
                      <w:sz w:val="24"/>
                      <w:szCs w:val="24"/>
                    </w:rPr>
                    <w:t>pH</w:t>
                  </w:r>
                </w:p>
              </w:tc>
              <w:tc>
                <w:tcPr>
                  <w:tcW w:w="1182" w:type="dxa"/>
                  <w:vAlign w:val="center"/>
                </w:tcPr>
                <w:p>
                  <w:pPr>
                    <w:spacing w:line="240" w:lineRule="auto"/>
                    <w:ind w:firstLine="0" w:firstLineChars="0"/>
                    <w:jc w:val="center"/>
                    <w:rPr>
                      <w:bCs/>
                      <w:sz w:val="24"/>
                      <w:szCs w:val="24"/>
                    </w:rPr>
                  </w:pPr>
                  <w:r>
                    <w:rPr>
                      <w:bCs/>
                      <w:sz w:val="24"/>
                      <w:szCs w:val="24"/>
                    </w:rPr>
                    <w:t>6</w:t>
                  </w:r>
                  <w:r>
                    <w:rPr>
                      <w:sz w:val="24"/>
                      <w:szCs w:val="24"/>
                    </w:rPr>
                    <w:t>～</w:t>
                  </w:r>
                  <w:r>
                    <w:rPr>
                      <w:bCs/>
                      <w:sz w:val="24"/>
                      <w:szCs w:val="24"/>
                    </w:rPr>
                    <w:t>9</w:t>
                  </w:r>
                </w:p>
              </w:tc>
              <w:tc>
                <w:tcPr>
                  <w:tcW w:w="1348" w:type="dxa"/>
                  <w:vMerge w:val="restart"/>
                  <w:vAlign w:val="center"/>
                </w:tcPr>
                <w:p>
                  <w:pPr>
                    <w:spacing w:line="240" w:lineRule="auto"/>
                    <w:ind w:firstLine="0" w:firstLineChars="0"/>
                    <w:jc w:val="center"/>
                    <w:rPr>
                      <w:bCs/>
                      <w:sz w:val="24"/>
                      <w:szCs w:val="24"/>
                    </w:rPr>
                  </w:pPr>
                  <w:r>
                    <w:rPr>
                      <w:rFonts w:hint="eastAsia"/>
                      <w:bCs/>
                      <w:sz w:val="24"/>
                      <w:szCs w:val="24"/>
                    </w:rPr>
                    <w:t>三级</w:t>
                  </w:r>
                </w:p>
              </w:tc>
              <w:tc>
                <w:tcPr>
                  <w:tcW w:w="3982" w:type="dxa"/>
                  <w:vMerge w:val="restart"/>
                  <w:vAlign w:val="center"/>
                </w:tcPr>
                <w:p>
                  <w:pPr>
                    <w:spacing w:line="240" w:lineRule="auto"/>
                    <w:ind w:firstLine="0" w:firstLineChars="0"/>
                    <w:jc w:val="center"/>
                    <w:rPr>
                      <w:bCs/>
                      <w:sz w:val="24"/>
                      <w:szCs w:val="24"/>
                    </w:rPr>
                  </w:pPr>
                  <w:r>
                    <w:rPr>
                      <w:bCs/>
                      <w:sz w:val="24"/>
                      <w:szCs w:val="24"/>
                    </w:rPr>
                    <w:t>《污水综合排放标准》（GB8978-1996）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vAlign w:val="center"/>
                </w:tcPr>
                <w:p>
                  <w:pPr>
                    <w:spacing w:line="240" w:lineRule="auto"/>
                    <w:ind w:firstLine="0" w:firstLineChars="0"/>
                    <w:jc w:val="center"/>
                    <w:rPr>
                      <w:bCs/>
                      <w:sz w:val="24"/>
                      <w:szCs w:val="24"/>
                    </w:rPr>
                  </w:pPr>
                  <w:r>
                    <w:rPr>
                      <w:bCs/>
                      <w:sz w:val="24"/>
                      <w:szCs w:val="24"/>
                    </w:rPr>
                    <w:t>COD</w:t>
                  </w:r>
                </w:p>
              </w:tc>
              <w:tc>
                <w:tcPr>
                  <w:tcW w:w="1182" w:type="dxa"/>
                  <w:vAlign w:val="center"/>
                </w:tcPr>
                <w:p>
                  <w:pPr>
                    <w:spacing w:line="240" w:lineRule="auto"/>
                    <w:ind w:firstLine="0" w:firstLineChars="0"/>
                    <w:jc w:val="center"/>
                    <w:rPr>
                      <w:bCs/>
                      <w:sz w:val="24"/>
                      <w:szCs w:val="24"/>
                    </w:rPr>
                  </w:pPr>
                  <w:r>
                    <w:rPr>
                      <w:bCs/>
                      <w:sz w:val="24"/>
                      <w:szCs w:val="24"/>
                    </w:rPr>
                    <w:t>500</w:t>
                  </w:r>
                </w:p>
              </w:tc>
              <w:tc>
                <w:tcPr>
                  <w:tcW w:w="1348" w:type="dxa"/>
                  <w:vMerge w:val="continue"/>
                  <w:vAlign w:val="center"/>
                </w:tcPr>
                <w:p>
                  <w:pPr>
                    <w:spacing w:line="240" w:lineRule="auto"/>
                    <w:ind w:firstLine="0" w:firstLineChars="0"/>
                    <w:jc w:val="center"/>
                    <w:rPr>
                      <w:bCs/>
                      <w:sz w:val="24"/>
                      <w:szCs w:val="24"/>
                    </w:rPr>
                  </w:pPr>
                </w:p>
              </w:tc>
              <w:tc>
                <w:tcPr>
                  <w:tcW w:w="3982" w:type="dxa"/>
                  <w:vMerge w:val="continue"/>
                  <w:vAlign w:val="center"/>
                </w:tcPr>
                <w:p>
                  <w:pPr>
                    <w:spacing w:line="240" w:lineRule="auto"/>
                    <w:ind w:firstLine="0" w:firstLineChars="0"/>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vAlign w:val="center"/>
                </w:tcPr>
                <w:p>
                  <w:pPr>
                    <w:spacing w:line="240" w:lineRule="auto"/>
                    <w:ind w:firstLine="0" w:firstLineChars="0"/>
                    <w:jc w:val="center"/>
                    <w:rPr>
                      <w:bCs/>
                      <w:sz w:val="24"/>
                      <w:szCs w:val="24"/>
                    </w:rPr>
                  </w:pPr>
                  <w:r>
                    <w:rPr>
                      <w:bCs/>
                      <w:sz w:val="24"/>
                      <w:szCs w:val="24"/>
                    </w:rPr>
                    <w:t>BOD</w:t>
                  </w:r>
                  <w:r>
                    <w:rPr>
                      <w:bCs/>
                      <w:sz w:val="24"/>
                      <w:szCs w:val="24"/>
                      <w:vertAlign w:val="subscript"/>
                    </w:rPr>
                    <w:t>5</w:t>
                  </w:r>
                </w:p>
              </w:tc>
              <w:tc>
                <w:tcPr>
                  <w:tcW w:w="1182" w:type="dxa"/>
                  <w:vAlign w:val="center"/>
                </w:tcPr>
                <w:p>
                  <w:pPr>
                    <w:spacing w:line="240" w:lineRule="auto"/>
                    <w:ind w:firstLine="0" w:firstLineChars="0"/>
                    <w:jc w:val="center"/>
                    <w:rPr>
                      <w:bCs/>
                      <w:sz w:val="24"/>
                      <w:szCs w:val="24"/>
                    </w:rPr>
                  </w:pPr>
                  <w:r>
                    <w:rPr>
                      <w:bCs/>
                      <w:sz w:val="24"/>
                      <w:szCs w:val="24"/>
                    </w:rPr>
                    <w:t>300</w:t>
                  </w:r>
                </w:p>
              </w:tc>
              <w:tc>
                <w:tcPr>
                  <w:tcW w:w="1348" w:type="dxa"/>
                  <w:vMerge w:val="continue"/>
                  <w:vAlign w:val="center"/>
                </w:tcPr>
                <w:p>
                  <w:pPr>
                    <w:spacing w:line="240" w:lineRule="auto"/>
                    <w:ind w:firstLine="0" w:firstLineChars="0"/>
                    <w:jc w:val="center"/>
                    <w:rPr>
                      <w:bCs/>
                      <w:sz w:val="24"/>
                      <w:szCs w:val="24"/>
                    </w:rPr>
                  </w:pPr>
                </w:p>
              </w:tc>
              <w:tc>
                <w:tcPr>
                  <w:tcW w:w="3982" w:type="dxa"/>
                  <w:vMerge w:val="continue"/>
                  <w:vAlign w:val="center"/>
                </w:tcPr>
                <w:p>
                  <w:pPr>
                    <w:spacing w:line="240" w:lineRule="auto"/>
                    <w:ind w:firstLine="0" w:firstLineChars="0"/>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vAlign w:val="center"/>
                </w:tcPr>
                <w:p>
                  <w:pPr>
                    <w:spacing w:line="240" w:lineRule="auto"/>
                    <w:ind w:firstLine="0" w:firstLineChars="0"/>
                    <w:jc w:val="center"/>
                    <w:rPr>
                      <w:bCs/>
                      <w:sz w:val="24"/>
                      <w:szCs w:val="24"/>
                    </w:rPr>
                  </w:pPr>
                  <w:r>
                    <w:rPr>
                      <w:bCs/>
                      <w:sz w:val="24"/>
                      <w:szCs w:val="24"/>
                    </w:rPr>
                    <w:t>SS</w:t>
                  </w:r>
                </w:p>
              </w:tc>
              <w:tc>
                <w:tcPr>
                  <w:tcW w:w="1182" w:type="dxa"/>
                  <w:vAlign w:val="center"/>
                </w:tcPr>
                <w:p>
                  <w:pPr>
                    <w:spacing w:line="240" w:lineRule="auto"/>
                    <w:ind w:firstLine="0" w:firstLineChars="0"/>
                    <w:jc w:val="center"/>
                    <w:rPr>
                      <w:bCs/>
                      <w:sz w:val="24"/>
                      <w:szCs w:val="24"/>
                    </w:rPr>
                  </w:pPr>
                  <w:r>
                    <w:rPr>
                      <w:bCs/>
                      <w:sz w:val="24"/>
                      <w:szCs w:val="24"/>
                    </w:rPr>
                    <w:t>400</w:t>
                  </w:r>
                </w:p>
              </w:tc>
              <w:tc>
                <w:tcPr>
                  <w:tcW w:w="1348" w:type="dxa"/>
                  <w:vMerge w:val="continue"/>
                  <w:vAlign w:val="center"/>
                </w:tcPr>
                <w:p>
                  <w:pPr>
                    <w:spacing w:line="240" w:lineRule="auto"/>
                    <w:ind w:firstLine="0" w:firstLineChars="0"/>
                    <w:jc w:val="center"/>
                    <w:rPr>
                      <w:bCs/>
                      <w:sz w:val="24"/>
                      <w:szCs w:val="24"/>
                    </w:rPr>
                  </w:pPr>
                </w:p>
              </w:tc>
              <w:tc>
                <w:tcPr>
                  <w:tcW w:w="3982" w:type="dxa"/>
                  <w:vMerge w:val="continue"/>
                  <w:vAlign w:val="center"/>
                </w:tcPr>
                <w:p>
                  <w:pPr>
                    <w:spacing w:line="240" w:lineRule="auto"/>
                    <w:ind w:firstLine="0" w:firstLineChars="0"/>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vAlign w:val="center"/>
                </w:tcPr>
                <w:p>
                  <w:pPr>
                    <w:spacing w:line="240" w:lineRule="auto"/>
                    <w:ind w:firstLine="0" w:firstLineChars="0"/>
                    <w:jc w:val="center"/>
                    <w:rPr>
                      <w:bCs/>
                      <w:sz w:val="24"/>
                      <w:szCs w:val="24"/>
                    </w:rPr>
                  </w:pPr>
                  <w:r>
                    <w:rPr>
                      <w:bCs/>
                      <w:sz w:val="24"/>
                      <w:szCs w:val="24"/>
                    </w:rPr>
                    <w:t>石油类</w:t>
                  </w:r>
                </w:p>
              </w:tc>
              <w:tc>
                <w:tcPr>
                  <w:tcW w:w="1182" w:type="dxa"/>
                  <w:vAlign w:val="center"/>
                </w:tcPr>
                <w:p>
                  <w:pPr>
                    <w:spacing w:line="240" w:lineRule="auto"/>
                    <w:ind w:firstLine="0" w:firstLineChars="0"/>
                    <w:jc w:val="center"/>
                    <w:rPr>
                      <w:bCs/>
                      <w:sz w:val="24"/>
                      <w:szCs w:val="24"/>
                    </w:rPr>
                  </w:pPr>
                  <w:r>
                    <w:rPr>
                      <w:rFonts w:hint="eastAsia"/>
                      <w:bCs/>
                      <w:sz w:val="24"/>
                      <w:szCs w:val="24"/>
                    </w:rPr>
                    <w:t>30</w:t>
                  </w:r>
                </w:p>
              </w:tc>
              <w:tc>
                <w:tcPr>
                  <w:tcW w:w="1348" w:type="dxa"/>
                  <w:vMerge w:val="continue"/>
                  <w:vAlign w:val="center"/>
                </w:tcPr>
                <w:p>
                  <w:pPr>
                    <w:spacing w:line="240" w:lineRule="auto"/>
                    <w:ind w:firstLine="0" w:firstLineChars="0"/>
                    <w:jc w:val="center"/>
                    <w:rPr>
                      <w:bCs/>
                      <w:sz w:val="24"/>
                      <w:szCs w:val="24"/>
                    </w:rPr>
                  </w:pPr>
                </w:p>
              </w:tc>
              <w:tc>
                <w:tcPr>
                  <w:tcW w:w="3982" w:type="dxa"/>
                  <w:vMerge w:val="continue"/>
                  <w:vAlign w:val="center"/>
                </w:tcPr>
                <w:p>
                  <w:pPr>
                    <w:spacing w:line="240" w:lineRule="auto"/>
                    <w:ind w:firstLine="0" w:firstLineChars="0"/>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vAlign w:val="center"/>
                </w:tcPr>
                <w:p>
                  <w:pPr>
                    <w:spacing w:line="240" w:lineRule="auto"/>
                    <w:ind w:firstLine="0" w:firstLineChars="0"/>
                    <w:jc w:val="center"/>
                    <w:rPr>
                      <w:bCs/>
                      <w:sz w:val="24"/>
                      <w:szCs w:val="24"/>
                    </w:rPr>
                  </w:pPr>
                  <w:r>
                    <w:rPr>
                      <w:bCs/>
                      <w:sz w:val="24"/>
                      <w:szCs w:val="24"/>
                    </w:rPr>
                    <w:t>NH</w:t>
                  </w:r>
                  <w:r>
                    <w:rPr>
                      <w:bCs/>
                      <w:sz w:val="24"/>
                      <w:szCs w:val="24"/>
                      <w:vertAlign w:val="subscript"/>
                    </w:rPr>
                    <w:t>3</w:t>
                  </w:r>
                  <w:r>
                    <w:rPr>
                      <w:bCs/>
                      <w:sz w:val="24"/>
                      <w:szCs w:val="24"/>
                    </w:rPr>
                    <w:t>-N</w:t>
                  </w:r>
                </w:p>
              </w:tc>
              <w:tc>
                <w:tcPr>
                  <w:tcW w:w="1182" w:type="dxa"/>
                  <w:vAlign w:val="center"/>
                </w:tcPr>
                <w:p>
                  <w:pPr>
                    <w:spacing w:line="240" w:lineRule="auto"/>
                    <w:ind w:firstLine="0" w:firstLineChars="0"/>
                    <w:jc w:val="center"/>
                    <w:rPr>
                      <w:bCs/>
                      <w:sz w:val="24"/>
                      <w:szCs w:val="24"/>
                    </w:rPr>
                  </w:pPr>
                  <w:r>
                    <w:rPr>
                      <w:bCs/>
                      <w:sz w:val="24"/>
                      <w:szCs w:val="24"/>
                    </w:rPr>
                    <w:t>45</w:t>
                  </w:r>
                </w:p>
              </w:tc>
              <w:tc>
                <w:tcPr>
                  <w:tcW w:w="1348" w:type="dxa"/>
                  <w:vAlign w:val="center"/>
                </w:tcPr>
                <w:p>
                  <w:pPr>
                    <w:spacing w:line="240" w:lineRule="auto"/>
                    <w:ind w:firstLine="0" w:firstLineChars="0"/>
                    <w:jc w:val="center"/>
                    <w:rPr>
                      <w:bCs/>
                      <w:sz w:val="24"/>
                      <w:szCs w:val="24"/>
                    </w:rPr>
                  </w:pPr>
                  <w:r>
                    <w:rPr>
                      <w:bCs/>
                      <w:sz w:val="24"/>
                      <w:szCs w:val="24"/>
                    </w:rPr>
                    <w:t>B</w:t>
                  </w:r>
                  <w:r>
                    <w:rPr>
                      <w:rFonts w:hint="eastAsia"/>
                      <w:bCs/>
                      <w:sz w:val="24"/>
                      <w:szCs w:val="24"/>
                    </w:rPr>
                    <w:t>级</w:t>
                  </w:r>
                </w:p>
              </w:tc>
              <w:tc>
                <w:tcPr>
                  <w:tcW w:w="3982" w:type="dxa"/>
                  <w:vAlign w:val="center"/>
                </w:tcPr>
                <w:p>
                  <w:pPr>
                    <w:spacing w:line="240" w:lineRule="auto"/>
                    <w:ind w:firstLine="0" w:firstLineChars="0"/>
                    <w:jc w:val="center"/>
                    <w:rPr>
                      <w:bCs/>
                      <w:sz w:val="24"/>
                      <w:szCs w:val="24"/>
                    </w:rPr>
                  </w:pPr>
                  <w:r>
                    <w:rPr>
                      <w:rFonts w:hint="eastAsia"/>
                      <w:bCs/>
                      <w:sz w:val="24"/>
                      <w:szCs w:val="24"/>
                    </w:rPr>
                    <w:t>《</w:t>
                  </w:r>
                  <w:r>
                    <w:rPr>
                      <w:bCs/>
                      <w:sz w:val="24"/>
                      <w:szCs w:val="24"/>
                    </w:rPr>
                    <w:t>污水排入城镇下水道水质标准》（GB/T31962-2015）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200" w:type="dxa"/>
                  <w:gridSpan w:val="4"/>
                  <w:vAlign w:val="center"/>
                </w:tcPr>
                <w:p>
                  <w:pPr>
                    <w:spacing w:line="240" w:lineRule="auto"/>
                    <w:ind w:firstLine="0" w:firstLineChars="0"/>
                    <w:jc w:val="center"/>
                    <w:rPr>
                      <w:bCs/>
                      <w:sz w:val="24"/>
                      <w:szCs w:val="24"/>
                    </w:rPr>
                  </w:pPr>
                  <w:r>
                    <w:rPr>
                      <w:rFonts w:hint="eastAsia"/>
                      <w:bCs/>
                      <w:sz w:val="24"/>
                      <w:szCs w:val="24"/>
                    </w:rPr>
                    <w:t>回用水标准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vAlign w:val="center"/>
                </w:tcPr>
                <w:p>
                  <w:pPr>
                    <w:spacing w:line="240" w:lineRule="auto"/>
                    <w:ind w:firstLine="0" w:firstLineChars="0"/>
                    <w:jc w:val="center"/>
                    <w:rPr>
                      <w:bCs/>
                      <w:sz w:val="24"/>
                      <w:szCs w:val="24"/>
                    </w:rPr>
                  </w:pPr>
                  <w:r>
                    <w:rPr>
                      <w:bCs/>
                      <w:sz w:val="24"/>
                      <w:szCs w:val="24"/>
                    </w:rPr>
                    <w:t>BOD</w:t>
                  </w:r>
                  <w:r>
                    <w:rPr>
                      <w:bCs/>
                      <w:sz w:val="24"/>
                      <w:szCs w:val="24"/>
                      <w:vertAlign w:val="subscript"/>
                    </w:rPr>
                    <w:t>5</w:t>
                  </w:r>
                </w:p>
              </w:tc>
              <w:tc>
                <w:tcPr>
                  <w:tcW w:w="1182" w:type="dxa"/>
                  <w:vAlign w:val="center"/>
                </w:tcPr>
                <w:p>
                  <w:pPr>
                    <w:spacing w:line="240" w:lineRule="auto"/>
                    <w:ind w:firstLine="0" w:firstLineChars="0"/>
                    <w:jc w:val="center"/>
                    <w:rPr>
                      <w:bCs/>
                      <w:sz w:val="24"/>
                      <w:szCs w:val="24"/>
                    </w:rPr>
                  </w:pPr>
                  <w:r>
                    <w:rPr>
                      <w:rFonts w:hint="eastAsia"/>
                      <w:bCs/>
                      <w:sz w:val="24"/>
                      <w:szCs w:val="24"/>
                    </w:rPr>
                    <w:t>10</w:t>
                  </w:r>
                </w:p>
              </w:tc>
              <w:tc>
                <w:tcPr>
                  <w:tcW w:w="1348" w:type="dxa"/>
                  <w:vMerge w:val="restart"/>
                  <w:vAlign w:val="center"/>
                </w:tcPr>
                <w:p>
                  <w:pPr>
                    <w:spacing w:line="240" w:lineRule="auto"/>
                    <w:ind w:firstLine="0" w:firstLineChars="0"/>
                    <w:jc w:val="center"/>
                    <w:rPr>
                      <w:bCs/>
                      <w:sz w:val="24"/>
                      <w:szCs w:val="24"/>
                    </w:rPr>
                  </w:pPr>
                  <w:r>
                    <w:rPr>
                      <w:bCs/>
                      <w:sz w:val="24"/>
                      <w:szCs w:val="24"/>
                    </w:rPr>
                    <w:t>城市绿化</w:t>
                  </w:r>
                  <w:r>
                    <w:rPr>
                      <w:rFonts w:hint="eastAsia"/>
                      <w:bCs/>
                      <w:sz w:val="24"/>
                      <w:szCs w:val="24"/>
                    </w:rPr>
                    <w:t>、</w:t>
                  </w:r>
                  <w:r>
                    <w:rPr>
                      <w:bCs/>
                      <w:sz w:val="24"/>
                      <w:szCs w:val="24"/>
                    </w:rPr>
                    <w:t>道路清扫</w:t>
                  </w:r>
                  <w:r>
                    <w:rPr>
                      <w:rFonts w:hint="eastAsia"/>
                      <w:bCs/>
                      <w:sz w:val="24"/>
                      <w:szCs w:val="24"/>
                    </w:rPr>
                    <w:t>、</w:t>
                  </w:r>
                  <w:r>
                    <w:rPr>
                      <w:bCs/>
                      <w:sz w:val="24"/>
                      <w:szCs w:val="24"/>
                    </w:rPr>
                    <w:t>消防</w:t>
                  </w:r>
                  <w:r>
                    <w:rPr>
                      <w:rFonts w:hint="eastAsia"/>
                      <w:bCs/>
                      <w:sz w:val="24"/>
                      <w:szCs w:val="24"/>
                    </w:rPr>
                    <w:t>、</w:t>
                  </w:r>
                  <w:r>
                    <w:rPr>
                      <w:bCs/>
                      <w:sz w:val="24"/>
                      <w:szCs w:val="24"/>
                    </w:rPr>
                    <w:t>建筑施工</w:t>
                  </w:r>
                </w:p>
              </w:tc>
              <w:tc>
                <w:tcPr>
                  <w:tcW w:w="3982" w:type="dxa"/>
                  <w:vMerge w:val="restart"/>
                  <w:vAlign w:val="center"/>
                </w:tcPr>
                <w:p>
                  <w:pPr>
                    <w:spacing w:line="240" w:lineRule="auto"/>
                    <w:ind w:firstLine="0" w:firstLineChars="0"/>
                    <w:jc w:val="center"/>
                    <w:rPr>
                      <w:bCs/>
                      <w:sz w:val="24"/>
                      <w:szCs w:val="24"/>
                    </w:rPr>
                  </w:pPr>
                  <w:r>
                    <w:rPr>
                      <w:rFonts w:hint="eastAsia"/>
                      <w:sz w:val="24"/>
                      <w:szCs w:val="32"/>
                    </w:rPr>
                    <w:t>《城市污水再生利用 城市杂用水水质》（</w:t>
                  </w:r>
                  <w:r>
                    <w:rPr>
                      <w:sz w:val="24"/>
                      <w:szCs w:val="32"/>
                    </w:rPr>
                    <w:t>GB/T 18920-2020）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vAlign w:val="center"/>
                </w:tcPr>
                <w:p>
                  <w:pPr>
                    <w:spacing w:line="240" w:lineRule="auto"/>
                    <w:ind w:firstLine="0" w:firstLineChars="0"/>
                    <w:jc w:val="center"/>
                    <w:rPr>
                      <w:bCs/>
                      <w:sz w:val="24"/>
                      <w:szCs w:val="24"/>
                    </w:rPr>
                  </w:pPr>
                  <w:r>
                    <w:rPr>
                      <w:bCs/>
                      <w:sz w:val="24"/>
                      <w:szCs w:val="24"/>
                    </w:rPr>
                    <w:t>NH</w:t>
                  </w:r>
                  <w:r>
                    <w:rPr>
                      <w:bCs/>
                      <w:sz w:val="24"/>
                      <w:szCs w:val="24"/>
                      <w:vertAlign w:val="subscript"/>
                    </w:rPr>
                    <w:t>3</w:t>
                  </w:r>
                  <w:r>
                    <w:rPr>
                      <w:bCs/>
                      <w:sz w:val="24"/>
                      <w:szCs w:val="24"/>
                    </w:rPr>
                    <w:t>-N</w:t>
                  </w:r>
                </w:p>
              </w:tc>
              <w:tc>
                <w:tcPr>
                  <w:tcW w:w="1182" w:type="dxa"/>
                  <w:vAlign w:val="center"/>
                </w:tcPr>
                <w:p>
                  <w:pPr>
                    <w:spacing w:line="240" w:lineRule="auto"/>
                    <w:ind w:firstLine="0" w:firstLineChars="0"/>
                    <w:jc w:val="center"/>
                    <w:rPr>
                      <w:bCs/>
                      <w:sz w:val="24"/>
                      <w:szCs w:val="24"/>
                    </w:rPr>
                  </w:pPr>
                  <w:r>
                    <w:rPr>
                      <w:rFonts w:hint="eastAsia"/>
                      <w:bCs/>
                      <w:sz w:val="24"/>
                      <w:szCs w:val="24"/>
                    </w:rPr>
                    <w:t>5</w:t>
                  </w:r>
                </w:p>
              </w:tc>
              <w:tc>
                <w:tcPr>
                  <w:tcW w:w="1348" w:type="dxa"/>
                  <w:vMerge w:val="continue"/>
                  <w:vAlign w:val="center"/>
                </w:tcPr>
                <w:p>
                  <w:pPr>
                    <w:spacing w:line="240" w:lineRule="auto"/>
                    <w:ind w:firstLine="0" w:firstLineChars="0"/>
                    <w:jc w:val="center"/>
                    <w:rPr>
                      <w:bCs/>
                      <w:sz w:val="24"/>
                      <w:szCs w:val="24"/>
                    </w:rPr>
                  </w:pPr>
                </w:p>
              </w:tc>
              <w:tc>
                <w:tcPr>
                  <w:tcW w:w="3982" w:type="dxa"/>
                  <w:vMerge w:val="continue"/>
                  <w:vAlign w:val="center"/>
                </w:tcPr>
                <w:p>
                  <w:pPr>
                    <w:spacing w:line="240" w:lineRule="auto"/>
                    <w:ind w:firstLine="0" w:firstLineChars="0"/>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vAlign w:val="center"/>
                </w:tcPr>
                <w:p>
                  <w:pPr>
                    <w:spacing w:line="240" w:lineRule="auto"/>
                    <w:ind w:firstLine="0" w:firstLineChars="0"/>
                    <w:jc w:val="center"/>
                    <w:rPr>
                      <w:bCs/>
                      <w:sz w:val="24"/>
                      <w:szCs w:val="24"/>
                    </w:rPr>
                  </w:pPr>
                  <w:r>
                    <w:rPr>
                      <w:bCs/>
                      <w:sz w:val="24"/>
                      <w:szCs w:val="24"/>
                    </w:rPr>
                    <w:t>阴离子表面活性剂</w:t>
                  </w:r>
                </w:p>
              </w:tc>
              <w:tc>
                <w:tcPr>
                  <w:tcW w:w="1182" w:type="dxa"/>
                  <w:vAlign w:val="center"/>
                </w:tcPr>
                <w:p>
                  <w:pPr>
                    <w:spacing w:line="240" w:lineRule="auto"/>
                    <w:ind w:firstLine="0" w:firstLineChars="0"/>
                    <w:jc w:val="center"/>
                    <w:rPr>
                      <w:bCs/>
                      <w:sz w:val="24"/>
                      <w:szCs w:val="24"/>
                    </w:rPr>
                  </w:pPr>
                  <w:r>
                    <w:rPr>
                      <w:rFonts w:hint="eastAsia"/>
                      <w:bCs/>
                      <w:sz w:val="24"/>
                      <w:szCs w:val="24"/>
                    </w:rPr>
                    <w:t>0.5</w:t>
                  </w:r>
                </w:p>
              </w:tc>
              <w:tc>
                <w:tcPr>
                  <w:tcW w:w="1348" w:type="dxa"/>
                  <w:vMerge w:val="continue"/>
                  <w:vAlign w:val="center"/>
                </w:tcPr>
                <w:p>
                  <w:pPr>
                    <w:spacing w:line="240" w:lineRule="auto"/>
                    <w:ind w:firstLine="0" w:firstLineChars="0"/>
                    <w:jc w:val="center"/>
                    <w:rPr>
                      <w:bCs/>
                      <w:sz w:val="24"/>
                      <w:szCs w:val="24"/>
                    </w:rPr>
                  </w:pPr>
                </w:p>
              </w:tc>
              <w:tc>
                <w:tcPr>
                  <w:tcW w:w="3982" w:type="dxa"/>
                  <w:vMerge w:val="continue"/>
                  <w:vAlign w:val="center"/>
                </w:tcPr>
                <w:p>
                  <w:pPr>
                    <w:spacing w:line="240" w:lineRule="auto"/>
                    <w:ind w:firstLine="0" w:firstLineChars="0"/>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88" w:type="dxa"/>
                  <w:vAlign w:val="center"/>
                </w:tcPr>
                <w:p>
                  <w:pPr>
                    <w:spacing w:line="240" w:lineRule="auto"/>
                    <w:ind w:firstLine="0" w:firstLineChars="0"/>
                    <w:jc w:val="center"/>
                    <w:rPr>
                      <w:bCs/>
                      <w:sz w:val="24"/>
                      <w:szCs w:val="24"/>
                    </w:rPr>
                  </w:pPr>
                  <w:r>
                    <w:rPr>
                      <w:bCs/>
                      <w:sz w:val="24"/>
                      <w:szCs w:val="24"/>
                    </w:rPr>
                    <w:t>溶解性总固体</w:t>
                  </w:r>
                </w:p>
              </w:tc>
              <w:tc>
                <w:tcPr>
                  <w:tcW w:w="1182" w:type="dxa"/>
                  <w:vAlign w:val="center"/>
                </w:tcPr>
                <w:p>
                  <w:pPr>
                    <w:spacing w:line="240" w:lineRule="auto"/>
                    <w:ind w:firstLine="0" w:firstLineChars="0"/>
                    <w:jc w:val="center"/>
                    <w:rPr>
                      <w:bCs/>
                      <w:sz w:val="24"/>
                      <w:szCs w:val="24"/>
                    </w:rPr>
                  </w:pPr>
                  <w:r>
                    <w:rPr>
                      <w:bCs/>
                      <w:sz w:val="24"/>
                      <w:szCs w:val="24"/>
                    </w:rPr>
                    <w:t>≥</w:t>
                  </w:r>
                  <w:r>
                    <w:rPr>
                      <w:rFonts w:hint="eastAsia"/>
                      <w:bCs/>
                      <w:sz w:val="24"/>
                      <w:szCs w:val="24"/>
                    </w:rPr>
                    <w:t>2.0</w:t>
                  </w:r>
                </w:p>
              </w:tc>
              <w:tc>
                <w:tcPr>
                  <w:tcW w:w="1348" w:type="dxa"/>
                  <w:vMerge w:val="continue"/>
                  <w:vAlign w:val="center"/>
                </w:tcPr>
                <w:p>
                  <w:pPr>
                    <w:spacing w:line="240" w:lineRule="auto"/>
                    <w:ind w:firstLine="0" w:firstLineChars="0"/>
                    <w:jc w:val="center"/>
                    <w:rPr>
                      <w:bCs/>
                      <w:sz w:val="24"/>
                      <w:szCs w:val="24"/>
                    </w:rPr>
                  </w:pPr>
                </w:p>
              </w:tc>
              <w:tc>
                <w:tcPr>
                  <w:tcW w:w="3982" w:type="dxa"/>
                  <w:vMerge w:val="continue"/>
                  <w:vAlign w:val="center"/>
                </w:tcPr>
                <w:p>
                  <w:pPr>
                    <w:spacing w:line="240" w:lineRule="auto"/>
                    <w:ind w:firstLine="0" w:firstLineChars="0"/>
                    <w:jc w:val="center"/>
                    <w:rPr>
                      <w:bCs/>
                      <w:sz w:val="24"/>
                      <w:szCs w:val="24"/>
                    </w:rPr>
                  </w:pPr>
                </w:p>
              </w:tc>
            </w:tr>
          </w:tbl>
          <w:p>
            <w:pPr>
              <w:ind w:firstLine="480"/>
              <w:rPr>
                <w:sz w:val="24"/>
                <w:szCs w:val="24"/>
              </w:rPr>
            </w:pPr>
            <w:r>
              <w:rPr>
                <w:sz w:val="24"/>
                <w:szCs w:val="24"/>
              </w:rPr>
              <w:t>（3）施工期噪声排放执行《建筑施工场界环境噪声排放标准》（GB 12523-2011）中有关规定，运营期厂界噪声执行《工业企业厂界环境噪声排放标准》（GB 12348-2008）</w:t>
            </w:r>
            <w:r>
              <w:rPr>
                <w:rFonts w:hint="eastAsia"/>
                <w:sz w:val="24"/>
                <w:szCs w:val="24"/>
              </w:rPr>
              <w:t>2</w:t>
            </w:r>
            <w:r>
              <w:rPr>
                <w:sz w:val="24"/>
                <w:szCs w:val="24"/>
              </w:rPr>
              <w:t>类标准限值；</w:t>
            </w:r>
          </w:p>
          <w:p>
            <w:pPr>
              <w:pStyle w:val="34"/>
              <w:rPr>
                <w:b/>
                <w:sz w:val="24"/>
              </w:rPr>
            </w:pPr>
            <w:r>
              <w:rPr>
                <w:b/>
                <w:sz w:val="24"/>
              </w:rPr>
              <w:t>表</w:t>
            </w:r>
            <w:r>
              <w:rPr>
                <w:rFonts w:hint="eastAsia"/>
                <w:b/>
                <w:sz w:val="24"/>
              </w:rPr>
              <w:t xml:space="preserve">3-18  </w:t>
            </w:r>
            <w:r>
              <w:rPr>
                <w:b/>
                <w:sz w:val="24"/>
              </w:rPr>
              <w:t>噪声排放标准单位：dB（A）</w:t>
            </w:r>
          </w:p>
          <w:tbl>
            <w:tblPr>
              <w:tblStyle w:val="21"/>
              <w:tblW w:w="8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445"/>
              <w:gridCol w:w="5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48"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时段</w:t>
                  </w:r>
                </w:p>
              </w:tc>
              <w:tc>
                <w:tcPr>
                  <w:tcW w:w="1445"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标准值</w:t>
                  </w:r>
                </w:p>
              </w:tc>
              <w:tc>
                <w:tcPr>
                  <w:tcW w:w="5207"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48" w:type="dxa"/>
                  <w:vMerge w:val="restart"/>
                  <w:tcBorders>
                    <w:top w:val="single" w:color="auto" w:sz="4" w:space="0"/>
                    <w:left w:val="single" w:color="auto" w:sz="4" w:space="0"/>
                    <w:right w:val="single" w:color="auto" w:sz="4" w:space="0"/>
                  </w:tcBorders>
                  <w:vAlign w:val="center"/>
                </w:tcPr>
                <w:p>
                  <w:pPr>
                    <w:pStyle w:val="34"/>
                    <w:rPr>
                      <w:sz w:val="24"/>
                    </w:rPr>
                  </w:pPr>
                  <w:r>
                    <w:rPr>
                      <w:sz w:val="24"/>
                    </w:rPr>
                    <w:t>施工期</w:t>
                  </w:r>
                </w:p>
              </w:tc>
              <w:tc>
                <w:tcPr>
                  <w:tcW w:w="1445"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昼间</w:t>
                  </w:r>
                  <w:r>
                    <w:rPr>
                      <w:rFonts w:hint="eastAsia"/>
                      <w:sz w:val="24"/>
                    </w:rPr>
                    <w:t>70</w:t>
                  </w:r>
                </w:p>
              </w:tc>
              <w:tc>
                <w:tcPr>
                  <w:tcW w:w="5207" w:type="dxa"/>
                  <w:vMerge w:val="restart"/>
                  <w:tcBorders>
                    <w:left w:val="single" w:color="auto" w:sz="4" w:space="0"/>
                    <w:right w:val="single" w:color="auto" w:sz="4" w:space="0"/>
                  </w:tcBorders>
                  <w:vAlign w:val="center"/>
                </w:tcPr>
                <w:p>
                  <w:pPr>
                    <w:pStyle w:val="34"/>
                    <w:rPr>
                      <w:sz w:val="24"/>
                    </w:rPr>
                  </w:pPr>
                  <w:r>
                    <w:rPr>
                      <w:sz w:val="24"/>
                    </w:rPr>
                    <w:t>《建筑施工场界环境噪声排放标准》（GB 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48" w:type="dxa"/>
                  <w:vMerge w:val="continue"/>
                  <w:tcBorders>
                    <w:left w:val="single" w:color="auto" w:sz="4" w:space="0"/>
                    <w:bottom w:val="single" w:color="auto" w:sz="4" w:space="0"/>
                    <w:right w:val="single" w:color="auto" w:sz="4" w:space="0"/>
                  </w:tcBorders>
                  <w:vAlign w:val="center"/>
                </w:tcPr>
                <w:p>
                  <w:pPr>
                    <w:pStyle w:val="34"/>
                    <w:ind w:firstLine="420"/>
                    <w:rPr>
                      <w:sz w:val="24"/>
                    </w:rPr>
                  </w:pPr>
                </w:p>
              </w:tc>
              <w:tc>
                <w:tcPr>
                  <w:tcW w:w="1445"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夜间</w:t>
                  </w:r>
                  <w:r>
                    <w:rPr>
                      <w:rFonts w:hint="eastAsia"/>
                      <w:sz w:val="24"/>
                    </w:rPr>
                    <w:t>55</w:t>
                  </w:r>
                </w:p>
              </w:tc>
              <w:tc>
                <w:tcPr>
                  <w:tcW w:w="5207" w:type="dxa"/>
                  <w:vMerge w:val="continue"/>
                  <w:tcBorders>
                    <w:left w:val="single" w:color="auto" w:sz="4" w:space="0"/>
                    <w:right w:val="single" w:color="auto" w:sz="4" w:space="0"/>
                  </w:tcBorders>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48" w:type="dxa"/>
                  <w:vMerge w:val="restart"/>
                  <w:tcBorders>
                    <w:top w:val="single" w:color="auto" w:sz="4" w:space="0"/>
                    <w:left w:val="single" w:color="auto" w:sz="4" w:space="0"/>
                    <w:right w:val="single" w:color="auto" w:sz="4" w:space="0"/>
                  </w:tcBorders>
                  <w:vAlign w:val="center"/>
                </w:tcPr>
                <w:p>
                  <w:pPr>
                    <w:pStyle w:val="34"/>
                    <w:rPr>
                      <w:sz w:val="24"/>
                    </w:rPr>
                  </w:pPr>
                  <w:r>
                    <w:rPr>
                      <w:sz w:val="24"/>
                    </w:rPr>
                    <w:t>运营期</w:t>
                  </w:r>
                </w:p>
              </w:tc>
              <w:tc>
                <w:tcPr>
                  <w:tcW w:w="1445"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昼间6</w:t>
                  </w:r>
                  <w:r>
                    <w:rPr>
                      <w:rFonts w:hint="eastAsia"/>
                      <w:sz w:val="24"/>
                    </w:rPr>
                    <w:t>0</w:t>
                  </w:r>
                </w:p>
              </w:tc>
              <w:tc>
                <w:tcPr>
                  <w:tcW w:w="5207" w:type="dxa"/>
                  <w:vMerge w:val="restart"/>
                  <w:tcBorders>
                    <w:left w:val="single" w:color="auto" w:sz="4" w:space="0"/>
                    <w:right w:val="single" w:color="auto" w:sz="4" w:space="0"/>
                  </w:tcBorders>
                  <w:vAlign w:val="center"/>
                </w:tcPr>
                <w:p>
                  <w:pPr>
                    <w:pStyle w:val="34"/>
                    <w:rPr>
                      <w:sz w:val="24"/>
                    </w:rPr>
                  </w:pPr>
                  <w:r>
                    <w:rPr>
                      <w:sz w:val="24"/>
                    </w:rPr>
                    <w:t>《工业企业厂界环境噪声排放标准》（GB 12348-2008）中</w:t>
                  </w:r>
                  <w:r>
                    <w:rPr>
                      <w:rFonts w:hint="eastAsia"/>
                      <w:sz w:val="24"/>
                    </w:rPr>
                    <w:t>2</w:t>
                  </w:r>
                  <w:r>
                    <w:rPr>
                      <w:sz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548" w:type="dxa"/>
                  <w:vMerge w:val="continue"/>
                  <w:tcBorders>
                    <w:left w:val="single" w:color="auto" w:sz="4" w:space="0"/>
                    <w:bottom w:val="single" w:color="auto" w:sz="4" w:space="0"/>
                    <w:right w:val="single" w:color="auto" w:sz="4" w:space="0"/>
                  </w:tcBorders>
                  <w:vAlign w:val="center"/>
                </w:tcPr>
                <w:p>
                  <w:pPr>
                    <w:pStyle w:val="34"/>
                    <w:rPr>
                      <w:sz w:val="24"/>
                    </w:rPr>
                  </w:pPr>
                </w:p>
              </w:tc>
              <w:tc>
                <w:tcPr>
                  <w:tcW w:w="1445" w:type="dxa"/>
                  <w:tcBorders>
                    <w:top w:val="single" w:color="auto" w:sz="4" w:space="0"/>
                    <w:left w:val="single" w:color="auto" w:sz="4" w:space="0"/>
                    <w:bottom w:val="single" w:color="auto" w:sz="4" w:space="0"/>
                    <w:right w:val="single" w:color="auto" w:sz="4" w:space="0"/>
                  </w:tcBorders>
                  <w:vAlign w:val="center"/>
                </w:tcPr>
                <w:p>
                  <w:pPr>
                    <w:pStyle w:val="34"/>
                    <w:rPr>
                      <w:sz w:val="24"/>
                    </w:rPr>
                  </w:pPr>
                  <w:r>
                    <w:rPr>
                      <w:sz w:val="24"/>
                    </w:rPr>
                    <w:t>夜间5</w:t>
                  </w:r>
                  <w:r>
                    <w:rPr>
                      <w:rFonts w:hint="eastAsia"/>
                      <w:sz w:val="24"/>
                    </w:rPr>
                    <w:t>0</w:t>
                  </w:r>
                </w:p>
              </w:tc>
              <w:tc>
                <w:tcPr>
                  <w:tcW w:w="5207" w:type="dxa"/>
                  <w:vMerge w:val="continue"/>
                  <w:tcBorders>
                    <w:left w:val="single" w:color="auto" w:sz="4" w:space="0"/>
                    <w:bottom w:val="single" w:color="auto" w:sz="4" w:space="0"/>
                    <w:right w:val="single" w:color="auto" w:sz="4" w:space="0"/>
                  </w:tcBorders>
                  <w:vAlign w:val="center"/>
                </w:tcPr>
                <w:p>
                  <w:pPr>
                    <w:pStyle w:val="34"/>
                    <w:rPr>
                      <w:sz w:val="24"/>
                    </w:rPr>
                  </w:pPr>
                </w:p>
              </w:tc>
            </w:tr>
          </w:tbl>
          <w:p>
            <w:pPr>
              <w:ind w:firstLine="480"/>
              <w:rPr>
                <w:sz w:val="24"/>
                <w:szCs w:val="24"/>
              </w:rPr>
            </w:pPr>
            <w:r>
              <w:rPr>
                <w:rFonts w:hint="eastAsia"/>
                <w:sz w:val="24"/>
                <w:szCs w:val="24"/>
              </w:rPr>
              <w:t>（4）一般固废执行《一般工业固废贮存、处置场污染控制标准》（GB18599-2020），生活垃圾执行《生活垃圾填埋场污染控制标准》（GB16889-2008），危险废物执行《危险废物贮存污染控制标准》（GB18597-2001）及其修改单（环境保护部公告2013年第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98" w:hRule="atLeast"/>
        </w:trPr>
        <w:tc>
          <w:tcPr>
            <w:tcW w:w="860" w:type="dxa"/>
            <w:vAlign w:val="center"/>
          </w:tcPr>
          <w:p>
            <w:pPr>
              <w:pStyle w:val="34"/>
              <w:rPr>
                <w:kern w:val="0"/>
                <w:sz w:val="24"/>
              </w:rPr>
            </w:pPr>
            <w:r>
              <w:rPr>
                <w:kern w:val="0"/>
                <w:sz w:val="24"/>
              </w:rPr>
              <w:t>总量</w:t>
            </w:r>
          </w:p>
          <w:p>
            <w:pPr>
              <w:pStyle w:val="34"/>
              <w:rPr>
                <w:kern w:val="0"/>
                <w:sz w:val="24"/>
              </w:rPr>
            </w:pPr>
            <w:r>
              <w:rPr>
                <w:kern w:val="0"/>
                <w:sz w:val="24"/>
              </w:rPr>
              <w:t>控制</w:t>
            </w:r>
          </w:p>
          <w:p>
            <w:pPr>
              <w:pStyle w:val="34"/>
              <w:rPr>
                <w:sz w:val="24"/>
              </w:rPr>
            </w:pPr>
            <w:r>
              <w:rPr>
                <w:kern w:val="0"/>
                <w:sz w:val="24"/>
              </w:rPr>
              <w:t>指标</w:t>
            </w:r>
          </w:p>
        </w:tc>
        <w:tc>
          <w:tcPr>
            <w:tcW w:w="8426" w:type="dxa"/>
            <w:vAlign w:val="center"/>
          </w:tcPr>
          <w:p>
            <w:pPr>
              <w:ind w:firstLine="480"/>
              <w:jc w:val="both"/>
              <w:rPr>
                <w:rFonts w:hAnsi="宋体"/>
                <w:sz w:val="24"/>
                <w:szCs w:val="24"/>
              </w:rPr>
            </w:pPr>
            <w:r>
              <w:rPr>
                <w:rFonts w:hint="eastAsia" w:hAnsi="宋体"/>
                <w:sz w:val="24"/>
                <w:szCs w:val="24"/>
              </w:rPr>
              <w:t xml:space="preserve">本项目为新建项目，尚无下达的总量控制指标，根据国务院大气污染防治行动计划第五条第十七款的规定，结合项目工艺及排污特点，建议总量控制指标申请如下：VOCs </w:t>
            </w:r>
            <w:r>
              <w:rPr>
                <w:rFonts w:hAnsi="宋体"/>
                <w:sz w:val="24"/>
                <w:szCs w:val="24"/>
              </w:rPr>
              <w:t>0.0</w:t>
            </w:r>
            <w:r>
              <w:rPr>
                <w:rFonts w:hint="eastAsia" w:hAnsi="宋体"/>
                <w:sz w:val="24"/>
                <w:szCs w:val="24"/>
              </w:rPr>
              <w:t>22t/a。</w:t>
            </w:r>
          </w:p>
          <w:p>
            <w:pPr>
              <w:ind w:firstLine="480"/>
              <w:jc w:val="both"/>
              <w:rPr>
                <w:rFonts w:hAnsi="宋体"/>
                <w:sz w:val="24"/>
                <w:szCs w:val="24"/>
              </w:rPr>
            </w:pPr>
            <w:r>
              <w:rPr>
                <w:rFonts w:hAnsi="宋体"/>
                <w:sz w:val="24"/>
                <w:szCs w:val="24"/>
              </w:rPr>
              <w:t>项目污染物总量控制最终以生态环境部门批复为准。</w:t>
            </w:r>
          </w:p>
        </w:tc>
      </w:tr>
    </w:tbl>
    <w:p>
      <w:pPr>
        <w:ind w:firstLine="420"/>
        <w:sectPr>
          <w:pgSz w:w="11906" w:h="16838"/>
          <w:pgMar w:top="1418" w:right="1418" w:bottom="1418" w:left="1418" w:header="851" w:footer="992" w:gutter="0"/>
          <w:pgNumType w:fmt="numberInDash"/>
          <w:cols w:space="425" w:num="1"/>
          <w:docGrid w:type="lines" w:linePitch="312" w:charSpace="0"/>
        </w:sectPr>
      </w:pPr>
    </w:p>
    <w:p>
      <w:pPr>
        <w:pStyle w:val="2"/>
      </w:pPr>
      <w:r>
        <w:t>四</w:t>
      </w:r>
      <w:r>
        <w:rPr>
          <w:rFonts w:hint="eastAsia"/>
        </w:rPr>
        <w:t>、</w:t>
      </w:r>
      <w:r>
        <w:t>主要环境影响和保护措施</w:t>
      </w: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4" w:hRule="atLeast"/>
        </w:trPr>
        <w:tc>
          <w:tcPr>
            <w:tcW w:w="760" w:type="dxa"/>
            <w:vAlign w:val="center"/>
          </w:tcPr>
          <w:p>
            <w:pPr>
              <w:pStyle w:val="34"/>
              <w:rPr>
                <w:sz w:val="24"/>
              </w:rPr>
            </w:pPr>
            <w:r>
              <w:rPr>
                <w:sz w:val="24"/>
              </w:rPr>
              <w:t>施工</w:t>
            </w:r>
          </w:p>
          <w:p>
            <w:pPr>
              <w:pStyle w:val="34"/>
              <w:rPr>
                <w:sz w:val="24"/>
              </w:rPr>
            </w:pPr>
            <w:r>
              <w:rPr>
                <w:sz w:val="24"/>
              </w:rPr>
              <w:t>期环</w:t>
            </w:r>
          </w:p>
          <w:p>
            <w:pPr>
              <w:pStyle w:val="34"/>
              <w:rPr>
                <w:sz w:val="24"/>
              </w:rPr>
            </w:pPr>
            <w:r>
              <w:rPr>
                <w:sz w:val="24"/>
              </w:rPr>
              <w:t>境保</w:t>
            </w:r>
          </w:p>
          <w:p>
            <w:pPr>
              <w:pStyle w:val="34"/>
              <w:rPr>
                <w:sz w:val="24"/>
              </w:rPr>
            </w:pPr>
            <w:r>
              <w:rPr>
                <w:sz w:val="24"/>
              </w:rPr>
              <w:t>护措</w:t>
            </w:r>
          </w:p>
          <w:p>
            <w:pPr>
              <w:pStyle w:val="34"/>
              <w:rPr>
                <w:sz w:val="24"/>
              </w:rPr>
            </w:pPr>
            <w:r>
              <w:rPr>
                <w:sz w:val="24"/>
              </w:rPr>
              <w:t>施</w:t>
            </w:r>
          </w:p>
        </w:tc>
        <w:tc>
          <w:tcPr>
            <w:tcW w:w="8526" w:type="dxa"/>
            <w:vAlign w:val="center"/>
          </w:tcPr>
          <w:p>
            <w:pPr>
              <w:ind w:firstLine="480"/>
              <w:rPr>
                <w:sz w:val="24"/>
                <w:szCs w:val="24"/>
              </w:rPr>
            </w:pPr>
            <w:r>
              <w:rPr>
                <w:sz w:val="24"/>
                <w:szCs w:val="24"/>
              </w:rPr>
              <w:t>本项目</w:t>
            </w:r>
            <w:r>
              <w:rPr>
                <w:rFonts w:hint="eastAsia"/>
                <w:sz w:val="24"/>
                <w:szCs w:val="24"/>
              </w:rPr>
              <w:t>生产区</w:t>
            </w:r>
            <w:r>
              <w:rPr>
                <w:sz w:val="24"/>
                <w:szCs w:val="24"/>
              </w:rPr>
              <w:t>已建设完成</w:t>
            </w:r>
            <w:r>
              <w:rPr>
                <w:rFonts w:hint="eastAsia"/>
                <w:sz w:val="24"/>
                <w:szCs w:val="24"/>
              </w:rPr>
              <w:t>，</w:t>
            </w:r>
            <w:r>
              <w:rPr>
                <w:sz w:val="24"/>
                <w:szCs w:val="24"/>
              </w:rPr>
              <w:t>施工期主要</w:t>
            </w:r>
            <w:r>
              <w:rPr>
                <w:rFonts w:hint="eastAsia"/>
                <w:sz w:val="24"/>
                <w:szCs w:val="24"/>
              </w:rPr>
              <w:t>工作</w:t>
            </w:r>
            <w:r>
              <w:rPr>
                <w:sz w:val="24"/>
                <w:szCs w:val="24"/>
              </w:rPr>
              <w:t>内容为设备安装</w:t>
            </w:r>
            <w:r>
              <w:rPr>
                <w:rFonts w:hint="eastAsia"/>
                <w:sz w:val="24"/>
                <w:szCs w:val="24"/>
              </w:rPr>
              <w:t>调试</w:t>
            </w:r>
            <w:r>
              <w:rPr>
                <w:sz w:val="24"/>
                <w:szCs w:val="24"/>
              </w:rPr>
              <w:t>。在施工期间的设备安装等建设工序将产生扬尘、固体废弃物、废水及噪声等污染物。</w:t>
            </w:r>
          </w:p>
          <w:p>
            <w:pPr>
              <w:ind w:firstLine="480"/>
              <w:rPr>
                <w:sz w:val="24"/>
                <w:szCs w:val="24"/>
              </w:rPr>
            </w:pPr>
            <w:r>
              <w:rPr>
                <w:rFonts w:hint="eastAsia"/>
                <w:sz w:val="24"/>
                <w:szCs w:val="24"/>
              </w:rPr>
              <w:t>1、废气</w:t>
            </w:r>
          </w:p>
          <w:p>
            <w:pPr>
              <w:ind w:firstLine="480"/>
              <w:rPr>
                <w:sz w:val="24"/>
                <w:szCs w:val="24"/>
              </w:rPr>
            </w:pPr>
            <w:r>
              <w:rPr>
                <w:rFonts w:hint="eastAsia"/>
                <w:sz w:val="24"/>
                <w:szCs w:val="24"/>
              </w:rPr>
              <w:t>施工期在设备安装等建设过程中，因设备材料等装卸过程中会有扬尘产生，污染环境空气；运送物料时产生的道路扬尘。</w:t>
            </w:r>
          </w:p>
          <w:p>
            <w:pPr>
              <w:ind w:firstLine="480"/>
              <w:rPr>
                <w:sz w:val="24"/>
                <w:szCs w:val="24"/>
              </w:rPr>
            </w:pPr>
            <w:r>
              <w:rPr>
                <w:rFonts w:hint="eastAsia"/>
                <w:sz w:val="24"/>
                <w:szCs w:val="24"/>
              </w:rPr>
              <w:t>为了减小施工期扬尘污染，采取如下措施：</w:t>
            </w:r>
          </w:p>
          <w:p>
            <w:pPr>
              <w:ind w:firstLine="480"/>
              <w:rPr>
                <w:sz w:val="24"/>
                <w:szCs w:val="24"/>
              </w:rPr>
            </w:pPr>
            <w:r>
              <w:rPr>
                <w:rFonts w:hint="eastAsia"/>
                <w:sz w:val="24"/>
                <w:szCs w:val="24"/>
              </w:rPr>
              <w:t>①原辅材料运输应当采取密闭或者喷淋等方式防治扬尘污染。根据天气情况洒水2-4次，减少扬尘；水泥、砂土等易产生扬尘的物料应当密闭；不能密闭的，应当设置不低于堆放物高度的严密围挡，并采取有效覆盖措施防治扬尘污染。</w:t>
            </w:r>
          </w:p>
          <w:p>
            <w:pPr>
              <w:ind w:firstLine="480"/>
              <w:rPr>
                <w:sz w:val="24"/>
                <w:szCs w:val="24"/>
              </w:rPr>
            </w:pPr>
            <w:r>
              <w:rPr>
                <w:rFonts w:hint="eastAsia"/>
                <w:sz w:val="24"/>
                <w:szCs w:val="24"/>
              </w:rPr>
              <w:t>②合理安排车辆运输，减少车辆运输路线，减少尾气排放，对原辅材料的堆放进行加盖。</w:t>
            </w:r>
          </w:p>
          <w:p>
            <w:pPr>
              <w:ind w:firstLine="480"/>
              <w:rPr>
                <w:sz w:val="24"/>
                <w:szCs w:val="24"/>
              </w:rPr>
            </w:pPr>
            <w:r>
              <w:rPr>
                <w:rFonts w:hint="eastAsia"/>
                <w:sz w:val="24"/>
                <w:szCs w:val="24"/>
              </w:rPr>
              <w:t xml:space="preserve">③在项目管理方面设置专门的环保管理员，负责与当地环保部门联系沟通有关环保方面的事宜，并负责对施工场区环保措施进行监督管理。 </w:t>
            </w:r>
          </w:p>
          <w:p>
            <w:pPr>
              <w:ind w:firstLine="480"/>
              <w:rPr>
                <w:sz w:val="24"/>
                <w:szCs w:val="24"/>
              </w:rPr>
            </w:pPr>
            <w:r>
              <w:rPr>
                <w:rFonts w:hint="eastAsia"/>
                <w:sz w:val="24"/>
                <w:szCs w:val="24"/>
              </w:rPr>
              <w:t>在施工中要加强管理、切实落实好以上措施，施工场地产生的扬尘经过减少或延缓对环境影响较小，同时该环境影响将随施工的结束而消失。经参考其他同类项目，经过采取上述措施后颗粒物周界外浓度最高点≤0.8 mg/m</w:t>
            </w:r>
            <w:r>
              <w:rPr>
                <w:rFonts w:hint="eastAsia"/>
                <w:sz w:val="24"/>
                <w:szCs w:val="24"/>
                <w:vertAlign w:val="superscript"/>
              </w:rPr>
              <w:t>3</w:t>
            </w:r>
            <w:r>
              <w:rPr>
                <w:rFonts w:hint="eastAsia"/>
                <w:sz w:val="24"/>
                <w:szCs w:val="24"/>
              </w:rPr>
              <w:t>，满足《施工场界扬尘排放限值》（DB61/1078-2017）中标准，因此项目施工期对周围大气环境产生影响较小。</w:t>
            </w:r>
          </w:p>
          <w:p>
            <w:pPr>
              <w:ind w:firstLine="480"/>
              <w:rPr>
                <w:sz w:val="24"/>
                <w:szCs w:val="24"/>
              </w:rPr>
            </w:pPr>
            <w:r>
              <w:rPr>
                <w:rFonts w:hint="eastAsia"/>
                <w:sz w:val="24"/>
                <w:szCs w:val="24"/>
              </w:rPr>
              <w:t>2、废水</w:t>
            </w:r>
          </w:p>
          <w:p>
            <w:pPr>
              <w:ind w:firstLine="480"/>
              <w:rPr>
                <w:sz w:val="24"/>
                <w:szCs w:val="24"/>
              </w:rPr>
            </w:pPr>
            <w:r>
              <w:rPr>
                <w:rFonts w:hint="eastAsia"/>
                <w:sz w:val="24"/>
                <w:szCs w:val="24"/>
              </w:rPr>
              <w:t>施工期间，施工人员在施工营地生活将产生生活污水，生活污水主要为盥洗废水，生活污水产生量较少，施工人员生活污水依托附近化粪池收集处理，由专人定期清运。</w:t>
            </w:r>
          </w:p>
          <w:p>
            <w:pPr>
              <w:ind w:firstLine="480"/>
              <w:rPr>
                <w:sz w:val="24"/>
                <w:szCs w:val="24"/>
              </w:rPr>
            </w:pPr>
            <w:r>
              <w:rPr>
                <w:rFonts w:hint="eastAsia"/>
                <w:sz w:val="24"/>
                <w:szCs w:val="24"/>
              </w:rPr>
              <w:t>3、噪声</w:t>
            </w:r>
          </w:p>
          <w:p>
            <w:pPr>
              <w:ind w:firstLine="480"/>
              <w:rPr>
                <w:sz w:val="24"/>
                <w:szCs w:val="24"/>
              </w:rPr>
            </w:pPr>
            <w:r>
              <w:rPr>
                <w:rFonts w:hint="eastAsia"/>
                <w:sz w:val="24"/>
                <w:szCs w:val="24"/>
              </w:rPr>
              <w:t>施工期噪声对环境的影响主要为交通噪声和施工噪声。</w:t>
            </w:r>
          </w:p>
          <w:p>
            <w:pPr>
              <w:ind w:firstLine="480"/>
              <w:rPr>
                <w:sz w:val="24"/>
                <w:szCs w:val="24"/>
              </w:rPr>
            </w:pPr>
            <w:r>
              <w:rPr>
                <w:rFonts w:hint="eastAsia"/>
                <w:sz w:val="24"/>
                <w:szCs w:val="24"/>
              </w:rPr>
              <w:t>施工期噪声主要由设备安装等过程产生。噪声具有临时性、阶段性和不固定性等特点，随着施工的结束，施工噪声对周围声环境的影响也将停止。噪声的污染程度与所使用施工设备的种类及施工队伍的管理水平有关，可以通过加强管理、疏通道路、控制运输时间，减少鸣笛，降低车辆阻塞等方法减轻其影响。各类施工机械以及运输车辆产生的噪声水平为90~100dB（A），噪声随施工结束而消失，因此，施工机械和车辆噪声对周围声环境质量不会产生明显影响。</w:t>
            </w:r>
          </w:p>
          <w:p>
            <w:pPr>
              <w:ind w:firstLine="480"/>
              <w:rPr>
                <w:sz w:val="24"/>
                <w:szCs w:val="24"/>
              </w:rPr>
            </w:pPr>
            <w:r>
              <w:rPr>
                <w:rFonts w:hint="eastAsia"/>
                <w:sz w:val="24"/>
                <w:szCs w:val="24"/>
              </w:rPr>
              <w:t>4、固体废物</w:t>
            </w:r>
          </w:p>
          <w:p>
            <w:pPr>
              <w:ind w:firstLine="480"/>
              <w:rPr>
                <w:sz w:val="24"/>
                <w:szCs w:val="24"/>
              </w:rPr>
            </w:pPr>
            <w:r>
              <w:rPr>
                <w:rFonts w:hint="eastAsia"/>
                <w:sz w:val="24"/>
                <w:szCs w:val="24"/>
              </w:rPr>
              <w:t>施工期固体废弃物主要来自施工期的设备包装垃圾与生活垃圾。</w:t>
            </w:r>
          </w:p>
          <w:p>
            <w:pPr>
              <w:ind w:firstLine="480"/>
              <w:rPr>
                <w:sz w:val="24"/>
                <w:szCs w:val="24"/>
              </w:rPr>
            </w:pPr>
            <w:r>
              <w:rPr>
                <w:rFonts w:hint="eastAsia"/>
                <w:sz w:val="24"/>
                <w:szCs w:val="24"/>
              </w:rPr>
              <w:t>设备包装可回用的全部回用，不能回用的及时收集送至建筑垃圾填埋场处理。</w:t>
            </w:r>
          </w:p>
          <w:p>
            <w:pPr>
              <w:ind w:firstLine="480"/>
              <w:rPr>
                <w:sz w:val="24"/>
                <w:szCs w:val="24"/>
              </w:rPr>
            </w:pPr>
            <w:r>
              <w:rPr>
                <w:rFonts w:hint="eastAsia"/>
                <w:sz w:val="24"/>
                <w:szCs w:val="24"/>
              </w:rPr>
              <w:t>施工人员产生的生活垃圾量较少。要求该部分垃圾不得随意丢弃在施工场地，应分类收集送至生活垃圾填埋场处理。</w:t>
            </w:r>
          </w:p>
          <w:p>
            <w:pPr>
              <w:ind w:firstLine="480"/>
              <w:rPr>
                <w:sz w:val="24"/>
                <w:szCs w:val="24"/>
              </w:rPr>
            </w:pPr>
            <w:r>
              <w:rPr>
                <w:rFonts w:hint="eastAsia"/>
                <w:sz w:val="24"/>
                <w:szCs w:val="24"/>
              </w:rPr>
              <w:t>本项目施工期固废均得到综合利用或合理处置，对周围环境影响较小。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4" w:hRule="atLeast"/>
        </w:trPr>
        <w:tc>
          <w:tcPr>
            <w:tcW w:w="760" w:type="dxa"/>
            <w:vAlign w:val="center"/>
          </w:tcPr>
          <w:p>
            <w:pPr>
              <w:pStyle w:val="34"/>
              <w:rPr>
                <w:sz w:val="24"/>
              </w:rPr>
            </w:pPr>
            <w:r>
              <w:rPr>
                <w:rFonts w:hint="eastAsia"/>
                <w:sz w:val="24"/>
              </w:rPr>
              <w:t>运营</w:t>
            </w:r>
          </w:p>
          <w:p>
            <w:pPr>
              <w:pStyle w:val="34"/>
              <w:rPr>
                <w:sz w:val="24"/>
              </w:rPr>
            </w:pPr>
            <w:r>
              <w:rPr>
                <w:rFonts w:hint="eastAsia"/>
                <w:sz w:val="24"/>
              </w:rPr>
              <w:t>期环</w:t>
            </w:r>
          </w:p>
          <w:p>
            <w:pPr>
              <w:pStyle w:val="34"/>
              <w:rPr>
                <w:sz w:val="24"/>
              </w:rPr>
            </w:pPr>
            <w:r>
              <w:rPr>
                <w:rFonts w:hint="eastAsia"/>
                <w:sz w:val="24"/>
              </w:rPr>
              <w:t>境影</w:t>
            </w:r>
          </w:p>
          <w:p>
            <w:pPr>
              <w:pStyle w:val="34"/>
              <w:rPr>
                <w:sz w:val="24"/>
              </w:rPr>
            </w:pPr>
            <w:r>
              <w:rPr>
                <w:rFonts w:hint="eastAsia"/>
                <w:sz w:val="24"/>
              </w:rPr>
              <w:t>响和</w:t>
            </w:r>
          </w:p>
          <w:p>
            <w:pPr>
              <w:pStyle w:val="34"/>
              <w:rPr>
                <w:sz w:val="24"/>
              </w:rPr>
            </w:pPr>
            <w:r>
              <w:rPr>
                <w:rFonts w:hint="eastAsia"/>
                <w:sz w:val="24"/>
              </w:rPr>
              <w:t>保护</w:t>
            </w:r>
          </w:p>
          <w:p>
            <w:pPr>
              <w:pStyle w:val="34"/>
              <w:rPr>
                <w:sz w:val="24"/>
              </w:rPr>
            </w:pPr>
            <w:r>
              <w:rPr>
                <w:rFonts w:hint="eastAsia"/>
                <w:sz w:val="24"/>
              </w:rPr>
              <w:t>措施</w:t>
            </w:r>
          </w:p>
        </w:tc>
        <w:tc>
          <w:tcPr>
            <w:tcW w:w="8526" w:type="dxa"/>
            <w:vAlign w:val="center"/>
          </w:tcPr>
          <w:p>
            <w:pPr>
              <w:ind w:firstLine="480"/>
              <w:jc w:val="both"/>
              <w:rPr>
                <w:sz w:val="24"/>
                <w:szCs w:val="24"/>
              </w:rPr>
            </w:pPr>
            <w:r>
              <w:rPr>
                <w:rFonts w:hint="eastAsia"/>
                <w:sz w:val="24"/>
                <w:szCs w:val="24"/>
              </w:rPr>
              <w:t>1、废气</w:t>
            </w:r>
          </w:p>
          <w:p>
            <w:pPr>
              <w:ind w:firstLine="480"/>
              <w:jc w:val="both"/>
              <w:rPr>
                <w:sz w:val="24"/>
                <w:szCs w:val="24"/>
              </w:rPr>
            </w:pPr>
            <w:r>
              <w:rPr>
                <w:rFonts w:hint="eastAsia"/>
                <w:sz w:val="24"/>
                <w:szCs w:val="24"/>
              </w:rPr>
              <w:t>（1）废气产排情况和监测方案</w:t>
            </w:r>
          </w:p>
          <w:p>
            <w:pPr>
              <w:ind w:firstLine="480"/>
              <w:rPr>
                <w:sz w:val="24"/>
                <w:szCs w:val="24"/>
              </w:rPr>
            </w:pPr>
            <w:r>
              <w:rPr>
                <w:rFonts w:hint="eastAsia"/>
                <w:sz w:val="24"/>
                <w:szCs w:val="24"/>
              </w:rPr>
              <w:t>本项目运营期废气主要为废弃电器、报废机动车拆解及加工过程中产生的颗粒物与非甲烷总烃。废气产排情况见表4-1。</w:t>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0" w:firstLineChars="0"/>
              <w:rPr>
                <w:sz w:val="24"/>
                <w:szCs w:val="24"/>
              </w:rPr>
            </w:pPr>
          </w:p>
        </w:tc>
      </w:tr>
    </w:tbl>
    <w:p>
      <w:pPr>
        <w:ind w:firstLine="420"/>
        <w:sectPr>
          <w:pgSz w:w="11906" w:h="16838"/>
          <w:pgMar w:top="1418" w:right="1418" w:bottom="1418" w:left="1418" w:header="851" w:footer="992" w:gutter="0"/>
          <w:pgNumType w:fmt="numberInDash"/>
          <w:cols w:space="425" w:num="1"/>
          <w:docGrid w:type="lines" w:linePitch="312" w:charSpace="0"/>
        </w:sectPr>
      </w:pPr>
    </w:p>
    <w:tbl>
      <w:tblPr>
        <w:tblStyle w:val="22"/>
        <w:tblW w:w="14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pStyle w:val="34"/>
              <w:rPr>
                <w:sz w:val="24"/>
              </w:rPr>
            </w:pPr>
            <w:r>
              <w:rPr>
                <w:rFonts w:hint="eastAsia"/>
                <w:sz w:val="24"/>
              </w:rPr>
              <w:t>运营</w:t>
            </w:r>
          </w:p>
          <w:p>
            <w:pPr>
              <w:pStyle w:val="34"/>
              <w:rPr>
                <w:sz w:val="24"/>
              </w:rPr>
            </w:pPr>
            <w:r>
              <w:rPr>
                <w:rFonts w:hint="eastAsia"/>
                <w:sz w:val="24"/>
              </w:rPr>
              <w:t>期环</w:t>
            </w:r>
          </w:p>
          <w:p>
            <w:pPr>
              <w:pStyle w:val="34"/>
              <w:rPr>
                <w:sz w:val="24"/>
              </w:rPr>
            </w:pPr>
            <w:r>
              <w:rPr>
                <w:rFonts w:hint="eastAsia"/>
                <w:sz w:val="24"/>
              </w:rPr>
              <w:t>境影</w:t>
            </w:r>
          </w:p>
          <w:p>
            <w:pPr>
              <w:pStyle w:val="34"/>
              <w:rPr>
                <w:sz w:val="24"/>
              </w:rPr>
            </w:pPr>
            <w:r>
              <w:rPr>
                <w:rFonts w:hint="eastAsia"/>
                <w:sz w:val="24"/>
              </w:rPr>
              <w:t>响和</w:t>
            </w:r>
          </w:p>
          <w:p>
            <w:pPr>
              <w:pStyle w:val="34"/>
              <w:rPr>
                <w:sz w:val="24"/>
              </w:rPr>
            </w:pPr>
            <w:r>
              <w:rPr>
                <w:rFonts w:hint="eastAsia"/>
                <w:sz w:val="24"/>
              </w:rPr>
              <w:t>保护</w:t>
            </w:r>
          </w:p>
          <w:p>
            <w:pPr>
              <w:pStyle w:val="34"/>
              <w:rPr>
                <w:sz w:val="24"/>
              </w:rPr>
            </w:pPr>
            <w:r>
              <w:rPr>
                <w:rFonts w:hint="eastAsia"/>
                <w:sz w:val="24"/>
              </w:rPr>
              <w:t>措 施</w:t>
            </w:r>
          </w:p>
        </w:tc>
        <w:tc>
          <w:tcPr>
            <w:tcW w:w="13543" w:type="dxa"/>
            <w:vAlign w:val="center"/>
          </w:tcPr>
          <w:p>
            <w:pPr>
              <w:pStyle w:val="34"/>
              <w:ind w:firstLine="482"/>
              <w:rPr>
                <w:b/>
                <w:szCs w:val="21"/>
              </w:rPr>
            </w:pPr>
            <w:r>
              <w:rPr>
                <w:b/>
                <w:szCs w:val="21"/>
              </w:rPr>
              <w:t>表4-1  本项目</w:t>
            </w:r>
            <w:r>
              <w:rPr>
                <w:rFonts w:hint="eastAsia"/>
                <w:b/>
                <w:szCs w:val="21"/>
              </w:rPr>
              <w:t>废弃家电拆解</w:t>
            </w:r>
            <w:r>
              <w:rPr>
                <w:b/>
                <w:szCs w:val="21"/>
              </w:rPr>
              <w:t>废气排放信息一览表</w:t>
            </w:r>
          </w:p>
          <w:tbl>
            <w:tblPr>
              <w:tblStyle w:val="21"/>
              <w:tblW w:w="133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976"/>
              <w:gridCol w:w="1787"/>
              <w:gridCol w:w="1129"/>
              <w:gridCol w:w="2280"/>
              <w:gridCol w:w="1116"/>
              <w:gridCol w:w="223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89"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产排污环节</w:t>
                  </w:r>
                </w:p>
              </w:tc>
              <w:tc>
                <w:tcPr>
                  <w:tcW w:w="2916" w:type="dxa"/>
                  <w:gridSpan w:val="2"/>
                  <w:tcBorders>
                    <w:top w:val="single" w:color="auto" w:sz="4" w:space="0"/>
                    <w:left w:val="single" w:color="auto" w:sz="4" w:space="0"/>
                    <w:right w:val="single" w:color="auto" w:sz="4" w:space="0"/>
                  </w:tcBorders>
                  <w:shd w:val="clear" w:color="auto" w:fill="auto"/>
                  <w:vAlign w:val="center"/>
                </w:tcPr>
                <w:p>
                  <w:pPr>
                    <w:pStyle w:val="34"/>
                    <w:rPr>
                      <w:szCs w:val="21"/>
                    </w:rPr>
                  </w:pPr>
                  <w:r>
                    <w:rPr>
                      <w:rFonts w:hint="eastAsia"/>
                      <w:szCs w:val="21"/>
                    </w:rPr>
                    <w:t>废弃电器拆解</w:t>
                  </w:r>
                </w:p>
              </w:tc>
              <w:tc>
                <w:tcPr>
                  <w:tcW w:w="7812" w:type="dxa"/>
                  <w:gridSpan w:val="4"/>
                  <w:tcBorders>
                    <w:top w:val="single" w:color="auto" w:sz="4" w:space="0"/>
                    <w:left w:val="single" w:color="auto" w:sz="4" w:space="0"/>
                    <w:right w:val="single" w:color="auto" w:sz="4" w:space="0"/>
                  </w:tcBorders>
                  <w:shd w:val="clear" w:color="auto" w:fill="auto"/>
                  <w:vAlign w:val="center"/>
                </w:tcPr>
                <w:p>
                  <w:pPr>
                    <w:pStyle w:val="34"/>
                    <w:rPr>
                      <w:szCs w:val="21"/>
                    </w:rPr>
                  </w:pPr>
                  <w:r>
                    <w:rPr>
                      <w:rFonts w:hint="eastAsia"/>
                      <w:szCs w:val="21"/>
                    </w:rPr>
                    <w:t>废弃电器拆解后机械加工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89"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污染物种类</w:t>
                  </w:r>
                </w:p>
              </w:tc>
              <w:tc>
                <w:tcPr>
                  <w:tcW w:w="2916" w:type="dxa"/>
                  <w:gridSpan w:val="2"/>
                  <w:tcBorders>
                    <w:left w:val="single" w:color="auto" w:sz="4" w:space="0"/>
                    <w:bottom w:val="single" w:color="auto" w:sz="4" w:space="0"/>
                    <w:right w:val="single" w:color="auto" w:sz="4" w:space="0"/>
                  </w:tcBorders>
                  <w:shd w:val="clear" w:color="auto" w:fill="auto"/>
                  <w:vAlign w:val="center"/>
                </w:tcPr>
                <w:p>
                  <w:pPr>
                    <w:pStyle w:val="34"/>
                    <w:rPr>
                      <w:szCs w:val="21"/>
                    </w:rPr>
                  </w:pPr>
                  <w:r>
                    <w:rPr>
                      <w:rFonts w:hint="eastAsia"/>
                      <w:szCs w:val="21"/>
                    </w:rPr>
                    <w:t>拆解颗粒物</w:t>
                  </w:r>
                </w:p>
              </w:tc>
              <w:tc>
                <w:tcPr>
                  <w:tcW w:w="3396" w:type="dxa"/>
                  <w:gridSpan w:val="2"/>
                  <w:tcBorders>
                    <w:left w:val="single" w:color="auto" w:sz="4" w:space="0"/>
                    <w:bottom w:val="single" w:color="auto" w:sz="4" w:space="0"/>
                    <w:right w:val="single" w:color="auto" w:sz="4" w:space="0"/>
                  </w:tcBorders>
                  <w:shd w:val="clear" w:color="auto" w:fill="auto"/>
                  <w:vAlign w:val="center"/>
                </w:tcPr>
                <w:p>
                  <w:pPr>
                    <w:pStyle w:val="34"/>
                    <w:rPr>
                      <w:szCs w:val="21"/>
                    </w:rPr>
                  </w:pPr>
                  <w:r>
                    <w:rPr>
                      <w:rFonts w:hint="eastAsia"/>
                      <w:szCs w:val="21"/>
                    </w:rPr>
                    <w:t>破碎颗粒物</w:t>
                  </w:r>
                </w:p>
              </w:tc>
              <w:tc>
                <w:tcPr>
                  <w:tcW w:w="4416" w:type="dxa"/>
                  <w:gridSpan w:val="2"/>
                  <w:tcBorders>
                    <w:left w:val="single" w:color="auto" w:sz="4" w:space="0"/>
                    <w:bottom w:val="single" w:color="auto" w:sz="4" w:space="0"/>
                    <w:right w:val="single" w:color="auto" w:sz="4" w:space="0"/>
                  </w:tcBorders>
                  <w:shd w:val="clear" w:color="auto" w:fill="auto"/>
                  <w:vAlign w:val="center"/>
                </w:tcPr>
                <w:p>
                  <w:pPr>
                    <w:pStyle w:val="34"/>
                    <w:rPr>
                      <w:szCs w:val="21"/>
                    </w:rPr>
                  </w:pPr>
                  <w:r>
                    <w:rPr>
                      <w:rFonts w:hint="eastAsia"/>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89"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污染物</w:t>
                  </w:r>
                </w:p>
              </w:tc>
              <w:tc>
                <w:tcPr>
                  <w:tcW w:w="29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
                    <w:rPr>
                      <w:szCs w:val="21"/>
                    </w:rPr>
                  </w:pPr>
                  <w:r>
                    <w:rPr>
                      <w:rFonts w:hint="eastAsia"/>
                      <w:szCs w:val="21"/>
                    </w:rPr>
                    <w:t>颗粒物</w:t>
                  </w:r>
                </w:p>
              </w:tc>
              <w:tc>
                <w:tcPr>
                  <w:tcW w:w="3396" w:type="dxa"/>
                  <w:gridSpan w:val="2"/>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颗粒物</w:t>
                  </w:r>
                </w:p>
              </w:tc>
              <w:tc>
                <w:tcPr>
                  <w:tcW w:w="4416" w:type="dxa"/>
                  <w:gridSpan w:val="2"/>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89"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污染物产生浓度mg</w:t>
                  </w:r>
                  <w:r>
                    <w:rPr>
                      <w:rFonts w:hint="eastAsia"/>
                      <w:b/>
                      <w:szCs w:val="21"/>
                    </w:rPr>
                    <w:t>/m</w:t>
                  </w:r>
                  <w:r>
                    <w:rPr>
                      <w:rFonts w:hint="eastAsia"/>
                      <w:b/>
                      <w:szCs w:val="21"/>
                      <w:vertAlign w:val="superscript"/>
                    </w:rPr>
                    <w:t>3</w:t>
                  </w:r>
                </w:p>
              </w:tc>
              <w:tc>
                <w:tcPr>
                  <w:tcW w:w="1787" w:type="dxa"/>
                  <w:tcBorders>
                    <w:top w:val="single" w:color="auto" w:sz="4" w:space="0"/>
                    <w:left w:val="single" w:color="auto" w:sz="4" w:space="0"/>
                    <w:right w:val="single" w:color="auto" w:sz="4" w:space="0"/>
                  </w:tcBorders>
                  <w:shd w:val="clear" w:color="auto" w:fill="auto"/>
                  <w:vAlign w:val="center"/>
                </w:tcPr>
                <w:p>
                  <w:pPr>
                    <w:pStyle w:val="34"/>
                    <w:rPr>
                      <w:szCs w:val="21"/>
                    </w:rPr>
                  </w:pPr>
                  <w:r>
                    <w:rPr>
                      <w:rFonts w:hint="eastAsia"/>
                      <w:szCs w:val="21"/>
                    </w:rPr>
                    <w:t>2</w:t>
                  </w:r>
                  <w:r>
                    <w:rPr>
                      <w:szCs w:val="21"/>
                    </w:rPr>
                    <w:t>8.92</w:t>
                  </w:r>
                </w:p>
              </w:tc>
              <w:tc>
                <w:tcPr>
                  <w:tcW w:w="1129"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w:t>
                  </w:r>
                </w:p>
              </w:tc>
              <w:tc>
                <w:tcPr>
                  <w:tcW w:w="2280"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13.2</w:t>
                  </w:r>
                </w:p>
              </w:tc>
              <w:tc>
                <w:tcPr>
                  <w:tcW w:w="1116"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w:t>
                  </w:r>
                </w:p>
              </w:tc>
              <w:tc>
                <w:tcPr>
                  <w:tcW w:w="223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0</w:t>
                  </w:r>
                  <w:r>
                    <w:rPr>
                      <w:szCs w:val="21"/>
                    </w:rPr>
                    <w:t>.80</w:t>
                  </w:r>
                </w:p>
              </w:tc>
              <w:tc>
                <w:tcPr>
                  <w:tcW w:w="2184"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89"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污染物产生量kg</w:t>
                  </w:r>
                  <w:r>
                    <w:rPr>
                      <w:rFonts w:hint="eastAsia"/>
                      <w:b/>
                      <w:szCs w:val="21"/>
                    </w:rPr>
                    <w:t>/h</w:t>
                  </w:r>
                </w:p>
              </w:tc>
              <w:tc>
                <w:tcPr>
                  <w:tcW w:w="1787" w:type="dxa"/>
                  <w:tcBorders>
                    <w:left w:val="single" w:color="auto" w:sz="4" w:space="0"/>
                    <w:right w:val="single" w:color="auto" w:sz="4" w:space="0"/>
                  </w:tcBorders>
                  <w:shd w:val="clear" w:color="auto" w:fill="auto"/>
                  <w:vAlign w:val="center"/>
                </w:tcPr>
                <w:p>
                  <w:pPr>
                    <w:pStyle w:val="34"/>
                    <w:rPr>
                      <w:szCs w:val="21"/>
                    </w:rPr>
                  </w:pPr>
                  <w:r>
                    <w:rPr>
                      <w:rFonts w:hint="eastAsia"/>
                      <w:szCs w:val="21"/>
                    </w:rPr>
                    <w:t>0</w:t>
                  </w:r>
                  <w:r>
                    <w:rPr>
                      <w:szCs w:val="21"/>
                    </w:rPr>
                    <w:t>.29</w:t>
                  </w:r>
                </w:p>
              </w:tc>
              <w:tc>
                <w:tcPr>
                  <w:tcW w:w="1129" w:type="dxa"/>
                  <w:tcBorders>
                    <w:left w:val="single" w:color="auto" w:sz="4" w:space="0"/>
                    <w:right w:val="single" w:color="auto" w:sz="4" w:space="0"/>
                  </w:tcBorders>
                  <w:vAlign w:val="center"/>
                </w:tcPr>
                <w:p>
                  <w:pPr>
                    <w:pStyle w:val="34"/>
                    <w:rPr>
                      <w:szCs w:val="21"/>
                    </w:rPr>
                  </w:pPr>
                  <w:r>
                    <w:rPr>
                      <w:rFonts w:hint="eastAsia"/>
                      <w:szCs w:val="21"/>
                    </w:rPr>
                    <w:t>0</w:t>
                  </w:r>
                  <w:r>
                    <w:rPr>
                      <w:szCs w:val="21"/>
                    </w:rPr>
                    <w:t>.07</w:t>
                  </w:r>
                </w:p>
              </w:tc>
              <w:tc>
                <w:tcPr>
                  <w:tcW w:w="2280" w:type="dxa"/>
                  <w:tcBorders>
                    <w:left w:val="single" w:color="auto" w:sz="4" w:space="0"/>
                    <w:right w:val="single" w:color="auto" w:sz="4" w:space="0"/>
                  </w:tcBorders>
                  <w:vAlign w:val="center"/>
                </w:tcPr>
                <w:p>
                  <w:pPr>
                    <w:pStyle w:val="34"/>
                    <w:rPr>
                      <w:szCs w:val="21"/>
                    </w:rPr>
                  </w:pPr>
                  <w:r>
                    <w:rPr>
                      <w:rFonts w:hint="eastAsia"/>
                      <w:szCs w:val="21"/>
                    </w:rPr>
                    <w:t>0</w:t>
                  </w:r>
                  <w:r>
                    <w:rPr>
                      <w:szCs w:val="21"/>
                    </w:rPr>
                    <w:t>.</w:t>
                  </w:r>
                  <w:r>
                    <w:rPr>
                      <w:rFonts w:hint="eastAsia"/>
                      <w:szCs w:val="21"/>
                    </w:rPr>
                    <w:t>13</w:t>
                  </w:r>
                </w:p>
              </w:tc>
              <w:tc>
                <w:tcPr>
                  <w:tcW w:w="1116" w:type="dxa"/>
                  <w:tcBorders>
                    <w:left w:val="single" w:color="auto" w:sz="4" w:space="0"/>
                    <w:right w:val="single" w:color="auto" w:sz="4" w:space="0"/>
                  </w:tcBorders>
                  <w:vAlign w:val="center"/>
                </w:tcPr>
                <w:p>
                  <w:pPr>
                    <w:pStyle w:val="34"/>
                    <w:rPr>
                      <w:szCs w:val="21"/>
                    </w:rPr>
                  </w:pPr>
                  <w:r>
                    <w:rPr>
                      <w:rFonts w:hint="eastAsia"/>
                      <w:szCs w:val="21"/>
                    </w:rPr>
                    <w:t>0.03</w:t>
                  </w:r>
                </w:p>
              </w:tc>
              <w:tc>
                <w:tcPr>
                  <w:tcW w:w="2232" w:type="dxa"/>
                  <w:tcBorders>
                    <w:left w:val="single" w:color="auto" w:sz="4" w:space="0"/>
                    <w:right w:val="single" w:color="auto" w:sz="4" w:space="0"/>
                  </w:tcBorders>
                  <w:vAlign w:val="center"/>
                </w:tcPr>
                <w:p>
                  <w:pPr>
                    <w:pStyle w:val="34"/>
                    <w:rPr>
                      <w:szCs w:val="21"/>
                    </w:rPr>
                  </w:pPr>
                  <w:r>
                    <w:rPr>
                      <w:rFonts w:hint="eastAsia"/>
                      <w:szCs w:val="21"/>
                    </w:rPr>
                    <w:t>0</w:t>
                  </w:r>
                  <w:r>
                    <w:rPr>
                      <w:szCs w:val="21"/>
                    </w:rPr>
                    <w:t>.008</w:t>
                  </w:r>
                </w:p>
              </w:tc>
              <w:tc>
                <w:tcPr>
                  <w:tcW w:w="2184" w:type="dxa"/>
                  <w:tcBorders>
                    <w:left w:val="single" w:color="auto" w:sz="4" w:space="0"/>
                    <w:right w:val="single" w:color="auto" w:sz="4" w:space="0"/>
                  </w:tcBorders>
                  <w:vAlign w:val="center"/>
                </w:tcPr>
                <w:p>
                  <w:pPr>
                    <w:pStyle w:val="34"/>
                    <w:rPr>
                      <w:szCs w:val="21"/>
                    </w:rPr>
                  </w:pPr>
                  <w:r>
                    <w:rPr>
                      <w:rFonts w:hint="eastAsia"/>
                      <w:szCs w:val="21"/>
                    </w:rPr>
                    <w:t>0</w:t>
                  </w:r>
                  <w:r>
                    <w:rPr>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89"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排放形式</w:t>
                  </w:r>
                </w:p>
              </w:tc>
              <w:tc>
                <w:tcPr>
                  <w:tcW w:w="1787" w:type="dxa"/>
                  <w:tcBorders>
                    <w:left w:val="single" w:color="auto" w:sz="4" w:space="0"/>
                    <w:right w:val="single" w:color="auto" w:sz="4" w:space="0"/>
                  </w:tcBorders>
                  <w:shd w:val="clear" w:color="auto" w:fill="auto"/>
                  <w:vAlign w:val="center"/>
                </w:tcPr>
                <w:p>
                  <w:pPr>
                    <w:pStyle w:val="34"/>
                    <w:rPr>
                      <w:szCs w:val="21"/>
                    </w:rPr>
                  </w:pPr>
                  <w:r>
                    <w:rPr>
                      <w:szCs w:val="21"/>
                    </w:rPr>
                    <w:t>有组织</w:t>
                  </w:r>
                </w:p>
              </w:tc>
              <w:tc>
                <w:tcPr>
                  <w:tcW w:w="1129" w:type="dxa"/>
                  <w:tcBorders>
                    <w:left w:val="single" w:color="auto" w:sz="4" w:space="0"/>
                    <w:right w:val="single" w:color="auto" w:sz="4" w:space="0"/>
                  </w:tcBorders>
                  <w:vAlign w:val="center"/>
                </w:tcPr>
                <w:p>
                  <w:pPr>
                    <w:pStyle w:val="34"/>
                    <w:rPr>
                      <w:szCs w:val="21"/>
                    </w:rPr>
                  </w:pPr>
                  <w:r>
                    <w:rPr>
                      <w:szCs w:val="21"/>
                    </w:rPr>
                    <w:t>无组织</w:t>
                  </w:r>
                </w:p>
              </w:tc>
              <w:tc>
                <w:tcPr>
                  <w:tcW w:w="2280" w:type="dxa"/>
                  <w:tcBorders>
                    <w:left w:val="single" w:color="auto" w:sz="4" w:space="0"/>
                    <w:right w:val="single" w:color="auto" w:sz="4" w:space="0"/>
                  </w:tcBorders>
                  <w:vAlign w:val="center"/>
                </w:tcPr>
                <w:p>
                  <w:pPr>
                    <w:pStyle w:val="34"/>
                    <w:rPr>
                      <w:szCs w:val="21"/>
                    </w:rPr>
                  </w:pPr>
                  <w:r>
                    <w:rPr>
                      <w:szCs w:val="21"/>
                    </w:rPr>
                    <w:t>有组织</w:t>
                  </w:r>
                </w:p>
              </w:tc>
              <w:tc>
                <w:tcPr>
                  <w:tcW w:w="1116" w:type="dxa"/>
                  <w:tcBorders>
                    <w:left w:val="single" w:color="auto" w:sz="4" w:space="0"/>
                    <w:right w:val="single" w:color="auto" w:sz="4" w:space="0"/>
                  </w:tcBorders>
                  <w:vAlign w:val="center"/>
                </w:tcPr>
                <w:p>
                  <w:pPr>
                    <w:pStyle w:val="34"/>
                    <w:rPr>
                      <w:szCs w:val="21"/>
                    </w:rPr>
                  </w:pPr>
                  <w:r>
                    <w:rPr>
                      <w:szCs w:val="21"/>
                    </w:rPr>
                    <w:t>无组织</w:t>
                  </w:r>
                </w:p>
              </w:tc>
              <w:tc>
                <w:tcPr>
                  <w:tcW w:w="2232" w:type="dxa"/>
                  <w:tcBorders>
                    <w:left w:val="single" w:color="auto" w:sz="4" w:space="0"/>
                    <w:right w:val="single" w:color="auto" w:sz="4" w:space="0"/>
                  </w:tcBorders>
                  <w:vAlign w:val="center"/>
                </w:tcPr>
                <w:p>
                  <w:pPr>
                    <w:pStyle w:val="34"/>
                    <w:rPr>
                      <w:szCs w:val="21"/>
                    </w:rPr>
                  </w:pPr>
                  <w:r>
                    <w:rPr>
                      <w:szCs w:val="21"/>
                    </w:rPr>
                    <w:t>有组织</w:t>
                  </w:r>
                </w:p>
              </w:tc>
              <w:tc>
                <w:tcPr>
                  <w:tcW w:w="2184" w:type="dxa"/>
                  <w:tcBorders>
                    <w:left w:val="single" w:color="auto" w:sz="4" w:space="0"/>
                    <w:right w:val="single" w:color="auto" w:sz="4" w:space="0"/>
                  </w:tcBorders>
                  <w:vAlign w:val="center"/>
                </w:tcPr>
                <w:p>
                  <w:pPr>
                    <w:pStyle w:val="34"/>
                    <w:rPr>
                      <w:szCs w:val="21"/>
                    </w:rPr>
                  </w:pPr>
                  <w:r>
                    <w:rPr>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restart"/>
                  <w:tcBorders>
                    <w:top w:val="single" w:color="auto" w:sz="4" w:space="0"/>
                    <w:left w:val="single" w:color="auto" w:sz="4" w:space="0"/>
                    <w:right w:val="single" w:color="auto" w:sz="4" w:space="0"/>
                  </w:tcBorders>
                  <w:shd w:val="pct10" w:color="auto" w:fill="auto"/>
                  <w:vAlign w:val="center"/>
                </w:tcPr>
                <w:p>
                  <w:pPr>
                    <w:pStyle w:val="34"/>
                    <w:rPr>
                      <w:b/>
                      <w:szCs w:val="21"/>
                    </w:rPr>
                  </w:pPr>
                  <w:r>
                    <w:rPr>
                      <w:b/>
                      <w:szCs w:val="21"/>
                    </w:rPr>
                    <w:t>治理</w:t>
                  </w:r>
                </w:p>
                <w:p>
                  <w:pPr>
                    <w:pStyle w:val="34"/>
                    <w:rPr>
                      <w:b/>
                      <w:szCs w:val="21"/>
                    </w:rPr>
                  </w:pPr>
                  <w:r>
                    <w:rPr>
                      <w:b/>
                      <w:szCs w:val="21"/>
                    </w:rPr>
                    <w:t>设施</w:t>
                  </w:r>
                </w:p>
              </w:tc>
              <w:tc>
                <w:tcPr>
                  <w:tcW w:w="1976" w:type="dxa"/>
                  <w:tcBorders>
                    <w:top w:val="single" w:color="auto" w:sz="4" w:space="0"/>
                    <w:left w:val="single" w:color="auto" w:sz="4" w:space="0"/>
                    <w:right w:val="single" w:color="auto" w:sz="4" w:space="0"/>
                  </w:tcBorders>
                  <w:shd w:val="pct10" w:color="auto" w:fill="auto"/>
                  <w:vAlign w:val="center"/>
                </w:tcPr>
                <w:p>
                  <w:pPr>
                    <w:pStyle w:val="34"/>
                    <w:rPr>
                      <w:b/>
                      <w:szCs w:val="21"/>
                    </w:rPr>
                  </w:pPr>
                  <w:r>
                    <w:rPr>
                      <w:b/>
                      <w:szCs w:val="21"/>
                    </w:rPr>
                    <w:t>名称</w:t>
                  </w:r>
                </w:p>
              </w:tc>
              <w:tc>
                <w:tcPr>
                  <w:tcW w:w="1787" w:type="dxa"/>
                  <w:tcBorders>
                    <w:left w:val="single" w:color="auto" w:sz="4" w:space="0"/>
                    <w:right w:val="single" w:color="auto" w:sz="4" w:space="0"/>
                  </w:tcBorders>
                  <w:shd w:val="clear" w:color="auto" w:fill="auto"/>
                  <w:vAlign w:val="center"/>
                </w:tcPr>
                <w:p>
                  <w:pPr>
                    <w:pStyle w:val="34"/>
                    <w:rPr>
                      <w:szCs w:val="21"/>
                    </w:rPr>
                  </w:pPr>
                  <w:r>
                    <w:rPr>
                      <w:szCs w:val="21"/>
                    </w:rPr>
                    <w:t>布袋除尘</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rFonts w:hint="eastAsia"/>
                      <w:szCs w:val="21"/>
                    </w:rPr>
                    <w:t>旋风除尘+脉冲袋式除尘器</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rFonts w:hint="eastAsia"/>
                      <w:szCs w:val="21"/>
                    </w:rPr>
                    <w:t>紫外光氧+活性炭吸附</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continue"/>
                  <w:tcBorders>
                    <w:left w:val="single" w:color="auto" w:sz="4" w:space="0"/>
                    <w:right w:val="single" w:color="auto" w:sz="4" w:space="0"/>
                  </w:tcBorders>
                  <w:shd w:val="pct10" w:color="auto" w:fill="auto"/>
                  <w:vAlign w:val="center"/>
                </w:tcPr>
                <w:p>
                  <w:pPr>
                    <w:pStyle w:val="34"/>
                    <w:rPr>
                      <w:b/>
                      <w:szCs w:val="21"/>
                    </w:rPr>
                  </w:pP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处理能力</w:t>
                  </w:r>
                  <w:r>
                    <w:rPr>
                      <w:rFonts w:hint="eastAsia"/>
                      <w:b/>
                      <w:szCs w:val="21"/>
                    </w:rPr>
                    <w:t>m</w:t>
                  </w:r>
                  <w:r>
                    <w:rPr>
                      <w:rFonts w:hint="eastAsia"/>
                      <w:b/>
                      <w:szCs w:val="21"/>
                      <w:vertAlign w:val="superscript"/>
                    </w:rPr>
                    <w:t>3</w:t>
                  </w:r>
                  <w:r>
                    <w:rPr>
                      <w:rFonts w:hint="eastAsia"/>
                      <w:b/>
                      <w:szCs w:val="21"/>
                    </w:rPr>
                    <w:t>/h</w:t>
                  </w:r>
                </w:p>
              </w:tc>
              <w:tc>
                <w:tcPr>
                  <w:tcW w:w="1787" w:type="dxa"/>
                  <w:tcBorders>
                    <w:left w:val="single" w:color="auto" w:sz="4" w:space="0"/>
                    <w:right w:val="single" w:color="auto" w:sz="4" w:space="0"/>
                  </w:tcBorders>
                  <w:shd w:val="clear" w:color="auto" w:fill="auto"/>
                  <w:vAlign w:val="center"/>
                </w:tcPr>
                <w:p>
                  <w:pPr>
                    <w:pStyle w:val="34"/>
                    <w:rPr>
                      <w:szCs w:val="21"/>
                    </w:rPr>
                  </w:pPr>
                  <w:r>
                    <w:rPr>
                      <w:szCs w:val="21"/>
                    </w:rPr>
                    <w:t>10000</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szCs w:val="21"/>
                    </w:rPr>
                    <w:t>10000</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szCs w:val="21"/>
                    </w:rPr>
                    <w:t>10000</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continue"/>
                  <w:tcBorders>
                    <w:left w:val="single" w:color="auto" w:sz="4" w:space="0"/>
                    <w:right w:val="single" w:color="auto" w:sz="4" w:space="0"/>
                  </w:tcBorders>
                  <w:shd w:val="pct10" w:color="auto" w:fill="auto"/>
                  <w:vAlign w:val="center"/>
                </w:tcPr>
                <w:p>
                  <w:pPr>
                    <w:pStyle w:val="34"/>
                    <w:rPr>
                      <w:b/>
                      <w:szCs w:val="21"/>
                    </w:rPr>
                  </w:pP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收集效率</w:t>
                  </w:r>
                  <w:r>
                    <w:rPr>
                      <w:rFonts w:hint="eastAsia"/>
                      <w:b/>
                      <w:szCs w:val="21"/>
                    </w:rPr>
                    <w:t>%</w:t>
                  </w:r>
                </w:p>
              </w:tc>
              <w:tc>
                <w:tcPr>
                  <w:tcW w:w="1787" w:type="dxa"/>
                  <w:tcBorders>
                    <w:left w:val="single" w:color="auto" w:sz="4" w:space="0"/>
                    <w:right w:val="single" w:color="auto" w:sz="4" w:space="0"/>
                  </w:tcBorders>
                  <w:shd w:val="clear" w:color="auto" w:fill="auto"/>
                  <w:vAlign w:val="center"/>
                </w:tcPr>
                <w:p>
                  <w:pPr>
                    <w:pStyle w:val="34"/>
                    <w:rPr>
                      <w:szCs w:val="21"/>
                    </w:rPr>
                  </w:pPr>
                  <w:r>
                    <w:rPr>
                      <w:rFonts w:hint="eastAsia"/>
                      <w:szCs w:val="21"/>
                    </w:rPr>
                    <w:t>80</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rFonts w:hint="eastAsia"/>
                      <w:szCs w:val="21"/>
                    </w:rPr>
                    <w:t>80</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rFonts w:hint="eastAsia"/>
                      <w:szCs w:val="21"/>
                    </w:rPr>
                    <w:t>80</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continue"/>
                  <w:tcBorders>
                    <w:left w:val="single" w:color="auto" w:sz="4" w:space="0"/>
                    <w:right w:val="single" w:color="auto" w:sz="4" w:space="0"/>
                  </w:tcBorders>
                  <w:shd w:val="pct10" w:color="auto" w:fill="auto"/>
                  <w:vAlign w:val="center"/>
                </w:tcPr>
                <w:p>
                  <w:pPr>
                    <w:pStyle w:val="34"/>
                    <w:rPr>
                      <w:b/>
                      <w:szCs w:val="21"/>
                    </w:rPr>
                  </w:pP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去除效率</w:t>
                  </w:r>
                  <w:r>
                    <w:rPr>
                      <w:rFonts w:hint="eastAsia"/>
                      <w:b/>
                      <w:szCs w:val="21"/>
                    </w:rPr>
                    <w:t>%</w:t>
                  </w:r>
                </w:p>
              </w:tc>
              <w:tc>
                <w:tcPr>
                  <w:tcW w:w="1787" w:type="dxa"/>
                  <w:tcBorders>
                    <w:left w:val="single" w:color="auto" w:sz="4" w:space="0"/>
                    <w:right w:val="single" w:color="auto" w:sz="4" w:space="0"/>
                  </w:tcBorders>
                  <w:shd w:val="clear" w:color="auto" w:fill="auto"/>
                  <w:vAlign w:val="center"/>
                </w:tcPr>
                <w:p>
                  <w:pPr>
                    <w:pStyle w:val="34"/>
                    <w:rPr>
                      <w:szCs w:val="21"/>
                    </w:rPr>
                  </w:pPr>
                  <w:r>
                    <w:rPr>
                      <w:rFonts w:hint="eastAsia"/>
                      <w:szCs w:val="21"/>
                    </w:rPr>
                    <w:t>9</w:t>
                  </w:r>
                  <w:r>
                    <w:rPr>
                      <w:szCs w:val="21"/>
                    </w:rPr>
                    <w:t>5</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szCs w:val="21"/>
                    </w:rPr>
                    <w:t>99</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rFonts w:hint="eastAsia"/>
                      <w:szCs w:val="21"/>
                    </w:rPr>
                    <w:t>75</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continue"/>
                  <w:tcBorders>
                    <w:left w:val="single" w:color="auto" w:sz="4" w:space="0"/>
                    <w:right w:val="single" w:color="auto" w:sz="4" w:space="0"/>
                  </w:tcBorders>
                  <w:shd w:val="pct10" w:color="auto" w:fill="auto"/>
                  <w:vAlign w:val="center"/>
                </w:tcPr>
                <w:p>
                  <w:pPr>
                    <w:pStyle w:val="34"/>
                    <w:rPr>
                      <w:b/>
                      <w:szCs w:val="21"/>
                    </w:rPr>
                  </w:pP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是否可行</w:t>
                  </w:r>
                </w:p>
              </w:tc>
              <w:tc>
                <w:tcPr>
                  <w:tcW w:w="1787" w:type="dxa"/>
                  <w:tcBorders>
                    <w:left w:val="single" w:color="auto" w:sz="4" w:space="0"/>
                    <w:right w:val="single" w:color="auto" w:sz="4" w:space="0"/>
                  </w:tcBorders>
                  <w:shd w:val="clear" w:color="auto" w:fill="auto"/>
                  <w:vAlign w:val="center"/>
                </w:tcPr>
                <w:p>
                  <w:pPr>
                    <w:pStyle w:val="34"/>
                    <w:rPr>
                      <w:szCs w:val="21"/>
                    </w:rPr>
                  </w:pPr>
                  <w:r>
                    <w:rPr>
                      <w:szCs w:val="21"/>
                    </w:rPr>
                    <w:t>是</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szCs w:val="21"/>
                    </w:rPr>
                    <w:t>是</w:t>
                  </w:r>
                  <w:r>
                    <w:rPr>
                      <w:rFonts w:hint="eastAsia"/>
                      <w:szCs w:val="21"/>
                    </w:rPr>
                    <w:t xml:space="preserve"> </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szCs w:val="21"/>
                    </w:rPr>
                    <w:t>是</w:t>
                  </w:r>
                  <w:r>
                    <w:rPr>
                      <w:rFonts w:hint="eastAsia"/>
                      <w:szCs w:val="21"/>
                    </w:rPr>
                    <w:t xml:space="preserve"> </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89" w:type="dxa"/>
                  <w:gridSpan w:val="2"/>
                  <w:tcBorders>
                    <w:left w:val="single" w:color="auto" w:sz="4" w:space="0"/>
                    <w:right w:val="single" w:color="auto" w:sz="4" w:space="0"/>
                  </w:tcBorders>
                  <w:shd w:val="pct10" w:color="auto" w:fill="auto"/>
                  <w:vAlign w:val="center"/>
                </w:tcPr>
                <w:p>
                  <w:pPr>
                    <w:pStyle w:val="34"/>
                    <w:rPr>
                      <w:b/>
                      <w:szCs w:val="21"/>
                    </w:rPr>
                  </w:pPr>
                  <w:r>
                    <w:rPr>
                      <w:b/>
                      <w:szCs w:val="21"/>
                    </w:rPr>
                    <w:t>污染物排放浓度mg</w:t>
                  </w:r>
                  <w:r>
                    <w:rPr>
                      <w:rFonts w:hint="eastAsia"/>
                      <w:b/>
                      <w:szCs w:val="21"/>
                    </w:rPr>
                    <w:t>/m</w:t>
                  </w:r>
                  <w:r>
                    <w:rPr>
                      <w:rFonts w:hint="eastAsia"/>
                      <w:b/>
                      <w:szCs w:val="21"/>
                      <w:vertAlign w:val="superscript"/>
                    </w:rPr>
                    <w:t>3</w:t>
                  </w:r>
                </w:p>
              </w:tc>
              <w:tc>
                <w:tcPr>
                  <w:tcW w:w="1787" w:type="dxa"/>
                  <w:tcBorders>
                    <w:left w:val="single" w:color="auto" w:sz="4" w:space="0"/>
                    <w:right w:val="single" w:color="auto" w:sz="4" w:space="0"/>
                  </w:tcBorders>
                  <w:shd w:val="clear" w:color="auto" w:fill="auto"/>
                  <w:vAlign w:val="center"/>
                </w:tcPr>
                <w:p>
                  <w:pPr>
                    <w:pStyle w:val="34"/>
                    <w:rPr>
                      <w:szCs w:val="21"/>
                    </w:rPr>
                  </w:pPr>
                  <w:r>
                    <w:rPr>
                      <w:rFonts w:hint="eastAsia"/>
                      <w:szCs w:val="21"/>
                    </w:rPr>
                    <w:t>1</w:t>
                  </w:r>
                  <w:r>
                    <w:rPr>
                      <w:szCs w:val="21"/>
                    </w:rPr>
                    <w:t>.45</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szCs w:val="21"/>
                    </w:rPr>
                    <w:t>0.</w:t>
                  </w:r>
                  <w:r>
                    <w:rPr>
                      <w:rFonts w:hint="eastAsia"/>
                      <w:szCs w:val="21"/>
                    </w:rPr>
                    <w:t>13</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rFonts w:hint="eastAsia"/>
                      <w:szCs w:val="21"/>
                    </w:rPr>
                    <w:t>0</w:t>
                  </w:r>
                  <w:r>
                    <w:rPr>
                      <w:szCs w:val="21"/>
                    </w:rPr>
                    <w:t>.20</w:t>
                  </w:r>
                </w:p>
              </w:tc>
              <w:tc>
                <w:tcPr>
                  <w:tcW w:w="2184" w:type="dxa"/>
                  <w:tcBorders>
                    <w:left w:val="single" w:color="auto" w:sz="4" w:space="0"/>
                    <w:right w:val="single" w:color="auto" w:sz="4" w:space="0"/>
                  </w:tcBorders>
                  <w:vAlign w:val="center"/>
                </w:tcPr>
                <w:p>
                  <w:pPr>
                    <w:pStyle w:val="34"/>
                    <w:rPr>
                      <w:szCs w:val="21"/>
                    </w:rPr>
                  </w:pPr>
                  <w:r>
                    <w:rPr>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89" w:type="dxa"/>
                  <w:gridSpan w:val="2"/>
                  <w:tcBorders>
                    <w:left w:val="single" w:color="auto" w:sz="4" w:space="0"/>
                    <w:right w:val="single" w:color="auto" w:sz="4" w:space="0"/>
                  </w:tcBorders>
                  <w:shd w:val="pct10" w:color="auto" w:fill="auto"/>
                  <w:vAlign w:val="center"/>
                </w:tcPr>
                <w:p>
                  <w:pPr>
                    <w:pStyle w:val="34"/>
                    <w:rPr>
                      <w:b/>
                      <w:szCs w:val="21"/>
                    </w:rPr>
                  </w:pPr>
                  <w:r>
                    <w:rPr>
                      <w:b/>
                      <w:szCs w:val="21"/>
                    </w:rPr>
                    <w:t>污染物排放量kg</w:t>
                  </w:r>
                  <w:r>
                    <w:rPr>
                      <w:rFonts w:hint="eastAsia"/>
                      <w:b/>
                      <w:szCs w:val="21"/>
                    </w:rPr>
                    <w:t>/h</w:t>
                  </w:r>
                </w:p>
              </w:tc>
              <w:tc>
                <w:tcPr>
                  <w:tcW w:w="1787" w:type="dxa"/>
                  <w:tcBorders>
                    <w:left w:val="single" w:color="auto" w:sz="4" w:space="0"/>
                    <w:right w:val="single" w:color="auto" w:sz="4" w:space="0"/>
                  </w:tcBorders>
                  <w:shd w:val="clear" w:color="auto" w:fill="auto"/>
                  <w:vAlign w:val="center"/>
                </w:tcPr>
                <w:p>
                  <w:pPr>
                    <w:pStyle w:val="34"/>
                    <w:rPr>
                      <w:szCs w:val="21"/>
                    </w:rPr>
                  </w:pPr>
                  <w:r>
                    <w:rPr>
                      <w:rFonts w:hint="eastAsia"/>
                      <w:szCs w:val="21"/>
                    </w:rPr>
                    <w:t>0</w:t>
                  </w:r>
                  <w:r>
                    <w:rPr>
                      <w:szCs w:val="21"/>
                    </w:rPr>
                    <w:t>.01</w:t>
                  </w:r>
                </w:p>
              </w:tc>
              <w:tc>
                <w:tcPr>
                  <w:tcW w:w="1129" w:type="dxa"/>
                  <w:tcBorders>
                    <w:left w:val="single" w:color="auto" w:sz="4" w:space="0"/>
                    <w:right w:val="single" w:color="auto" w:sz="4" w:space="0"/>
                  </w:tcBorders>
                  <w:vAlign w:val="center"/>
                </w:tcPr>
                <w:p>
                  <w:pPr>
                    <w:pStyle w:val="34"/>
                    <w:rPr>
                      <w:szCs w:val="21"/>
                    </w:rPr>
                  </w:pPr>
                  <w:r>
                    <w:rPr>
                      <w:rFonts w:hint="eastAsia"/>
                      <w:szCs w:val="21"/>
                    </w:rPr>
                    <w:t>0</w:t>
                  </w:r>
                  <w:r>
                    <w:rPr>
                      <w:szCs w:val="21"/>
                    </w:rPr>
                    <w:t>.0</w:t>
                  </w:r>
                  <w:r>
                    <w:rPr>
                      <w:rFonts w:hint="eastAsia"/>
                      <w:szCs w:val="21"/>
                    </w:rPr>
                    <w:t>3</w:t>
                  </w:r>
                </w:p>
              </w:tc>
              <w:tc>
                <w:tcPr>
                  <w:tcW w:w="2280" w:type="dxa"/>
                  <w:tcBorders>
                    <w:left w:val="single" w:color="auto" w:sz="4" w:space="0"/>
                    <w:right w:val="single" w:color="auto" w:sz="4" w:space="0"/>
                  </w:tcBorders>
                  <w:vAlign w:val="center"/>
                </w:tcPr>
                <w:p>
                  <w:pPr>
                    <w:pStyle w:val="34"/>
                    <w:rPr>
                      <w:szCs w:val="21"/>
                    </w:rPr>
                  </w:pPr>
                  <w:r>
                    <w:rPr>
                      <w:rFonts w:hint="eastAsia"/>
                      <w:szCs w:val="21"/>
                    </w:rPr>
                    <w:t>0.</w:t>
                  </w:r>
                  <w:r>
                    <w:rPr>
                      <w:szCs w:val="21"/>
                    </w:rPr>
                    <w:t>0</w:t>
                  </w:r>
                  <w:r>
                    <w:rPr>
                      <w:rFonts w:hint="eastAsia"/>
                      <w:szCs w:val="21"/>
                    </w:rPr>
                    <w:t>0</w:t>
                  </w:r>
                  <w:r>
                    <w:rPr>
                      <w:szCs w:val="21"/>
                    </w:rPr>
                    <w:t>1</w:t>
                  </w:r>
                </w:p>
              </w:tc>
              <w:tc>
                <w:tcPr>
                  <w:tcW w:w="1116" w:type="dxa"/>
                  <w:tcBorders>
                    <w:left w:val="single" w:color="auto" w:sz="4" w:space="0"/>
                    <w:right w:val="single" w:color="auto" w:sz="4" w:space="0"/>
                  </w:tcBorders>
                  <w:vAlign w:val="center"/>
                </w:tcPr>
                <w:p>
                  <w:pPr>
                    <w:pStyle w:val="34"/>
                    <w:rPr>
                      <w:szCs w:val="21"/>
                    </w:rPr>
                  </w:pPr>
                  <w:r>
                    <w:rPr>
                      <w:rFonts w:hint="eastAsia"/>
                      <w:szCs w:val="21"/>
                    </w:rPr>
                    <w:t>0.01</w:t>
                  </w:r>
                </w:p>
              </w:tc>
              <w:tc>
                <w:tcPr>
                  <w:tcW w:w="2232" w:type="dxa"/>
                  <w:tcBorders>
                    <w:left w:val="single" w:color="auto" w:sz="4" w:space="0"/>
                    <w:right w:val="single" w:color="auto" w:sz="4" w:space="0"/>
                  </w:tcBorders>
                  <w:vAlign w:val="center"/>
                </w:tcPr>
                <w:p>
                  <w:pPr>
                    <w:pStyle w:val="34"/>
                    <w:rPr>
                      <w:szCs w:val="21"/>
                    </w:rPr>
                  </w:pPr>
                  <w:r>
                    <w:rPr>
                      <w:rFonts w:hint="eastAsia"/>
                      <w:szCs w:val="21"/>
                    </w:rPr>
                    <w:t>0.00</w:t>
                  </w:r>
                  <w:r>
                    <w:rPr>
                      <w:szCs w:val="21"/>
                    </w:rPr>
                    <w:t>2</w:t>
                  </w:r>
                </w:p>
              </w:tc>
              <w:tc>
                <w:tcPr>
                  <w:tcW w:w="2184" w:type="dxa"/>
                  <w:tcBorders>
                    <w:left w:val="single" w:color="auto" w:sz="4" w:space="0"/>
                    <w:right w:val="single" w:color="auto" w:sz="4" w:space="0"/>
                  </w:tcBorders>
                  <w:vAlign w:val="center"/>
                </w:tcPr>
                <w:p>
                  <w:pPr>
                    <w:pStyle w:val="34"/>
                    <w:rPr>
                      <w:szCs w:val="21"/>
                    </w:rPr>
                  </w:pPr>
                  <w:r>
                    <w:rPr>
                      <w:rFonts w:hint="eastAsia"/>
                      <w:szCs w:val="21"/>
                    </w:rPr>
                    <w:t>0.</w:t>
                  </w:r>
                  <w:r>
                    <w:rPr>
                      <w:szCs w:val="21"/>
                    </w:rPr>
                    <w:t>0</w:t>
                  </w:r>
                  <w:r>
                    <w:rPr>
                      <w:rFonts w:hint="eastAsia"/>
                      <w:szCs w:val="21"/>
                    </w:rPr>
                    <w:t>0</w:t>
                  </w: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restart"/>
                  <w:tcBorders>
                    <w:left w:val="single" w:color="auto" w:sz="4" w:space="0"/>
                    <w:right w:val="single" w:color="auto" w:sz="4" w:space="0"/>
                  </w:tcBorders>
                  <w:shd w:val="pct10" w:color="auto" w:fill="auto"/>
                  <w:vAlign w:val="center"/>
                </w:tcPr>
                <w:p>
                  <w:pPr>
                    <w:pStyle w:val="34"/>
                    <w:rPr>
                      <w:b/>
                      <w:szCs w:val="21"/>
                    </w:rPr>
                  </w:pPr>
                  <w:r>
                    <w:rPr>
                      <w:b/>
                      <w:szCs w:val="21"/>
                    </w:rPr>
                    <w:t>排放口基本信息</w:t>
                  </w: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编码</w:t>
                  </w:r>
                </w:p>
              </w:tc>
              <w:tc>
                <w:tcPr>
                  <w:tcW w:w="1787" w:type="dxa"/>
                  <w:tcBorders>
                    <w:left w:val="single" w:color="auto" w:sz="4" w:space="0"/>
                    <w:right w:val="single" w:color="auto" w:sz="4" w:space="0"/>
                  </w:tcBorders>
                  <w:shd w:val="clear" w:color="auto" w:fill="auto"/>
                  <w:vAlign w:val="center"/>
                </w:tcPr>
                <w:p>
                  <w:pPr>
                    <w:pStyle w:val="34"/>
                    <w:rPr>
                      <w:szCs w:val="21"/>
                    </w:rPr>
                  </w:pPr>
                  <w:r>
                    <w:rPr>
                      <w:rFonts w:hint="eastAsia"/>
                      <w:szCs w:val="21"/>
                    </w:rPr>
                    <w:t>DA001</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rFonts w:hint="eastAsia"/>
                      <w:szCs w:val="21"/>
                    </w:rPr>
                    <w:t>DA00</w:t>
                  </w:r>
                  <w:r>
                    <w:rPr>
                      <w:szCs w:val="21"/>
                    </w:rPr>
                    <w:t>2</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4416" w:type="dxa"/>
                  <w:gridSpan w:val="2"/>
                  <w:tcBorders>
                    <w:left w:val="single" w:color="auto" w:sz="4" w:space="0"/>
                    <w:right w:val="single" w:color="auto" w:sz="4" w:space="0"/>
                  </w:tcBorders>
                  <w:vAlign w:val="center"/>
                </w:tcPr>
                <w:p>
                  <w:pPr>
                    <w:pStyle w:val="34"/>
                    <w:rPr>
                      <w:szCs w:val="21"/>
                    </w:rPr>
                  </w:pPr>
                  <w:r>
                    <w:rPr>
                      <w:rFonts w:hint="eastAsia"/>
                      <w:szCs w:val="21"/>
                    </w:rPr>
                    <w:t>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continue"/>
                  <w:tcBorders>
                    <w:left w:val="single" w:color="auto" w:sz="4" w:space="0"/>
                    <w:right w:val="single" w:color="auto" w:sz="4" w:space="0"/>
                  </w:tcBorders>
                  <w:shd w:val="pct10" w:color="auto" w:fill="auto"/>
                  <w:vAlign w:val="center"/>
                </w:tcPr>
                <w:p>
                  <w:pPr>
                    <w:pStyle w:val="34"/>
                    <w:rPr>
                      <w:b/>
                      <w:szCs w:val="21"/>
                    </w:rPr>
                  </w:pP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名称</w:t>
                  </w:r>
                </w:p>
              </w:tc>
              <w:tc>
                <w:tcPr>
                  <w:tcW w:w="1787" w:type="dxa"/>
                  <w:tcBorders>
                    <w:left w:val="single" w:color="auto" w:sz="4" w:space="0"/>
                    <w:right w:val="single" w:color="auto" w:sz="4" w:space="0"/>
                  </w:tcBorders>
                  <w:shd w:val="clear" w:color="auto" w:fill="auto"/>
                  <w:vAlign w:val="center"/>
                </w:tcPr>
                <w:p>
                  <w:pPr>
                    <w:pStyle w:val="34"/>
                    <w:rPr>
                      <w:szCs w:val="21"/>
                    </w:rPr>
                  </w:pPr>
                  <w:r>
                    <w:rPr>
                      <w:rFonts w:hint="eastAsia"/>
                      <w:szCs w:val="21"/>
                    </w:rPr>
                    <w:t>1#废弃电器拆解排气筒</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rFonts w:hint="eastAsia"/>
                      <w:szCs w:val="21"/>
                    </w:rPr>
                    <w:t>2#电器拆解后加工排气筒</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rFonts w:hint="eastAsia"/>
                      <w:szCs w:val="21"/>
                    </w:rPr>
                    <w:t>2#电器拆解后加工排气筒</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continue"/>
                  <w:tcBorders>
                    <w:left w:val="single" w:color="auto" w:sz="4" w:space="0"/>
                    <w:right w:val="single" w:color="auto" w:sz="4" w:space="0"/>
                  </w:tcBorders>
                  <w:shd w:val="pct10" w:color="auto" w:fill="auto"/>
                  <w:vAlign w:val="center"/>
                </w:tcPr>
                <w:p>
                  <w:pPr>
                    <w:pStyle w:val="34"/>
                    <w:rPr>
                      <w:b/>
                      <w:szCs w:val="21"/>
                    </w:rPr>
                  </w:pP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类型</w:t>
                  </w:r>
                </w:p>
              </w:tc>
              <w:tc>
                <w:tcPr>
                  <w:tcW w:w="1787" w:type="dxa"/>
                  <w:tcBorders>
                    <w:left w:val="single" w:color="auto" w:sz="4" w:space="0"/>
                    <w:right w:val="single" w:color="auto" w:sz="4" w:space="0"/>
                  </w:tcBorders>
                  <w:shd w:val="clear" w:color="auto" w:fill="auto"/>
                  <w:vAlign w:val="center"/>
                </w:tcPr>
                <w:p>
                  <w:pPr>
                    <w:pStyle w:val="34"/>
                    <w:rPr>
                      <w:szCs w:val="21"/>
                    </w:rPr>
                  </w:pPr>
                  <w:r>
                    <w:rPr>
                      <w:szCs w:val="21"/>
                    </w:rPr>
                    <w:t>一般排放口</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szCs w:val="21"/>
                    </w:rPr>
                    <w:t>一般排放口</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szCs w:val="21"/>
                    </w:rPr>
                    <w:t>一般排放口</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continue"/>
                  <w:tcBorders>
                    <w:left w:val="single" w:color="auto" w:sz="4" w:space="0"/>
                    <w:right w:val="single" w:color="auto" w:sz="4" w:space="0"/>
                  </w:tcBorders>
                  <w:shd w:val="pct10" w:color="auto" w:fill="auto"/>
                  <w:vAlign w:val="center"/>
                </w:tcPr>
                <w:p>
                  <w:pPr>
                    <w:pStyle w:val="34"/>
                    <w:rPr>
                      <w:b/>
                      <w:szCs w:val="21"/>
                    </w:rPr>
                  </w:pP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地理坐标</w:t>
                  </w:r>
                </w:p>
              </w:tc>
              <w:tc>
                <w:tcPr>
                  <w:tcW w:w="1787" w:type="dxa"/>
                  <w:tcBorders>
                    <w:left w:val="single" w:color="auto" w:sz="4" w:space="0"/>
                    <w:right w:val="single" w:color="auto" w:sz="4" w:space="0"/>
                  </w:tcBorders>
                  <w:shd w:val="clear" w:color="auto" w:fill="auto"/>
                  <w:vAlign w:val="center"/>
                </w:tcPr>
                <w:p>
                  <w:pPr>
                    <w:pStyle w:val="34"/>
                    <w:rPr>
                      <w:szCs w:val="21"/>
                    </w:rPr>
                  </w:pPr>
                  <w:r>
                    <w:rPr>
                      <w:szCs w:val="21"/>
                    </w:rPr>
                    <w:t>108.2094097, 33.09475243</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szCs w:val="21"/>
                    </w:rPr>
                    <w:t>108.2091844, 33.0944144</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szCs w:val="21"/>
                    </w:rPr>
                    <w:t>108.2091844, 33.0944144</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continue"/>
                  <w:tcBorders>
                    <w:left w:val="single" w:color="auto" w:sz="4" w:space="0"/>
                    <w:right w:val="single" w:color="auto" w:sz="4" w:space="0"/>
                  </w:tcBorders>
                  <w:shd w:val="pct10" w:color="auto" w:fill="auto"/>
                  <w:vAlign w:val="center"/>
                </w:tcPr>
                <w:p>
                  <w:pPr>
                    <w:pStyle w:val="34"/>
                    <w:rPr>
                      <w:b/>
                      <w:szCs w:val="21"/>
                    </w:rPr>
                  </w:pP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高度m</w:t>
                  </w:r>
                </w:p>
              </w:tc>
              <w:tc>
                <w:tcPr>
                  <w:tcW w:w="1787" w:type="dxa"/>
                  <w:tcBorders>
                    <w:left w:val="single" w:color="auto" w:sz="4" w:space="0"/>
                    <w:right w:val="single" w:color="auto" w:sz="4" w:space="0"/>
                  </w:tcBorders>
                  <w:shd w:val="clear" w:color="auto" w:fill="auto"/>
                  <w:vAlign w:val="center"/>
                </w:tcPr>
                <w:p>
                  <w:pPr>
                    <w:pStyle w:val="34"/>
                    <w:rPr>
                      <w:szCs w:val="21"/>
                    </w:rPr>
                  </w:pPr>
                  <w:r>
                    <w:rPr>
                      <w:rFonts w:hint="eastAsia"/>
                      <w:szCs w:val="21"/>
                    </w:rPr>
                    <w:t>15</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rFonts w:hint="eastAsia"/>
                      <w:szCs w:val="21"/>
                    </w:rPr>
                    <w:t>15</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rFonts w:hint="eastAsia"/>
                      <w:szCs w:val="21"/>
                    </w:rPr>
                    <w:t>15</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continue"/>
                  <w:tcBorders>
                    <w:left w:val="single" w:color="auto" w:sz="4" w:space="0"/>
                    <w:right w:val="single" w:color="auto" w:sz="4" w:space="0"/>
                  </w:tcBorders>
                  <w:shd w:val="pct10" w:color="auto" w:fill="auto"/>
                  <w:vAlign w:val="center"/>
                </w:tcPr>
                <w:p>
                  <w:pPr>
                    <w:pStyle w:val="34"/>
                    <w:rPr>
                      <w:b/>
                      <w:szCs w:val="21"/>
                    </w:rPr>
                  </w:pP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排气筒内径m</w:t>
                  </w:r>
                </w:p>
              </w:tc>
              <w:tc>
                <w:tcPr>
                  <w:tcW w:w="1787" w:type="dxa"/>
                  <w:tcBorders>
                    <w:left w:val="single" w:color="auto" w:sz="4" w:space="0"/>
                    <w:right w:val="single" w:color="auto" w:sz="4" w:space="0"/>
                  </w:tcBorders>
                  <w:shd w:val="clear" w:color="auto" w:fill="auto"/>
                  <w:vAlign w:val="center"/>
                </w:tcPr>
                <w:p>
                  <w:pPr>
                    <w:pStyle w:val="34"/>
                    <w:rPr>
                      <w:szCs w:val="21"/>
                    </w:rPr>
                  </w:pPr>
                  <w:r>
                    <w:rPr>
                      <w:rFonts w:hint="eastAsia"/>
                      <w:szCs w:val="21"/>
                    </w:rPr>
                    <w:t>0.6</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rFonts w:hint="eastAsia"/>
                      <w:szCs w:val="21"/>
                    </w:rPr>
                    <w:t>0.6</w:t>
                  </w:r>
                </w:p>
              </w:tc>
              <w:tc>
                <w:tcPr>
                  <w:tcW w:w="1116" w:type="dxa"/>
                  <w:tcBorders>
                    <w:left w:val="single" w:color="auto" w:sz="4" w:space="0"/>
                    <w:right w:val="single" w:color="auto" w:sz="4" w:space="0"/>
                  </w:tcBorders>
                  <w:vAlign w:val="center"/>
                </w:tcPr>
                <w:p>
                  <w:pPr>
                    <w:pStyle w:val="34"/>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rFonts w:hint="eastAsia"/>
                      <w:szCs w:val="21"/>
                    </w:rPr>
                    <w:t>0.6</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 w:type="dxa"/>
                  <w:vMerge w:val="continue"/>
                  <w:tcBorders>
                    <w:left w:val="single" w:color="auto" w:sz="4" w:space="0"/>
                    <w:right w:val="single" w:color="auto" w:sz="4" w:space="0"/>
                  </w:tcBorders>
                  <w:shd w:val="pct10" w:color="auto" w:fill="auto"/>
                  <w:vAlign w:val="center"/>
                </w:tcPr>
                <w:p>
                  <w:pPr>
                    <w:pStyle w:val="34"/>
                    <w:rPr>
                      <w:b/>
                      <w:szCs w:val="21"/>
                    </w:rPr>
                  </w:pPr>
                </w:p>
              </w:tc>
              <w:tc>
                <w:tcPr>
                  <w:tcW w:w="1976" w:type="dxa"/>
                  <w:tcBorders>
                    <w:left w:val="single" w:color="auto" w:sz="4" w:space="0"/>
                    <w:right w:val="single" w:color="auto" w:sz="4" w:space="0"/>
                  </w:tcBorders>
                  <w:shd w:val="pct10" w:color="auto" w:fill="auto"/>
                  <w:vAlign w:val="center"/>
                </w:tcPr>
                <w:p>
                  <w:pPr>
                    <w:pStyle w:val="34"/>
                    <w:rPr>
                      <w:b/>
                      <w:szCs w:val="21"/>
                    </w:rPr>
                  </w:pPr>
                  <w:r>
                    <w:rPr>
                      <w:b/>
                      <w:szCs w:val="21"/>
                    </w:rPr>
                    <w:t>温度℃</w:t>
                  </w:r>
                </w:p>
              </w:tc>
              <w:tc>
                <w:tcPr>
                  <w:tcW w:w="1787" w:type="dxa"/>
                  <w:tcBorders>
                    <w:left w:val="single" w:color="auto" w:sz="4" w:space="0"/>
                    <w:right w:val="single" w:color="auto" w:sz="4" w:space="0"/>
                  </w:tcBorders>
                  <w:shd w:val="clear" w:color="auto" w:fill="auto"/>
                  <w:vAlign w:val="center"/>
                </w:tcPr>
                <w:p>
                  <w:pPr>
                    <w:pStyle w:val="34"/>
                    <w:rPr>
                      <w:szCs w:val="21"/>
                    </w:rPr>
                  </w:pPr>
                  <w:r>
                    <w:rPr>
                      <w:rFonts w:hint="eastAsia"/>
                      <w:szCs w:val="21"/>
                    </w:rPr>
                    <w:t>20</w:t>
                  </w:r>
                </w:p>
              </w:tc>
              <w:tc>
                <w:tcPr>
                  <w:tcW w:w="1129" w:type="dxa"/>
                  <w:tcBorders>
                    <w:left w:val="single" w:color="auto" w:sz="4" w:space="0"/>
                    <w:right w:val="single" w:color="auto" w:sz="4" w:space="0"/>
                  </w:tcBorders>
                  <w:vAlign w:val="center"/>
                </w:tcPr>
                <w:p>
                  <w:pPr>
                    <w:pStyle w:val="34"/>
                    <w:rPr>
                      <w:szCs w:val="21"/>
                    </w:rPr>
                  </w:pPr>
                  <w:r>
                    <w:rPr>
                      <w:rFonts w:hint="eastAsia"/>
                      <w:szCs w:val="21"/>
                    </w:rPr>
                    <w:t>/</w:t>
                  </w:r>
                </w:p>
              </w:tc>
              <w:tc>
                <w:tcPr>
                  <w:tcW w:w="2280" w:type="dxa"/>
                  <w:tcBorders>
                    <w:left w:val="single" w:color="auto" w:sz="4" w:space="0"/>
                    <w:right w:val="single" w:color="auto" w:sz="4" w:space="0"/>
                  </w:tcBorders>
                  <w:vAlign w:val="center"/>
                </w:tcPr>
                <w:p>
                  <w:pPr>
                    <w:pStyle w:val="34"/>
                    <w:rPr>
                      <w:szCs w:val="21"/>
                    </w:rPr>
                  </w:pPr>
                  <w:r>
                    <w:rPr>
                      <w:rFonts w:hint="eastAsia"/>
                      <w:szCs w:val="21"/>
                    </w:rPr>
                    <w:t>20</w:t>
                  </w:r>
                </w:p>
              </w:tc>
              <w:tc>
                <w:tcPr>
                  <w:tcW w:w="1116" w:type="dxa"/>
                  <w:tcBorders>
                    <w:left w:val="single" w:color="auto" w:sz="4" w:space="0"/>
                    <w:right w:val="single" w:color="auto" w:sz="4" w:space="0"/>
                  </w:tcBorders>
                  <w:vAlign w:val="center"/>
                </w:tcPr>
                <w:p>
                  <w:pPr>
                    <w:pStyle w:val="34"/>
                    <w:rPr>
                      <w:szCs w:val="21"/>
                    </w:rPr>
                  </w:pPr>
                  <w:r>
                    <w:rPr>
                      <w:rFonts w:hint="eastAsia"/>
                      <w:szCs w:val="21"/>
                    </w:rPr>
                    <w:t>/</w:t>
                  </w:r>
                </w:p>
              </w:tc>
              <w:tc>
                <w:tcPr>
                  <w:tcW w:w="2232" w:type="dxa"/>
                  <w:tcBorders>
                    <w:left w:val="single" w:color="auto" w:sz="4" w:space="0"/>
                    <w:right w:val="single" w:color="auto" w:sz="4" w:space="0"/>
                  </w:tcBorders>
                  <w:vAlign w:val="center"/>
                </w:tcPr>
                <w:p>
                  <w:pPr>
                    <w:pStyle w:val="34"/>
                    <w:rPr>
                      <w:szCs w:val="21"/>
                    </w:rPr>
                  </w:pPr>
                  <w:r>
                    <w:rPr>
                      <w:rFonts w:hint="eastAsia"/>
                      <w:szCs w:val="21"/>
                    </w:rPr>
                    <w:t>20</w:t>
                  </w:r>
                </w:p>
              </w:tc>
              <w:tc>
                <w:tcPr>
                  <w:tcW w:w="2184"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89" w:type="dxa"/>
                  <w:gridSpan w:val="2"/>
                  <w:tcBorders>
                    <w:left w:val="single" w:color="auto" w:sz="4" w:space="0"/>
                    <w:right w:val="single" w:color="auto" w:sz="4" w:space="0"/>
                  </w:tcBorders>
                  <w:shd w:val="pct10" w:color="auto" w:fill="auto"/>
                  <w:vAlign w:val="center"/>
                </w:tcPr>
                <w:p>
                  <w:pPr>
                    <w:pStyle w:val="34"/>
                    <w:rPr>
                      <w:b/>
                      <w:szCs w:val="21"/>
                    </w:rPr>
                  </w:pPr>
                  <w:r>
                    <w:rPr>
                      <w:b/>
                      <w:szCs w:val="21"/>
                    </w:rPr>
                    <w:t>排放标准</w:t>
                  </w:r>
                </w:p>
              </w:tc>
              <w:tc>
                <w:tcPr>
                  <w:tcW w:w="8544" w:type="dxa"/>
                  <w:gridSpan w:val="5"/>
                  <w:tcBorders>
                    <w:left w:val="single" w:color="auto" w:sz="4" w:space="0"/>
                    <w:right w:val="single" w:color="auto" w:sz="4" w:space="0"/>
                  </w:tcBorders>
                  <w:vAlign w:val="center"/>
                </w:tcPr>
                <w:p>
                  <w:pPr>
                    <w:pStyle w:val="34"/>
                    <w:rPr>
                      <w:szCs w:val="21"/>
                    </w:rPr>
                  </w:pPr>
                  <w:r>
                    <w:rPr>
                      <w:rFonts w:hint="eastAsia"/>
                      <w:szCs w:val="21"/>
                    </w:rPr>
                    <w:t>《大气污染物综合排放标准》（GB16297-1996）</w:t>
                  </w:r>
                </w:p>
              </w:tc>
              <w:tc>
                <w:tcPr>
                  <w:tcW w:w="2184" w:type="dxa"/>
                  <w:tcBorders>
                    <w:left w:val="single" w:color="auto" w:sz="4" w:space="0"/>
                    <w:right w:val="single" w:color="auto" w:sz="4" w:space="0"/>
                  </w:tcBorders>
                  <w:vAlign w:val="center"/>
                </w:tcPr>
                <w:p>
                  <w:pPr>
                    <w:pStyle w:val="34"/>
                    <w:rPr>
                      <w:szCs w:val="21"/>
                    </w:rPr>
                  </w:pPr>
                  <w:r>
                    <w:rPr>
                      <w:rFonts w:hint="eastAsia"/>
                      <w:szCs w:val="21"/>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89" w:type="dxa"/>
                  <w:gridSpan w:val="2"/>
                  <w:tcBorders>
                    <w:left w:val="single" w:color="auto" w:sz="4" w:space="0"/>
                    <w:right w:val="single" w:color="auto" w:sz="4" w:space="0"/>
                  </w:tcBorders>
                  <w:shd w:val="pct10" w:color="auto" w:fill="auto"/>
                  <w:vAlign w:val="center"/>
                </w:tcPr>
                <w:p>
                  <w:pPr>
                    <w:pStyle w:val="34"/>
                    <w:rPr>
                      <w:b/>
                      <w:szCs w:val="21"/>
                    </w:rPr>
                  </w:pPr>
                  <w:r>
                    <w:rPr>
                      <w:b/>
                      <w:szCs w:val="21"/>
                    </w:rPr>
                    <w:t>是否达标</w:t>
                  </w:r>
                </w:p>
              </w:tc>
              <w:tc>
                <w:tcPr>
                  <w:tcW w:w="1787" w:type="dxa"/>
                  <w:tcBorders>
                    <w:left w:val="single" w:color="auto" w:sz="4" w:space="0"/>
                    <w:bottom w:val="single" w:color="auto" w:sz="4" w:space="0"/>
                    <w:right w:val="single" w:color="auto" w:sz="4" w:space="0"/>
                  </w:tcBorders>
                  <w:shd w:val="clear" w:color="auto" w:fill="auto"/>
                  <w:vAlign w:val="center"/>
                </w:tcPr>
                <w:p>
                  <w:pPr>
                    <w:pStyle w:val="34"/>
                    <w:rPr>
                      <w:szCs w:val="21"/>
                    </w:rPr>
                  </w:pPr>
                  <w:r>
                    <w:rPr>
                      <w:rFonts w:hint="eastAsia"/>
                      <w:szCs w:val="21"/>
                    </w:rPr>
                    <w:t>是</w:t>
                  </w:r>
                </w:p>
              </w:tc>
              <w:tc>
                <w:tcPr>
                  <w:tcW w:w="1129"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c>
                <w:tcPr>
                  <w:tcW w:w="2280"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c>
                <w:tcPr>
                  <w:tcW w:w="1116"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c>
                <w:tcPr>
                  <w:tcW w:w="2232"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c>
                <w:tcPr>
                  <w:tcW w:w="2184"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r>
          </w:tbl>
          <w:p>
            <w:pPr>
              <w:pStyle w:val="34"/>
              <w:ind w:firstLine="482"/>
              <w:rPr>
                <w:b/>
                <w:szCs w:val="21"/>
              </w:rPr>
            </w:pPr>
            <w:r>
              <w:rPr>
                <w:b/>
                <w:szCs w:val="21"/>
              </w:rPr>
              <w:t>表4-2  本项目</w:t>
            </w:r>
            <w:r>
              <w:rPr>
                <w:rFonts w:hint="eastAsia"/>
                <w:b/>
                <w:szCs w:val="21"/>
              </w:rPr>
              <w:t>废弃机动车拆解</w:t>
            </w:r>
            <w:r>
              <w:rPr>
                <w:b/>
                <w:szCs w:val="21"/>
              </w:rPr>
              <w:t>废气排放信息一览表</w:t>
            </w:r>
          </w:p>
          <w:tbl>
            <w:tblPr>
              <w:tblStyle w:val="21"/>
              <w:tblW w:w="133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443"/>
              <w:gridCol w:w="2542"/>
              <w:gridCol w:w="2123"/>
              <w:gridCol w:w="2125"/>
              <w:gridCol w:w="2267"/>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60"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产排污环节</w:t>
                  </w:r>
                </w:p>
              </w:tc>
              <w:tc>
                <w:tcPr>
                  <w:tcW w:w="4665" w:type="dxa"/>
                  <w:gridSpan w:val="2"/>
                  <w:tcBorders>
                    <w:top w:val="single" w:color="auto" w:sz="4" w:space="0"/>
                    <w:left w:val="single" w:color="auto" w:sz="4" w:space="0"/>
                    <w:right w:val="single" w:color="auto" w:sz="4" w:space="0"/>
                  </w:tcBorders>
                  <w:shd w:val="clear" w:color="auto" w:fill="auto"/>
                  <w:vAlign w:val="center"/>
                </w:tcPr>
                <w:p>
                  <w:pPr>
                    <w:pStyle w:val="34"/>
                    <w:rPr>
                      <w:szCs w:val="21"/>
                    </w:rPr>
                  </w:pPr>
                  <w:r>
                    <w:rPr>
                      <w:rFonts w:hint="eastAsia"/>
                      <w:szCs w:val="21"/>
                    </w:rPr>
                    <w:t>残留废油液收集</w:t>
                  </w:r>
                </w:p>
              </w:tc>
              <w:tc>
                <w:tcPr>
                  <w:tcW w:w="2125" w:type="dxa"/>
                  <w:tcBorders>
                    <w:top w:val="single" w:color="auto" w:sz="4" w:space="0"/>
                    <w:left w:val="single" w:color="auto" w:sz="4" w:space="0"/>
                    <w:right w:val="single" w:color="auto" w:sz="4" w:space="0"/>
                  </w:tcBorders>
                  <w:shd w:val="clear" w:color="auto" w:fill="auto"/>
                  <w:vAlign w:val="center"/>
                </w:tcPr>
                <w:p>
                  <w:pPr>
                    <w:pStyle w:val="34"/>
                    <w:rPr>
                      <w:szCs w:val="21"/>
                    </w:rPr>
                  </w:pPr>
                  <w:r>
                    <w:rPr>
                      <w:rFonts w:hint="eastAsia"/>
                      <w:szCs w:val="21"/>
                    </w:rPr>
                    <w:t>机动车拆解</w:t>
                  </w:r>
                </w:p>
              </w:tc>
              <w:tc>
                <w:tcPr>
                  <w:tcW w:w="3367" w:type="dxa"/>
                  <w:gridSpan w:val="2"/>
                  <w:tcBorders>
                    <w:top w:val="single" w:color="auto" w:sz="4" w:space="0"/>
                    <w:left w:val="single" w:color="auto" w:sz="4" w:space="0"/>
                    <w:right w:val="single" w:color="auto" w:sz="4" w:space="0"/>
                  </w:tcBorders>
                  <w:shd w:val="clear" w:color="auto" w:fill="auto"/>
                  <w:vAlign w:val="center"/>
                </w:tcPr>
                <w:p>
                  <w:pPr>
                    <w:pStyle w:val="34"/>
                    <w:rPr>
                      <w:szCs w:val="21"/>
                    </w:rPr>
                  </w:pPr>
                  <w:r>
                    <w:rPr>
                      <w:rFonts w:hint="eastAsia"/>
                      <w:szCs w:val="21"/>
                    </w:rPr>
                    <w:t>机动车拆解后机械加工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60"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污染物种类</w:t>
                  </w:r>
                </w:p>
              </w:tc>
              <w:tc>
                <w:tcPr>
                  <w:tcW w:w="4665" w:type="dxa"/>
                  <w:gridSpan w:val="2"/>
                  <w:tcBorders>
                    <w:left w:val="single" w:color="auto" w:sz="4" w:space="0"/>
                    <w:bottom w:val="single" w:color="auto" w:sz="4" w:space="0"/>
                    <w:right w:val="single" w:color="auto" w:sz="4" w:space="0"/>
                  </w:tcBorders>
                  <w:shd w:val="clear" w:color="auto" w:fill="auto"/>
                  <w:vAlign w:val="center"/>
                </w:tcPr>
                <w:p>
                  <w:pPr>
                    <w:pStyle w:val="34"/>
                    <w:rPr>
                      <w:szCs w:val="21"/>
                    </w:rPr>
                  </w:pPr>
                  <w:r>
                    <w:rPr>
                      <w:rFonts w:hint="eastAsia"/>
                      <w:szCs w:val="21"/>
                    </w:rPr>
                    <w:t>废油液挥发</w:t>
                  </w:r>
                </w:p>
              </w:tc>
              <w:tc>
                <w:tcPr>
                  <w:tcW w:w="2125" w:type="dxa"/>
                  <w:tcBorders>
                    <w:left w:val="single" w:color="auto" w:sz="4" w:space="0"/>
                    <w:bottom w:val="single" w:color="auto" w:sz="4" w:space="0"/>
                    <w:right w:val="single" w:color="auto" w:sz="4" w:space="0"/>
                  </w:tcBorders>
                  <w:shd w:val="clear" w:color="auto" w:fill="auto"/>
                  <w:vAlign w:val="center"/>
                </w:tcPr>
                <w:p>
                  <w:pPr>
                    <w:pStyle w:val="34"/>
                    <w:rPr>
                      <w:szCs w:val="21"/>
                    </w:rPr>
                  </w:pPr>
                  <w:r>
                    <w:rPr>
                      <w:rFonts w:hint="eastAsia"/>
                      <w:szCs w:val="21"/>
                    </w:rPr>
                    <w:t>切割颗粒物</w:t>
                  </w:r>
                </w:p>
              </w:tc>
              <w:tc>
                <w:tcPr>
                  <w:tcW w:w="3367" w:type="dxa"/>
                  <w:gridSpan w:val="2"/>
                  <w:tcBorders>
                    <w:left w:val="single" w:color="auto" w:sz="4" w:space="0"/>
                    <w:bottom w:val="single" w:color="auto" w:sz="4" w:space="0"/>
                    <w:right w:val="single" w:color="auto" w:sz="4" w:space="0"/>
                  </w:tcBorders>
                  <w:shd w:val="clear" w:color="auto" w:fill="auto"/>
                  <w:vAlign w:val="center"/>
                </w:tcPr>
                <w:p>
                  <w:pPr>
                    <w:pStyle w:val="34"/>
                    <w:rPr>
                      <w:szCs w:val="21"/>
                    </w:rPr>
                  </w:pPr>
                  <w:r>
                    <w:rPr>
                      <w:rFonts w:hint="eastAsia"/>
                      <w:szCs w:val="21"/>
                    </w:rPr>
                    <w:t>破碎颗粒物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60"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污染物</w:t>
                  </w:r>
                </w:p>
              </w:tc>
              <w:tc>
                <w:tcPr>
                  <w:tcW w:w="46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
                    <w:rPr>
                      <w:szCs w:val="21"/>
                    </w:rPr>
                  </w:pPr>
                  <w:r>
                    <w:rPr>
                      <w:rFonts w:hint="eastAsia"/>
                      <w:szCs w:val="21"/>
                    </w:rPr>
                    <w:t>非甲烷总烃</w:t>
                  </w:r>
                </w:p>
              </w:tc>
              <w:tc>
                <w:tcPr>
                  <w:tcW w:w="2125"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颗粒物</w:t>
                  </w:r>
                </w:p>
              </w:tc>
              <w:tc>
                <w:tcPr>
                  <w:tcW w:w="2267" w:type="dxa"/>
                  <w:tcBorders>
                    <w:top w:val="single" w:color="auto" w:sz="4" w:space="0"/>
                    <w:left w:val="single" w:color="auto" w:sz="4" w:space="0"/>
                    <w:bottom w:val="single" w:color="auto" w:sz="4" w:space="0"/>
                    <w:right w:val="single" w:color="auto" w:sz="4" w:space="0"/>
                  </w:tcBorders>
                  <w:vAlign w:val="center"/>
                </w:tcPr>
                <w:p>
                  <w:pPr>
                    <w:pStyle w:val="34"/>
                    <w:rPr>
                      <w:szCs w:val="21"/>
                    </w:rPr>
                  </w:pPr>
                </w:p>
              </w:tc>
              <w:tc>
                <w:tcPr>
                  <w:tcW w:w="1100" w:type="dxa"/>
                  <w:tcBorders>
                    <w:left w:val="single" w:color="auto" w:sz="4" w:space="0"/>
                    <w:bottom w:val="single" w:color="auto" w:sz="4" w:space="0"/>
                    <w:right w:val="single" w:color="auto" w:sz="4" w:space="0"/>
                  </w:tcBorders>
                  <w:shd w:val="clear" w:color="auto" w:fill="auto"/>
                  <w:vAlign w:val="center"/>
                </w:tcPr>
                <w:p>
                  <w:pPr>
                    <w:pStyle w:val="34"/>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60"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污染物产生浓度mg</w:t>
                  </w:r>
                  <w:r>
                    <w:rPr>
                      <w:rFonts w:hint="eastAsia"/>
                      <w:b/>
                      <w:szCs w:val="21"/>
                    </w:rPr>
                    <w:t>/m</w:t>
                  </w:r>
                  <w:r>
                    <w:rPr>
                      <w:rFonts w:hint="eastAsia"/>
                      <w:b/>
                      <w:szCs w:val="21"/>
                      <w:vertAlign w:val="superscript"/>
                    </w:rPr>
                    <w:t>3</w:t>
                  </w:r>
                </w:p>
              </w:tc>
              <w:tc>
                <w:tcPr>
                  <w:tcW w:w="2542" w:type="dxa"/>
                  <w:tcBorders>
                    <w:top w:val="single" w:color="auto" w:sz="4" w:space="0"/>
                    <w:left w:val="single" w:color="auto" w:sz="4" w:space="0"/>
                    <w:right w:val="single" w:color="auto" w:sz="4" w:space="0"/>
                  </w:tcBorders>
                  <w:shd w:val="clear" w:color="auto" w:fill="auto"/>
                  <w:vAlign w:val="center"/>
                </w:tcPr>
                <w:p>
                  <w:pPr>
                    <w:pStyle w:val="34"/>
                    <w:rPr>
                      <w:szCs w:val="21"/>
                    </w:rPr>
                  </w:pPr>
                  <w:r>
                    <w:rPr>
                      <w:szCs w:val="21"/>
                    </w:rPr>
                    <w:t>5.16</w:t>
                  </w:r>
                </w:p>
              </w:tc>
              <w:tc>
                <w:tcPr>
                  <w:tcW w:w="2123"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w:t>
                  </w:r>
                </w:p>
              </w:tc>
              <w:tc>
                <w:tcPr>
                  <w:tcW w:w="2125"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w:t>
                  </w:r>
                </w:p>
              </w:tc>
              <w:tc>
                <w:tcPr>
                  <w:tcW w:w="2267"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503.77</w:t>
                  </w:r>
                </w:p>
              </w:tc>
              <w:tc>
                <w:tcPr>
                  <w:tcW w:w="1100" w:type="dxa"/>
                  <w:tcBorders>
                    <w:top w:val="single" w:color="auto" w:sz="4" w:space="0"/>
                    <w:left w:val="single" w:color="auto" w:sz="4" w:space="0"/>
                    <w:right w:val="single" w:color="auto" w:sz="4" w:space="0"/>
                  </w:tcBorders>
                  <w:vAlign w:val="center"/>
                </w:tcPr>
                <w:p>
                  <w:pPr>
                    <w:pStyle w:val="34"/>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60"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污染物产生量kg</w:t>
                  </w:r>
                  <w:r>
                    <w:rPr>
                      <w:rFonts w:hint="eastAsia"/>
                      <w:b/>
                      <w:szCs w:val="21"/>
                    </w:rPr>
                    <w:t>/h</w:t>
                  </w:r>
                </w:p>
              </w:tc>
              <w:tc>
                <w:tcPr>
                  <w:tcW w:w="2542" w:type="dxa"/>
                  <w:tcBorders>
                    <w:left w:val="single" w:color="auto" w:sz="4" w:space="0"/>
                    <w:right w:val="single" w:color="auto" w:sz="4" w:space="0"/>
                  </w:tcBorders>
                  <w:shd w:val="clear" w:color="auto" w:fill="auto"/>
                  <w:vAlign w:val="center"/>
                </w:tcPr>
                <w:p>
                  <w:pPr>
                    <w:pStyle w:val="34"/>
                    <w:rPr>
                      <w:szCs w:val="21"/>
                    </w:rPr>
                  </w:pPr>
                  <w:r>
                    <w:rPr>
                      <w:szCs w:val="21"/>
                    </w:rPr>
                    <w:t>0.03</w:t>
                  </w:r>
                </w:p>
              </w:tc>
              <w:tc>
                <w:tcPr>
                  <w:tcW w:w="2123" w:type="dxa"/>
                  <w:tcBorders>
                    <w:left w:val="single" w:color="auto" w:sz="4" w:space="0"/>
                    <w:right w:val="single" w:color="auto" w:sz="4" w:space="0"/>
                  </w:tcBorders>
                  <w:vAlign w:val="center"/>
                </w:tcPr>
                <w:p>
                  <w:pPr>
                    <w:pStyle w:val="34"/>
                    <w:rPr>
                      <w:szCs w:val="21"/>
                    </w:rPr>
                  </w:pPr>
                  <w:r>
                    <w:rPr>
                      <w:rFonts w:hint="eastAsia"/>
                      <w:szCs w:val="21"/>
                    </w:rPr>
                    <w:t>0</w:t>
                  </w:r>
                  <w:r>
                    <w:rPr>
                      <w:szCs w:val="21"/>
                    </w:rPr>
                    <w:t>.003</w:t>
                  </w:r>
                </w:p>
              </w:tc>
              <w:tc>
                <w:tcPr>
                  <w:tcW w:w="2125" w:type="dxa"/>
                  <w:tcBorders>
                    <w:left w:val="single" w:color="auto" w:sz="4" w:space="0"/>
                    <w:right w:val="single" w:color="auto" w:sz="4" w:space="0"/>
                  </w:tcBorders>
                  <w:vAlign w:val="center"/>
                </w:tcPr>
                <w:p>
                  <w:pPr>
                    <w:pStyle w:val="34"/>
                    <w:rPr>
                      <w:szCs w:val="21"/>
                    </w:rPr>
                  </w:pPr>
                  <w:r>
                    <w:rPr>
                      <w:rFonts w:hint="eastAsia"/>
                      <w:szCs w:val="21"/>
                    </w:rPr>
                    <w:t>0</w:t>
                  </w:r>
                  <w:r>
                    <w:rPr>
                      <w:szCs w:val="21"/>
                    </w:rPr>
                    <w:t>.0</w:t>
                  </w:r>
                  <w:r>
                    <w:rPr>
                      <w:rFonts w:hint="eastAsia"/>
                      <w:szCs w:val="21"/>
                    </w:rPr>
                    <w:t>6</w:t>
                  </w:r>
                </w:p>
              </w:tc>
              <w:tc>
                <w:tcPr>
                  <w:tcW w:w="2267" w:type="dxa"/>
                  <w:tcBorders>
                    <w:left w:val="single" w:color="auto" w:sz="4" w:space="0"/>
                    <w:right w:val="single" w:color="auto" w:sz="4" w:space="0"/>
                  </w:tcBorders>
                  <w:vAlign w:val="center"/>
                </w:tcPr>
                <w:p>
                  <w:pPr>
                    <w:pStyle w:val="34"/>
                    <w:rPr>
                      <w:szCs w:val="21"/>
                    </w:rPr>
                  </w:pPr>
                  <w:r>
                    <w:rPr>
                      <w:rFonts w:hint="eastAsia"/>
                      <w:szCs w:val="21"/>
                    </w:rPr>
                    <w:t>2.52</w:t>
                  </w:r>
                </w:p>
              </w:tc>
              <w:tc>
                <w:tcPr>
                  <w:tcW w:w="1100" w:type="dxa"/>
                  <w:tcBorders>
                    <w:left w:val="single" w:color="auto" w:sz="4" w:space="0"/>
                    <w:right w:val="single" w:color="auto" w:sz="4" w:space="0"/>
                  </w:tcBorders>
                  <w:vAlign w:val="center"/>
                </w:tcPr>
                <w:p>
                  <w:pPr>
                    <w:pStyle w:val="34"/>
                    <w:rPr>
                      <w:szCs w:val="21"/>
                    </w:rPr>
                  </w:pPr>
                  <w:r>
                    <w:rPr>
                      <w:rFonts w:hint="eastAsia"/>
                      <w:szCs w:val="21"/>
                    </w:rPr>
                    <w:t>0</w:t>
                  </w:r>
                  <w:r>
                    <w:rPr>
                      <w:szCs w:val="21"/>
                    </w:rPr>
                    <w:t>.</w:t>
                  </w:r>
                  <w:r>
                    <w:rPr>
                      <w:rFonts w:hint="eastAsia"/>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60"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排放形式</w:t>
                  </w:r>
                </w:p>
              </w:tc>
              <w:tc>
                <w:tcPr>
                  <w:tcW w:w="2542" w:type="dxa"/>
                  <w:tcBorders>
                    <w:left w:val="single" w:color="auto" w:sz="4" w:space="0"/>
                    <w:right w:val="single" w:color="auto" w:sz="4" w:space="0"/>
                  </w:tcBorders>
                  <w:shd w:val="clear" w:color="auto" w:fill="auto"/>
                  <w:vAlign w:val="center"/>
                </w:tcPr>
                <w:p>
                  <w:pPr>
                    <w:pStyle w:val="34"/>
                    <w:rPr>
                      <w:szCs w:val="21"/>
                    </w:rPr>
                  </w:pPr>
                  <w:r>
                    <w:rPr>
                      <w:szCs w:val="21"/>
                    </w:rPr>
                    <w:t>有组织</w:t>
                  </w:r>
                </w:p>
              </w:tc>
              <w:tc>
                <w:tcPr>
                  <w:tcW w:w="2123" w:type="dxa"/>
                  <w:tcBorders>
                    <w:left w:val="single" w:color="auto" w:sz="4" w:space="0"/>
                    <w:right w:val="single" w:color="auto" w:sz="4" w:space="0"/>
                  </w:tcBorders>
                  <w:vAlign w:val="center"/>
                </w:tcPr>
                <w:p>
                  <w:pPr>
                    <w:pStyle w:val="34"/>
                    <w:rPr>
                      <w:szCs w:val="21"/>
                    </w:rPr>
                  </w:pPr>
                  <w:r>
                    <w:rPr>
                      <w:szCs w:val="21"/>
                    </w:rPr>
                    <w:t>无组织</w:t>
                  </w:r>
                </w:p>
              </w:tc>
              <w:tc>
                <w:tcPr>
                  <w:tcW w:w="2125" w:type="dxa"/>
                  <w:tcBorders>
                    <w:left w:val="single" w:color="auto" w:sz="4" w:space="0"/>
                    <w:right w:val="single" w:color="auto" w:sz="4" w:space="0"/>
                  </w:tcBorders>
                  <w:vAlign w:val="center"/>
                </w:tcPr>
                <w:p>
                  <w:pPr>
                    <w:pStyle w:val="34"/>
                    <w:rPr>
                      <w:szCs w:val="21"/>
                    </w:rPr>
                  </w:pPr>
                  <w:r>
                    <w:rPr>
                      <w:szCs w:val="21"/>
                    </w:rPr>
                    <w:t>无组织</w:t>
                  </w:r>
                </w:p>
              </w:tc>
              <w:tc>
                <w:tcPr>
                  <w:tcW w:w="2267" w:type="dxa"/>
                  <w:tcBorders>
                    <w:left w:val="single" w:color="auto" w:sz="4" w:space="0"/>
                    <w:right w:val="single" w:color="auto" w:sz="4" w:space="0"/>
                  </w:tcBorders>
                  <w:vAlign w:val="center"/>
                </w:tcPr>
                <w:p>
                  <w:pPr>
                    <w:pStyle w:val="34"/>
                    <w:rPr>
                      <w:szCs w:val="21"/>
                    </w:rPr>
                  </w:pPr>
                  <w:r>
                    <w:rPr>
                      <w:rFonts w:hint="eastAsia"/>
                      <w:szCs w:val="21"/>
                    </w:rPr>
                    <w:t>有</w:t>
                  </w:r>
                  <w:r>
                    <w:rPr>
                      <w:szCs w:val="21"/>
                    </w:rPr>
                    <w:t>组织</w:t>
                  </w:r>
                </w:p>
              </w:tc>
              <w:tc>
                <w:tcPr>
                  <w:tcW w:w="1100" w:type="dxa"/>
                  <w:tcBorders>
                    <w:left w:val="single" w:color="auto" w:sz="4" w:space="0"/>
                    <w:right w:val="single" w:color="auto" w:sz="4" w:space="0"/>
                  </w:tcBorders>
                  <w:vAlign w:val="center"/>
                </w:tcPr>
                <w:p>
                  <w:pPr>
                    <w:pStyle w:val="34"/>
                    <w:rPr>
                      <w:szCs w:val="21"/>
                    </w:rPr>
                  </w:pPr>
                  <w:r>
                    <w:rPr>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restart"/>
                  <w:tcBorders>
                    <w:top w:val="single" w:color="auto" w:sz="4" w:space="0"/>
                    <w:left w:val="single" w:color="auto" w:sz="4" w:space="0"/>
                    <w:right w:val="single" w:color="auto" w:sz="4" w:space="0"/>
                  </w:tcBorders>
                  <w:shd w:val="pct10" w:color="auto" w:fill="auto"/>
                  <w:vAlign w:val="center"/>
                </w:tcPr>
                <w:p>
                  <w:pPr>
                    <w:pStyle w:val="34"/>
                    <w:rPr>
                      <w:b/>
                      <w:szCs w:val="21"/>
                    </w:rPr>
                  </w:pPr>
                  <w:r>
                    <w:rPr>
                      <w:b/>
                      <w:szCs w:val="21"/>
                    </w:rPr>
                    <w:t>治理</w:t>
                  </w:r>
                </w:p>
                <w:p>
                  <w:pPr>
                    <w:pStyle w:val="34"/>
                    <w:rPr>
                      <w:b/>
                      <w:szCs w:val="21"/>
                    </w:rPr>
                  </w:pPr>
                  <w:r>
                    <w:rPr>
                      <w:b/>
                      <w:szCs w:val="21"/>
                    </w:rPr>
                    <w:t>设施</w:t>
                  </w:r>
                </w:p>
              </w:tc>
              <w:tc>
                <w:tcPr>
                  <w:tcW w:w="2443" w:type="dxa"/>
                  <w:tcBorders>
                    <w:top w:val="single" w:color="auto" w:sz="4" w:space="0"/>
                    <w:left w:val="single" w:color="auto" w:sz="4" w:space="0"/>
                    <w:right w:val="single" w:color="auto" w:sz="4" w:space="0"/>
                  </w:tcBorders>
                  <w:shd w:val="pct10" w:color="auto" w:fill="auto"/>
                  <w:vAlign w:val="center"/>
                </w:tcPr>
                <w:p>
                  <w:pPr>
                    <w:pStyle w:val="34"/>
                    <w:rPr>
                      <w:b/>
                      <w:szCs w:val="21"/>
                    </w:rPr>
                  </w:pPr>
                  <w:r>
                    <w:rPr>
                      <w:b/>
                      <w:szCs w:val="21"/>
                    </w:rPr>
                    <w:t>名称</w:t>
                  </w:r>
                </w:p>
              </w:tc>
              <w:tc>
                <w:tcPr>
                  <w:tcW w:w="2542" w:type="dxa"/>
                  <w:tcBorders>
                    <w:left w:val="single" w:color="auto" w:sz="4" w:space="0"/>
                    <w:right w:val="single" w:color="auto" w:sz="4" w:space="0"/>
                  </w:tcBorders>
                  <w:shd w:val="clear" w:color="auto" w:fill="auto"/>
                  <w:vAlign w:val="center"/>
                </w:tcPr>
                <w:p>
                  <w:pPr>
                    <w:pStyle w:val="34"/>
                    <w:rPr>
                      <w:szCs w:val="21"/>
                    </w:rPr>
                  </w:pPr>
                  <w:r>
                    <w:rPr>
                      <w:rFonts w:hint="eastAsia"/>
                      <w:szCs w:val="21"/>
                    </w:rPr>
                    <w:t>紫外光氧+活性炭吸附</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rFonts w:hint="eastAsia"/>
                      <w:szCs w:val="21"/>
                    </w:rPr>
                    <w:t>布袋除尘</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left w:val="single" w:color="auto" w:sz="4" w:space="0"/>
                    <w:right w:val="single" w:color="auto" w:sz="4" w:space="0"/>
                  </w:tcBorders>
                  <w:shd w:val="pct10" w:color="auto" w:fill="auto"/>
                  <w:vAlign w:val="center"/>
                </w:tcPr>
                <w:p>
                  <w:pPr>
                    <w:pStyle w:val="34"/>
                    <w:rPr>
                      <w:b/>
                      <w:szCs w:val="21"/>
                    </w:rPr>
                  </w:pP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处理能力</w:t>
                  </w:r>
                  <w:r>
                    <w:rPr>
                      <w:rFonts w:hint="eastAsia"/>
                      <w:b/>
                      <w:szCs w:val="21"/>
                    </w:rPr>
                    <w:t>m</w:t>
                  </w:r>
                  <w:r>
                    <w:rPr>
                      <w:rFonts w:hint="eastAsia"/>
                      <w:b/>
                      <w:szCs w:val="21"/>
                      <w:vertAlign w:val="superscript"/>
                    </w:rPr>
                    <w:t>3</w:t>
                  </w:r>
                  <w:r>
                    <w:rPr>
                      <w:rFonts w:hint="eastAsia"/>
                      <w:b/>
                      <w:szCs w:val="21"/>
                    </w:rPr>
                    <w:t>/h</w:t>
                  </w:r>
                </w:p>
              </w:tc>
              <w:tc>
                <w:tcPr>
                  <w:tcW w:w="2542" w:type="dxa"/>
                  <w:tcBorders>
                    <w:left w:val="single" w:color="auto" w:sz="4" w:space="0"/>
                    <w:right w:val="single" w:color="auto" w:sz="4" w:space="0"/>
                  </w:tcBorders>
                  <w:shd w:val="clear" w:color="auto" w:fill="auto"/>
                  <w:vAlign w:val="center"/>
                </w:tcPr>
                <w:p>
                  <w:pPr>
                    <w:pStyle w:val="34"/>
                    <w:rPr>
                      <w:szCs w:val="21"/>
                    </w:rPr>
                  </w:pPr>
                  <w:r>
                    <w:rPr>
                      <w:szCs w:val="21"/>
                    </w:rPr>
                    <w:t>5000</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szCs w:val="21"/>
                    </w:rPr>
                    <w:t>5000</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left w:val="single" w:color="auto" w:sz="4" w:space="0"/>
                    <w:right w:val="single" w:color="auto" w:sz="4" w:space="0"/>
                  </w:tcBorders>
                  <w:shd w:val="pct10" w:color="auto" w:fill="auto"/>
                  <w:vAlign w:val="center"/>
                </w:tcPr>
                <w:p>
                  <w:pPr>
                    <w:pStyle w:val="34"/>
                    <w:rPr>
                      <w:b/>
                      <w:szCs w:val="21"/>
                    </w:rPr>
                  </w:pP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收集效率</w:t>
                  </w:r>
                  <w:r>
                    <w:rPr>
                      <w:rFonts w:hint="eastAsia"/>
                      <w:b/>
                      <w:szCs w:val="21"/>
                    </w:rPr>
                    <w:t>%</w:t>
                  </w:r>
                </w:p>
              </w:tc>
              <w:tc>
                <w:tcPr>
                  <w:tcW w:w="2542" w:type="dxa"/>
                  <w:tcBorders>
                    <w:left w:val="single" w:color="auto" w:sz="4" w:space="0"/>
                    <w:right w:val="single" w:color="auto" w:sz="4" w:space="0"/>
                  </w:tcBorders>
                  <w:shd w:val="clear" w:color="auto" w:fill="auto"/>
                  <w:vAlign w:val="center"/>
                </w:tcPr>
                <w:p>
                  <w:pPr>
                    <w:pStyle w:val="34"/>
                    <w:rPr>
                      <w:szCs w:val="21"/>
                    </w:rPr>
                  </w:pPr>
                  <w:r>
                    <w:rPr>
                      <w:szCs w:val="21"/>
                    </w:rPr>
                    <w:t>9</w:t>
                  </w:r>
                  <w:r>
                    <w:rPr>
                      <w:rFonts w:hint="eastAsia"/>
                      <w:szCs w:val="21"/>
                    </w:rPr>
                    <w:t>0</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rFonts w:hint="eastAsia"/>
                      <w:szCs w:val="21"/>
                    </w:rPr>
                    <w:t>85</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left w:val="single" w:color="auto" w:sz="4" w:space="0"/>
                    <w:right w:val="single" w:color="auto" w:sz="4" w:space="0"/>
                  </w:tcBorders>
                  <w:shd w:val="pct10" w:color="auto" w:fill="auto"/>
                  <w:vAlign w:val="center"/>
                </w:tcPr>
                <w:p>
                  <w:pPr>
                    <w:pStyle w:val="34"/>
                    <w:rPr>
                      <w:b/>
                      <w:szCs w:val="21"/>
                    </w:rPr>
                  </w:pP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去除效率</w:t>
                  </w:r>
                  <w:r>
                    <w:rPr>
                      <w:rFonts w:hint="eastAsia"/>
                      <w:b/>
                      <w:szCs w:val="21"/>
                    </w:rPr>
                    <w:t>%</w:t>
                  </w:r>
                </w:p>
              </w:tc>
              <w:tc>
                <w:tcPr>
                  <w:tcW w:w="2542" w:type="dxa"/>
                  <w:tcBorders>
                    <w:left w:val="single" w:color="auto" w:sz="4" w:space="0"/>
                    <w:right w:val="single" w:color="auto" w:sz="4" w:space="0"/>
                  </w:tcBorders>
                  <w:shd w:val="clear" w:color="auto" w:fill="auto"/>
                  <w:vAlign w:val="center"/>
                </w:tcPr>
                <w:p>
                  <w:pPr>
                    <w:pStyle w:val="34"/>
                    <w:rPr>
                      <w:szCs w:val="21"/>
                    </w:rPr>
                  </w:pPr>
                  <w:r>
                    <w:rPr>
                      <w:szCs w:val="21"/>
                    </w:rPr>
                    <w:t>75</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rFonts w:hint="eastAsia"/>
                      <w:szCs w:val="21"/>
                    </w:rPr>
                    <w:t>9</w:t>
                  </w:r>
                  <w:r>
                    <w:rPr>
                      <w:szCs w:val="21"/>
                    </w:rPr>
                    <w:t>5</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left w:val="single" w:color="auto" w:sz="4" w:space="0"/>
                    <w:right w:val="single" w:color="auto" w:sz="4" w:space="0"/>
                  </w:tcBorders>
                  <w:shd w:val="pct10" w:color="auto" w:fill="auto"/>
                  <w:vAlign w:val="center"/>
                </w:tcPr>
                <w:p>
                  <w:pPr>
                    <w:pStyle w:val="34"/>
                    <w:rPr>
                      <w:b/>
                      <w:szCs w:val="21"/>
                    </w:rPr>
                  </w:pP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是否可行</w:t>
                  </w:r>
                </w:p>
              </w:tc>
              <w:tc>
                <w:tcPr>
                  <w:tcW w:w="2542" w:type="dxa"/>
                  <w:tcBorders>
                    <w:left w:val="single" w:color="auto" w:sz="4" w:space="0"/>
                    <w:right w:val="single" w:color="auto" w:sz="4" w:space="0"/>
                  </w:tcBorders>
                  <w:shd w:val="clear" w:color="auto" w:fill="auto"/>
                  <w:vAlign w:val="center"/>
                </w:tcPr>
                <w:p>
                  <w:pPr>
                    <w:pStyle w:val="34"/>
                    <w:rPr>
                      <w:szCs w:val="21"/>
                    </w:rPr>
                  </w:pPr>
                  <w:r>
                    <w:rPr>
                      <w:szCs w:val="21"/>
                    </w:rPr>
                    <w:t>是</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szCs w:val="21"/>
                    </w:rPr>
                    <w:t>是</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60" w:type="dxa"/>
                  <w:gridSpan w:val="2"/>
                  <w:tcBorders>
                    <w:left w:val="single" w:color="auto" w:sz="4" w:space="0"/>
                    <w:right w:val="single" w:color="auto" w:sz="4" w:space="0"/>
                  </w:tcBorders>
                  <w:shd w:val="pct10" w:color="auto" w:fill="auto"/>
                  <w:vAlign w:val="center"/>
                </w:tcPr>
                <w:p>
                  <w:pPr>
                    <w:pStyle w:val="34"/>
                    <w:rPr>
                      <w:b/>
                      <w:szCs w:val="21"/>
                    </w:rPr>
                  </w:pPr>
                  <w:r>
                    <w:rPr>
                      <w:b/>
                      <w:szCs w:val="21"/>
                    </w:rPr>
                    <w:t>污染物排放浓度mg</w:t>
                  </w:r>
                  <w:r>
                    <w:rPr>
                      <w:rFonts w:hint="eastAsia"/>
                      <w:b/>
                      <w:szCs w:val="21"/>
                    </w:rPr>
                    <w:t>/m</w:t>
                  </w:r>
                  <w:r>
                    <w:rPr>
                      <w:rFonts w:hint="eastAsia"/>
                      <w:b/>
                      <w:szCs w:val="21"/>
                      <w:vertAlign w:val="superscript"/>
                    </w:rPr>
                    <w:t>3</w:t>
                  </w:r>
                </w:p>
              </w:tc>
              <w:tc>
                <w:tcPr>
                  <w:tcW w:w="2542" w:type="dxa"/>
                  <w:tcBorders>
                    <w:left w:val="single" w:color="auto" w:sz="4" w:space="0"/>
                    <w:right w:val="single" w:color="auto" w:sz="4" w:space="0"/>
                  </w:tcBorders>
                  <w:shd w:val="clear" w:color="auto" w:fill="auto"/>
                  <w:vAlign w:val="center"/>
                </w:tcPr>
                <w:p>
                  <w:pPr>
                    <w:pStyle w:val="34"/>
                    <w:rPr>
                      <w:szCs w:val="21"/>
                    </w:rPr>
                  </w:pPr>
                  <w:r>
                    <w:rPr>
                      <w:rFonts w:hint="eastAsia"/>
                      <w:szCs w:val="21"/>
                    </w:rPr>
                    <w:t>1</w:t>
                  </w:r>
                  <w:r>
                    <w:rPr>
                      <w:szCs w:val="21"/>
                    </w:rPr>
                    <w:t>.29</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rFonts w:hint="eastAsia"/>
                      <w:szCs w:val="21"/>
                    </w:rPr>
                    <w:t>25.33</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60" w:type="dxa"/>
                  <w:gridSpan w:val="2"/>
                  <w:tcBorders>
                    <w:left w:val="single" w:color="auto" w:sz="4" w:space="0"/>
                    <w:right w:val="single" w:color="auto" w:sz="4" w:space="0"/>
                  </w:tcBorders>
                  <w:shd w:val="pct10" w:color="auto" w:fill="auto"/>
                  <w:vAlign w:val="center"/>
                </w:tcPr>
                <w:p>
                  <w:pPr>
                    <w:pStyle w:val="34"/>
                    <w:rPr>
                      <w:b/>
                      <w:szCs w:val="21"/>
                    </w:rPr>
                  </w:pPr>
                  <w:r>
                    <w:rPr>
                      <w:b/>
                      <w:szCs w:val="21"/>
                    </w:rPr>
                    <w:t>污染物排放量kg</w:t>
                  </w:r>
                  <w:r>
                    <w:rPr>
                      <w:rFonts w:hint="eastAsia"/>
                      <w:b/>
                      <w:szCs w:val="21"/>
                    </w:rPr>
                    <w:t>/h</w:t>
                  </w:r>
                </w:p>
              </w:tc>
              <w:tc>
                <w:tcPr>
                  <w:tcW w:w="2542" w:type="dxa"/>
                  <w:tcBorders>
                    <w:left w:val="single" w:color="auto" w:sz="4" w:space="0"/>
                    <w:right w:val="single" w:color="auto" w:sz="4" w:space="0"/>
                  </w:tcBorders>
                  <w:shd w:val="clear" w:color="auto" w:fill="auto"/>
                  <w:vAlign w:val="center"/>
                </w:tcPr>
                <w:p>
                  <w:pPr>
                    <w:pStyle w:val="34"/>
                    <w:rPr>
                      <w:szCs w:val="21"/>
                    </w:rPr>
                  </w:pPr>
                  <w:r>
                    <w:rPr>
                      <w:rFonts w:hint="eastAsia"/>
                      <w:szCs w:val="21"/>
                    </w:rPr>
                    <w:t>0</w:t>
                  </w:r>
                  <w:r>
                    <w:rPr>
                      <w:szCs w:val="21"/>
                    </w:rPr>
                    <w:t>.0065</w:t>
                  </w:r>
                </w:p>
              </w:tc>
              <w:tc>
                <w:tcPr>
                  <w:tcW w:w="2123" w:type="dxa"/>
                  <w:tcBorders>
                    <w:left w:val="single" w:color="auto" w:sz="4" w:space="0"/>
                    <w:right w:val="single" w:color="auto" w:sz="4" w:space="0"/>
                  </w:tcBorders>
                  <w:vAlign w:val="center"/>
                </w:tcPr>
                <w:p>
                  <w:pPr>
                    <w:pStyle w:val="34"/>
                    <w:rPr>
                      <w:szCs w:val="21"/>
                    </w:rPr>
                  </w:pPr>
                  <w:r>
                    <w:rPr>
                      <w:rFonts w:hint="eastAsia"/>
                      <w:szCs w:val="21"/>
                    </w:rPr>
                    <w:t>0</w:t>
                  </w:r>
                  <w:r>
                    <w:rPr>
                      <w:szCs w:val="21"/>
                    </w:rPr>
                    <w:t>.0</w:t>
                  </w:r>
                  <w:r>
                    <w:rPr>
                      <w:rFonts w:hint="eastAsia"/>
                      <w:szCs w:val="21"/>
                    </w:rPr>
                    <w:t>03</w:t>
                  </w:r>
                </w:p>
              </w:tc>
              <w:tc>
                <w:tcPr>
                  <w:tcW w:w="2125" w:type="dxa"/>
                  <w:tcBorders>
                    <w:left w:val="single" w:color="auto" w:sz="4" w:space="0"/>
                    <w:right w:val="single" w:color="auto" w:sz="4" w:space="0"/>
                  </w:tcBorders>
                  <w:vAlign w:val="center"/>
                </w:tcPr>
                <w:p>
                  <w:pPr>
                    <w:pStyle w:val="34"/>
                    <w:rPr>
                      <w:szCs w:val="21"/>
                    </w:rPr>
                  </w:pPr>
                  <w:r>
                    <w:rPr>
                      <w:rFonts w:hint="eastAsia"/>
                      <w:szCs w:val="21"/>
                    </w:rPr>
                    <w:t>0</w:t>
                  </w:r>
                  <w:r>
                    <w:rPr>
                      <w:szCs w:val="21"/>
                    </w:rPr>
                    <w:t>.0</w:t>
                  </w:r>
                  <w:r>
                    <w:rPr>
                      <w:rFonts w:hint="eastAsia"/>
                      <w:szCs w:val="21"/>
                    </w:rPr>
                    <w:t>2</w:t>
                  </w:r>
                </w:p>
              </w:tc>
              <w:tc>
                <w:tcPr>
                  <w:tcW w:w="2267" w:type="dxa"/>
                  <w:tcBorders>
                    <w:left w:val="single" w:color="auto" w:sz="4" w:space="0"/>
                    <w:right w:val="single" w:color="auto" w:sz="4" w:space="0"/>
                  </w:tcBorders>
                  <w:vAlign w:val="center"/>
                </w:tcPr>
                <w:p>
                  <w:pPr>
                    <w:pStyle w:val="34"/>
                    <w:rPr>
                      <w:szCs w:val="21"/>
                    </w:rPr>
                  </w:pPr>
                  <w:r>
                    <w:rPr>
                      <w:rFonts w:hint="eastAsia"/>
                      <w:szCs w:val="21"/>
                    </w:rPr>
                    <w:t>0.13</w:t>
                  </w:r>
                </w:p>
              </w:tc>
              <w:tc>
                <w:tcPr>
                  <w:tcW w:w="1100" w:type="dxa"/>
                  <w:tcBorders>
                    <w:left w:val="single" w:color="auto" w:sz="4" w:space="0"/>
                    <w:right w:val="single" w:color="auto" w:sz="4" w:space="0"/>
                  </w:tcBorders>
                  <w:vAlign w:val="center"/>
                </w:tcPr>
                <w:p>
                  <w:pPr>
                    <w:pStyle w:val="34"/>
                    <w:rPr>
                      <w:szCs w:val="21"/>
                    </w:rPr>
                  </w:pPr>
                  <w:r>
                    <w:rPr>
                      <w:rFonts w:hint="eastAsia"/>
                      <w:szCs w:val="21"/>
                    </w:rPr>
                    <w:t>0</w:t>
                  </w:r>
                  <w:r>
                    <w:rPr>
                      <w:szCs w:val="21"/>
                    </w:rPr>
                    <w:t>.</w:t>
                  </w:r>
                  <w:r>
                    <w:rPr>
                      <w:rFonts w:hint="eastAsia"/>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restart"/>
                  <w:tcBorders>
                    <w:left w:val="single" w:color="auto" w:sz="4" w:space="0"/>
                    <w:right w:val="single" w:color="auto" w:sz="4" w:space="0"/>
                  </w:tcBorders>
                  <w:shd w:val="pct10" w:color="auto" w:fill="auto"/>
                  <w:vAlign w:val="center"/>
                </w:tcPr>
                <w:p>
                  <w:pPr>
                    <w:pStyle w:val="34"/>
                    <w:rPr>
                      <w:b/>
                      <w:szCs w:val="21"/>
                    </w:rPr>
                  </w:pPr>
                  <w:r>
                    <w:rPr>
                      <w:b/>
                      <w:szCs w:val="21"/>
                    </w:rPr>
                    <w:t>排放口基本信息</w:t>
                  </w: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编码</w:t>
                  </w:r>
                </w:p>
              </w:tc>
              <w:tc>
                <w:tcPr>
                  <w:tcW w:w="2542" w:type="dxa"/>
                  <w:tcBorders>
                    <w:left w:val="single" w:color="auto" w:sz="4" w:space="0"/>
                    <w:right w:val="single" w:color="auto" w:sz="4" w:space="0"/>
                  </w:tcBorders>
                  <w:shd w:val="clear" w:color="auto" w:fill="auto"/>
                  <w:vAlign w:val="center"/>
                </w:tcPr>
                <w:p>
                  <w:pPr>
                    <w:pStyle w:val="34"/>
                    <w:rPr>
                      <w:szCs w:val="21"/>
                    </w:rPr>
                  </w:pPr>
                  <w:r>
                    <w:rPr>
                      <w:rFonts w:hint="eastAsia"/>
                      <w:szCs w:val="21"/>
                    </w:rPr>
                    <w:t>DA00</w:t>
                  </w:r>
                  <w:r>
                    <w:rPr>
                      <w:szCs w:val="21"/>
                    </w:rPr>
                    <w:t>3</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rFonts w:hint="eastAsia"/>
                      <w:szCs w:val="21"/>
                    </w:rPr>
                    <w:t>DA00</w:t>
                  </w:r>
                  <w:r>
                    <w:rPr>
                      <w:szCs w:val="21"/>
                    </w:rPr>
                    <w:t>3</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left w:val="single" w:color="auto" w:sz="4" w:space="0"/>
                    <w:right w:val="single" w:color="auto" w:sz="4" w:space="0"/>
                  </w:tcBorders>
                  <w:shd w:val="pct10" w:color="auto" w:fill="auto"/>
                  <w:vAlign w:val="center"/>
                </w:tcPr>
                <w:p>
                  <w:pPr>
                    <w:pStyle w:val="34"/>
                    <w:rPr>
                      <w:b/>
                      <w:szCs w:val="21"/>
                    </w:rPr>
                  </w:pP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名称</w:t>
                  </w:r>
                </w:p>
              </w:tc>
              <w:tc>
                <w:tcPr>
                  <w:tcW w:w="2542" w:type="dxa"/>
                  <w:tcBorders>
                    <w:left w:val="single" w:color="auto" w:sz="4" w:space="0"/>
                    <w:right w:val="single" w:color="auto" w:sz="4" w:space="0"/>
                  </w:tcBorders>
                  <w:shd w:val="clear" w:color="auto" w:fill="auto"/>
                  <w:vAlign w:val="center"/>
                </w:tcPr>
                <w:p>
                  <w:pPr>
                    <w:pStyle w:val="34"/>
                    <w:rPr>
                      <w:szCs w:val="21"/>
                    </w:rPr>
                  </w:pPr>
                  <w:r>
                    <w:rPr>
                      <w:rFonts w:hint="eastAsia"/>
                      <w:szCs w:val="21"/>
                    </w:rPr>
                    <w:t>3</w:t>
                  </w:r>
                  <w:r>
                    <w:rPr>
                      <w:szCs w:val="21"/>
                    </w:rPr>
                    <w:t>#</w:t>
                  </w:r>
                  <w:r>
                    <w:rPr>
                      <w:rFonts w:hint="eastAsia"/>
                      <w:szCs w:val="21"/>
                    </w:rPr>
                    <w:t>机动车拆解排气筒</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rFonts w:hint="eastAsia"/>
                      <w:szCs w:val="21"/>
                    </w:rPr>
                    <w:t>3</w:t>
                  </w:r>
                  <w:r>
                    <w:rPr>
                      <w:szCs w:val="21"/>
                    </w:rPr>
                    <w:t>#</w:t>
                  </w:r>
                  <w:r>
                    <w:rPr>
                      <w:rFonts w:hint="eastAsia"/>
                      <w:szCs w:val="21"/>
                    </w:rPr>
                    <w:t>机动车拆解排气筒</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left w:val="single" w:color="auto" w:sz="4" w:space="0"/>
                    <w:right w:val="single" w:color="auto" w:sz="4" w:space="0"/>
                  </w:tcBorders>
                  <w:shd w:val="pct10" w:color="auto" w:fill="auto"/>
                  <w:vAlign w:val="center"/>
                </w:tcPr>
                <w:p>
                  <w:pPr>
                    <w:pStyle w:val="34"/>
                    <w:rPr>
                      <w:b/>
                      <w:szCs w:val="21"/>
                    </w:rPr>
                  </w:pP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类型</w:t>
                  </w:r>
                </w:p>
              </w:tc>
              <w:tc>
                <w:tcPr>
                  <w:tcW w:w="2542" w:type="dxa"/>
                  <w:tcBorders>
                    <w:left w:val="single" w:color="auto" w:sz="4" w:space="0"/>
                    <w:right w:val="single" w:color="auto" w:sz="4" w:space="0"/>
                  </w:tcBorders>
                  <w:shd w:val="clear" w:color="auto" w:fill="auto"/>
                  <w:vAlign w:val="center"/>
                </w:tcPr>
                <w:p>
                  <w:pPr>
                    <w:pStyle w:val="34"/>
                    <w:rPr>
                      <w:szCs w:val="21"/>
                    </w:rPr>
                  </w:pPr>
                  <w:r>
                    <w:rPr>
                      <w:szCs w:val="21"/>
                    </w:rPr>
                    <w:t>一般排放口</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szCs w:val="21"/>
                    </w:rPr>
                    <w:t>一般排放口</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left w:val="single" w:color="auto" w:sz="4" w:space="0"/>
                    <w:right w:val="single" w:color="auto" w:sz="4" w:space="0"/>
                  </w:tcBorders>
                  <w:shd w:val="pct10" w:color="auto" w:fill="auto"/>
                  <w:vAlign w:val="center"/>
                </w:tcPr>
                <w:p>
                  <w:pPr>
                    <w:pStyle w:val="34"/>
                    <w:rPr>
                      <w:b/>
                      <w:szCs w:val="21"/>
                    </w:rPr>
                  </w:pP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地理坐标</w:t>
                  </w:r>
                </w:p>
              </w:tc>
              <w:tc>
                <w:tcPr>
                  <w:tcW w:w="2542" w:type="dxa"/>
                  <w:tcBorders>
                    <w:left w:val="single" w:color="auto" w:sz="4" w:space="0"/>
                    <w:right w:val="single" w:color="auto" w:sz="4" w:space="0"/>
                  </w:tcBorders>
                  <w:shd w:val="clear" w:color="auto" w:fill="auto"/>
                  <w:vAlign w:val="center"/>
                </w:tcPr>
                <w:p>
                  <w:pPr>
                    <w:pStyle w:val="34"/>
                    <w:rPr>
                      <w:szCs w:val="21"/>
                    </w:rPr>
                  </w:pPr>
                  <w:r>
                    <w:rPr>
                      <w:szCs w:val="21"/>
                    </w:rPr>
                    <w:t>108.208921551, 33.09418916</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szCs w:val="21"/>
                    </w:rPr>
                    <w:t>108.208921551, 33.09418916</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left w:val="single" w:color="auto" w:sz="4" w:space="0"/>
                    <w:right w:val="single" w:color="auto" w:sz="4" w:space="0"/>
                  </w:tcBorders>
                  <w:shd w:val="pct10" w:color="auto" w:fill="auto"/>
                  <w:vAlign w:val="center"/>
                </w:tcPr>
                <w:p>
                  <w:pPr>
                    <w:pStyle w:val="34"/>
                    <w:rPr>
                      <w:b/>
                      <w:szCs w:val="21"/>
                    </w:rPr>
                  </w:pP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高度m</w:t>
                  </w:r>
                </w:p>
              </w:tc>
              <w:tc>
                <w:tcPr>
                  <w:tcW w:w="2542" w:type="dxa"/>
                  <w:tcBorders>
                    <w:left w:val="single" w:color="auto" w:sz="4" w:space="0"/>
                    <w:right w:val="single" w:color="auto" w:sz="4" w:space="0"/>
                  </w:tcBorders>
                  <w:shd w:val="clear" w:color="auto" w:fill="auto"/>
                  <w:vAlign w:val="center"/>
                </w:tcPr>
                <w:p>
                  <w:pPr>
                    <w:pStyle w:val="34"/>
                    <w:rPr>
                      <w:szCs w:val="21"/>
                    </w:rPr>
                  </w:pPr>
                  <w:r>
                    <w:rPr>
                      <w:rFonts w:hint="eastAsia"/>
                      <w:szCs w:val="21"/>
                    </w:rPr>
                    <w:t>15</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rFonts w:hint="eastAsia"/>
                      <w:szCs w:val="21"/>
                    </w:rPr>
                    <w:t>15</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left w:val="single" w:color="auto" w:sz="4" w:space="0"/>
                    <w:right w:val="single" w:color="auto" w:sz="4" w:space="0"/>
                  </w:tcBorders>
                  <w:shd w:val="pct10" w:color="auto" w:fill="auto"/>
                  <w:vAlign w:val="center"/>
                </w:tcPr>
                <w:p>
                  <w:pPr>
                    <w:pStyle w:val="34"/>
                    <w:rPr>
                      <w:b/>
                      <w:szCs w:val="21"/>
                    </w:rPr>
                  </w:pP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排气筒内径m</w:t>
                  </w:r>
                </w:p>
              </w:tc>
              <w:tc>
                <w:tcPr>
                  <w:tcW w:w="2542" w:type="dxa"/>
                  <w:tcBorders>
                    <w:left w:val="single" w:color="auto" w:sz="4" w:space="0"/>
                    <w:right w:val="single" w:color="auto" w:sz="4" w:space="0"/>
                  </w:tcBorders>
                  <w:shd w:val="clear" w:color="auto" w:fill="auto"/>
                  <w:vAlign w:val="center"/>
                </w:tcPr>
                <w:p>
                  <w:pPr>
                    <w:pStyle w:val="34"/>
                    <w:rPr>
                      <w:szCs w:val="21"/>
                    </w:rPr>
                  </w:pPr>
                  <w:r>
                    <w:rPr>
                      <w:rFonts w:hint="eastAsia"/>
                      <w:szCs w:val="21"/>
                    </w:rPr>
                    <w:t>0.4</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rFonts w:hint="eastAsia"/>
                      <w:szCs w:val="21"/>
                    </w:rPr>
                    <w:t>0.4</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left w:val="single" w:color="auto" w:sz="4" w:space="0"/>
                    <w:right w:val="single" w:color="auto" w:sz="4" w:space="0"/>
                  </w:tcBorders>
                  <w:shd w:val="pct10" w:color="auto" w:fill="auto"/>
                  <w:vAlign w:val="center"/>
                </w:tcPr>
                <w:p>
                  <w:pPr>
                    <w:pStyle w:val="34"/>
                    <w:rPr>
                      <w:b/>
                      <w:szCs w:val="21"/>
                    </w:rPr>
                  </w:pPr>
                </w:p>
              </w:tc>
              <w:tc>
                <w:tcPr>
                  <w:tcW w:w="2443" w:type="dxa"/>
                  <w:tcBorders>
                    <w:left w:val="single" w:color="auto" w:sz="4" w:space="0"/>
                    <w:right w:val="single" w:color="auto" w:sz="4" w:space="0"/>
                  </w:tcBorders>
                  <w:shd w:val="pct10" w:color="auto" w:fill="auto"/>
                  <w:vAlign w:val="center"/>
                </w:tcPr>
                <w:p>
                  <w:pPr>
                    <w:pStyle w:val="34"/>
                    <w:rPr>
                      <w:b/>
                      <w:szCs w:val="21"/>
                    </w:rPr>
                  </w:pPr>
                  <w:r>
                    <w:rPr>
                      <w:b/>
                      <w:szCs w:val="21"/>
                    </w:rPr>
                    <w:t>温度℃</w:t>
                  </w:r>
                </w:p>
              </w:tc>
              <w:tc>
                <w:tcPr>
                  <w:tcW w:w="2542" w:type="dxa"/>
                  <w:tcBorders>
                    <w:left w:val="single" w:color="auto" w:sz="4" w:space="0"/>
                    <w:right w:val="single" w:color="auto" w:sz="4" w:space="0"/>
                  </w:tcBorders>
                  <w:shd w:val="clear" w:color="auto" w:fill="auto"/>
                  <w:vAlign w:val="center"/>
                </w:tcPr>
                <w:p>
                  <w:pPr>
                    <w:pStyle w:val="34"/>
                    <w:rPr>
                      <w:szCs w:val="21"/>
                    </w:rPr>
                  </w:pPr>
                  <w:r>
                    <w:rPr>
                      <w:rFonts w:hint="eastAsia"/>
                      <w:szCs w:val="21"/>
                    </w:rPr>
                    <w:t>20</w:t>
                  </w:r>
                </w:p>
              </w:tc>
              <w:tc>
                <w:tcPr>
                  <w:tcW w:w="2123" w:type="dxa"/>
                  <w:tcBorders>
                    <w:left w:val="single" w:color="auto" w:sz="4" w:space="0"/>
                    <w:right w:val="single" w:color="auto" w:sz="4" w:space="0"/>
                  </w:tcBorders>
                  <w:vAlign w:val="center"/>
                </w:tcPr>
                <w:p>
                  <w:pPr>
                    <w:pStyle w:val="34"/>
                    <w:rPr>
                      <w:szCs w:val="21"/>
                    </w:rPr>
                  </w:pPr>
                  <w:r>
                    <w:rPr>
                      <w:rFonts w:hint="eastAsia"/>
                      <w:szCs w:val="21"/>
                    </w:rPr>
                    <w:t>/</w:t>
                  </w:r>
                </w:p>
              </w:tc>
              <w:tc>
                <w:tcPr>
                  <w:tcW w:w="2125" w:type="dxa"/>
                  <w:tcBorders>
                    <w:left w:val="single" w:color="auto" w:sz="4" w:space="0"/>
                    <w:right w:val="single" w:color="auto" w:sz="4" w:space="0"/>
                  </w:tcBorders>
                  <w:vAlign w:val="center"/>
                </w:tcPr>
                <w:p>
                  <w:pPr>
                    <w:pStyle w:val="34"/>
                    <w:rPr>
                      <w:szCs w:val="21"/>
                    </w:rPr>
                  </w:pPr>
                  <w:r>
                    <w:rPr>
                      <w:rFonts w:hint="eastAsia"/>
                      <w:szCs w:val="21"/>
                    </w:rPr>
                    <w:t>/</w:t>
                  </w:r>
                </w:p>
              </w:tc>
              <w:tc>
                <w:tcPr>
                  <w:tcW w:w="2267" w:type="dxa"/>
                  <w:tcBorders>
                    <w:left w:val="single" w:color="auto" w:sz="4" w:space="0"/>
                    <w:right w:val="single" w:color="auto" w:sz="4" w:space="0"/>
                  </w:tcBorders>
                  <w:vAlign w:val="center"/>
                </w:tcPr>
                <w:p>
                  <w:pPr>
                    <w:pStyle w:val="34"/>
                    <w:rPr>
                      <w:szCs w:val="21"/>
                    </w:rPr>
                  </w:pPr>
                  <w:r>
                    <w:rPr>
                      <w:rFonts w:hint="eastAsia"/>
                      <w:szCs w:val="21"/>
                    </w:rPr>
                    <w:t>20</w:t>
                  </w:r>
                </w:p>
              </w:tc>
              <w:tc>
                <w:tcPr>
                  <w:tcW w:w="1100" w:type="dxa"/>
                  <w:tcBorders>
                    <w:left w:val="single" w:color="auto" w:sz="4" w:space="0"/>
                    <w:right w:val="single" w:color="auto" w:sz="4" w:space="0"/>
                  </w:tcBorders>
                  <w:vAlign w:val="center"/>
                </w:tcPr>
                <w:p>
                  <w:pPr>
                    <w:pStyle w:val="3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60" w:type="dxa"/>
                  <w:gridSpan w:val="2"/>
                  <w:tcBorders>
                    <w:left w:val="single" w:color="auto" w:sz="4" w:space="0"/>
                    <w:right w:val="single" w:color="auto" w:sz="4" w:space="0"/>
                  </w:tcBorders>
                  <w:shd w:val="pct10" w:color="auto" w:fill="auto"/>
                  <w:vAlign w:val="center"/>
                </w:tcPr>
                <w:p>
                  <w:pPr>
                    <w:pStyle w:val="34"/>
                    <w:rPr>
                      <w:b/>
                      <w:szCs w:val="21"/>
                    </w:rPr>
                  </w:pPr>
                  <w:r>
                    <w:rPr>
                      <w:b/>
                      <w:szCs w:val="21"/>
                    </w:rPr>
                    <w:t>排放标准</w:t>
                  </w:r>
                </w:p>
              </w:tc>
              <w:tc>
                <w:tcPr>
                  <w:tcW w:w="2542" w:type="dxa"/>
                  <w:tcBorders>
                    <w:left w:val="single" w:color="auto" w:sz="4" w:space="0"/>
                    <w:right w:val="single" w:color="auto" w:sz="4" w:space="0"/>
                  </w:tcBorders>
                  <w:shd w:val="clear" w:color="auto" w:fill="auto"/>
                  <w:vAlign w:val="center"/>
                </w:tcPr>
                <w:p>
                  <w:pPr>
                    <w:pStyle w:val="34"/>
                    <w:rPr>
                      <w:szCs w:val="21"/>
                    </w:rPr>
                  </w:pPr>
                  <w:r>
                    <w:rPr>
                      <w:rFonts w:hint="eastAsia"/>
                      <w:szCs w:val="21"/>
                    </w:rPr>
                    <w:t>《大气污染物综合排放标准》（GB16297-1996）</w:t>
                  </w:r>
                </w:p>
              </w:tc>
              <w:tc>
                <w:tcPr>
                  <w:tcW w:w="2123" w:type="dxa"/>
                  <w:tcBorders>
                    <w:left w:val="single" w:color="auto" w:sz="4" w:space="0"/>
                    <w:right w:val="single" w:color="auto" w:sz="4" w:space="0"/>
                  </w:tcBorders>
                  <w:vAlign w:val="center"/>
                </w:tcPr>
                <w:p>
                  <w:pPr>
                    <w:pStyle w:val="34"/>
                    <w:rPr>
                      <w:szCs w:val="21"/>
                    </w:rPr>
                  </w:pPr>
                  <w:r>
                    <w:rPr>
                      <w:rFonts w:hint="eastAsia"/>
                      <w:szCs w:val="21"/>
                    </w:rPr>
                    <w:t>《挥发性有机物无组织排放控制标准》（GB37822-2019）</w:t>
                  </w:r>
                </w:p>
              </w:tc>
              <w:tc>
                <w:tcPr>
                  <w:tcW w:w="5492" w:type="dxa"/>
                  <w:gridSpan w:val="3"/>
                  <w:tcBorders>
                    <w:left w:val="single" w:color="auto" w:sz="4" w:space="0"/>
                    <w:right w:val="single" w:color="auto" w:sz="4" w:space="0"/>
                  </w:tcBorders>
                  <w:vAlign w:val="center"/>
                </w:tcPr>
                <w:p>
                  <w:pPr>
                    <w:pStyle w:val="34"/>
                    <w:rPr>
                      <w:szCs w:val="21"/>
                    </w:rPr>
                  </w:pPr>
                  <w:r>
                    <w:rPr>
                      <w:rFonts w:hint="eastAsia"/>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60" w:type="dxa"/>
                  <w:gridSpan w:val="2"/>
                  <w:tcBorders>
                    <w:left w:val="single" w:color="auto" w:sz="4" w:space="0"/>
                    <w:right w:val="single" w:color="auto" w:sz="4" w:space="0"/>
                  </w:tcBorders>
                  <w:shd w:val="pct10" w:color="auto" w:fill="auto"/>
                  <w:vAlign w:val="center"/>
                </w:tcPr>
                <w:p>
                  <w:pPr>
                    <w:pStyle w:val="34"/>
                    <w:rPr>
                      <w:b/>
                      <w:szCs w:val="21"/>
                    </w:rPr>
                  </w:pPr>
                  <w:r>
                    <w:rPr>
                      <w:b/>
                      <w:szCs w:val="21"/>
                    </w:rPr>
                    <w:t>是否达标</w:t>
                  </w:r>
                </w:p>
              </w:tc>
              <w:tc>
                <w:tcPr>
                  <w:tcW w:w="2542" w:type="dxa"/>
                  <w:tcBorders>
                    <w:left w:val="single" w:color="auto" w:sz="4" w:space="0"/>
                    <w:bottom w:val="single" w:color="auto" w:sz="4" w:space="0"/>
                    <w:right w:val="single" w:color="auto" w:sz="4" w:space="0"/>
                  </w:tcBorders>
                  <w:shd w:val="clear" w:color="auto" w:fill="auto"/>
                  <w:vAlign w:val="center"/>
                </w:tcPr>
                <w:p>
                  <w:pPr>
                    <w:pStyle w:val="34"/>
                    <w:rPr>
                      <w:szCs w:val="21"/>
                    </w:rPr>
                  </w:pPr>
                  <w:r>
                    <w:rPr>
                      <w:rFonts w:hint="eastAsia"/>
                      <w:szCs w:val="21"/>
                    </w:rPr>
                    <w:t>是</w:t>
                  </w:r>
                </w:p>
              </w:tc>
              <w:tc>
                <w:tcPr>
                  <w:tcW w:w="2123"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c>
                <w:tcPr>
                  <w:tcW w:w="2125"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c>
                <w:tcPr>
                  <w:tcW w:w="2267"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c>
                <w:tcPr>
                  <w:tcW w:w="1100"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r>
          </w:tbl>
          <w:p>
            <w:pPr>
              <w:ind w:firstLine="420"/>
            </w:pPr>
          </w:p>
        </w:tc>
      </w:tr>
    </w:tbl>
    <w:p>
      <w:pPr>
        <w:pStyle w:val="2"/>
        <w:sectPr>
          <w:pgSz w:w="16838" w:h="11906" w:orient="landscape"/>
          <w:pgMar w:top="1418" w:right="1418" w:bottom="1418" w:left="1418" w:header="851" w:footer="992" w:gutter="0"/>
          <w:pgNumType w:fmt="numberInDash"/>
          <w:cols w:space="425" w:num="1"/>
          <w:docGrid w:type="lines" w:linePitch="312" w:charSpace="0"/>
        </w:sectPr>
      </w:pP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5" w:hRule="atLeast"/>
        </w:trPr>
        <w:tc>
          <w:tcPr>
            <w:tcW w:w="760" w:type="dxa"/>
            <w:vAlign w:val="center"/>
          </w:tcPr>
          <w:p>
            <w:pPr>
              <w:pStyle w:val="34"/>
              <w:ind w:firstLine="482"/>
              <w:rPr>
                <w:sz w:val="24"/>
              </w:rPr>
            </w:pPr>
          </w:p>
        </w:tc>
        <w:tc>
          <w:tcPr>
            <w:tcW w:w="8526" w:type="dxa"/>
          </w:tcPr>
          <w:p>
            <w:pPr>
              <w:ind w:firstLine="480"/>
              <w:jc w:val="both"/>
              <w:rPr>
                <w:sz w:val="24"/>
                <w:szCs w:val="24"/>
              </w:rPr>
            </w:pPr>
            <w:bookmarkStart w:id="4" w:name="_Hlk108645086"/>
            <w:r>
              <w:rPr>
                <w:rFonts w:hint="eastAsia"/>
                <w:sz w:val="24"/>
                <w:szCs w:val="24"/>
              </w:rPr>
              <w:t>（2）废气源强分析</w:t>
            </w:r>
          </w:p>
          <w:p>
            <w:pPr>
              <w:ind w:firstLine="480"/>
              <w:jc w:val="both"/>
              <w:rPr>
                <w:sz w:val="24"/>
                <w:szCs w:val="24"/>
              </w:rPr>
            </w:pPr>
            <w:r>
              <w:rPr>
                <w:rFonts w:hint="eastAsia"/>
                <w:sz w:val="24"/>
                <w:szCs w:val="24"/>
              </w:rPr>
              <w:t>①废弃电器拆解废气</w:t>
            </w:r>
          </w:p>
          <w:p>
            <w:pPr>
              <w:ind w:firstLine="480"/>
              <w:jc w:val="both"/>
              <w:rPr>
                <w:sz w:val="24"/>
                <w:szCs w:val="24"/>
              </w:rPr>
            </w:pPr>
            <w:r>
              <w:rPr>
                <w:rFonts w:hint="eastAsia"/>
                <w:sz w:val="24"/>
                <w:szCs w:val="24"/>
              </w:rPr>
              <w:t>1）废弃电器拆解</w:t>
            </w:r>
          </w:p>
          <w:p>
            <w:pPr>
              <w:ind w:firstLine="480"/>
              <w:jc w:val="both"/>
              <w:rPr>
                <w:sz w:val="24"/>
                <w:szCs w:val="24"/>
              </w:rPr>
            </w:pPr>
            <w:r>
              <w:rPr>
                <w:rFonts w:hint="eastAsia"/>
                <w:sz w:val="24"/>
                <w:szCs w:val="24"/>
              </w:rPr>
              <w:t>根据《第二次全国污染源普查产排污量核实系数手册》“42 废弃资源综合利用行业系数手册”相关内容。本项目废弃电器拆解工段污染物产污系数及治理效率见表4-</w:t>
            </w:r>
            <w:r>
              <w:rPr>
                <w:sz w:val="24"/>
                <w:szCs w:val="24"/>
              </w:rPr>
              <w:t>3</w:t>
            </w:r>
            <w:r>
              <w:rPr>
                <w:rFonts w:hint="eastAsia"/>
                <w:sz w:val="24"/>
                <w:szCs w:val="24"/>
              </w:rPr>
              <w:t>。</w:t>
            </w:r>
          </w:p>
          <w:p>
            <w:pPr>
              <w:pStyle w:val="34"/>
              <w:rPr>
                <w:b/>
                <w:sz w:val="24"/>
              </w:rPr>
            </w:pPr>
            <w:r>
              <w:rPr>
                <w:rFonts w:hint="eastAsia"/>
                <w:b/>
                <w:sz w:val="24"/>
              </w:rPr>
              <w:t>表</w:t>
            </w:r>
            <w:r>
              <w:rPr>
                <w:b/>
                <w:sz w:val="24"/>
              </w:rPr>
              <w:t xml:space="preserve">4-3  </w:t>
            </w:r>
            <w:r>
              <w:rPr>
                <w:rFonts w:hint="eastAsia"/>
                <w:b/>
                <w:sz w:val="24"/>
              </w:rPr>
              <w:t>本项目废弃电器拆解污染物产污系数表</w:t>
            </w:r>
          </w:p>
          <w:tbl>
            <w:tblPr>
              <w:tblStyle w:val="21"/>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788"/>
              <w:gridCol w:w="1559"/>
              <w:gridCol w:w="1974"/>
              <w:gridCol w:w="1585"/>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454" w:hRule="atLeast"/>
                <w:tblHeader/>
              </w:trPr>
              <w:tc>
                <w:tcPr>
                  <w:tcW w:w="1788"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原料名称</w:t>
                  </w:r>
                </w:p>
              </w:tc>
              <w:tc>
                <w:tcPr>
                  <w:tcW w:w="1559"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工艺名称</w:t>
                  </w:r>
                </w:p>
              </w:tc>
              <w:tc>
                <w:tcPr>
                  <w:tcW w:w="1974"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污染物指标</w:t>
                  </w:r>
                </w:p>
              </w:tc>
              <w:tc>
                <w:tcPr>
                  <w:tcW w:w="1585"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系数单位</w:t>
                  </w:r>
                </w:p>
              </w:tc>
              <w:tc>
                <w:tcPr>
                  <w:tcW w:w="1394"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8" w:type="dxa"/>
                  <w:tcBorders>
                    <w:top w:val="single" w:color="auto" w:sz="4" w:space="0"/>
                    <w:left w:val="single" w:color="auto" w:sz="4" w:space="0"/>
                    <w:right w:val="single" w:color="auto" w:sz="4" w:space="0"/>
                  </w:tcBorders>
                  <w:shd w:val="clear" w:color="auto" w:fill="FFFFFF"/>
                  <w:vAlign w:val="center"/>
                </w:tcPr>
                <w:p>
                  <w:pPr>
                    <w:pStyle w:val="34"/>
                    <w:rPr>
                      <w:sz w:val="24"/>
                    </w:rPr>
                  </w:pPr>
                  <w:r>
                    <w:rPr>
                      <w:sz w:val="24"/>
                    </w:rPr>
                    <w:t>废电冰箱</w:t>
                  </w:r>
                </w:p>
              </w:tc>
              <w:tc>
                <w:tcPr>
                  <w:tcW w:w="1559" w:type="dxa"/>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冷媒抽取</w:t>
                  </w:r>
                </w:p>
                <w:p>
                  <w:pPr>
                    <w:pStyle w:val="34"/>
                    <w:rPr>
                      <w:sz w:val="24"/>
                    </w:rPr>
                  </w:pPr>
                  <w:r>
                    <w:rPr>
                      <w:rFonts w:hint="eastAsia"/>
                      <w:sz w:val="24"/>
                    </w:rPr>
                    <w:t>+拆解+破碎</w:t>
                  </w:r>
                </w:p>
              </w:tc>
              <w:tc>
                <w:tcPr>
                  <w:tcW w:w="1974" w:type="dxa"/>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颗粒物</w:t>
                  </w:r>
                </w:p>
              </w:tc>
              <w:tc>
                <w:tcPr>
                  <w:tcW w:w="1585" w:type="dxa"/>
                  <w:tcBorders>
                    <w:top w:val="single" w:color="auto" w:sz="4" w:space="0"/>
                    <w:left w:val="single" w:color="auto" w:sz="4" w:space="0"/>
                    <w:right w:val="single" w:color="auto" w:sz="4" w:space="0"/>
                  </w:tcBorders>
                  <w:shd w:val="clear" w:color="auto" w:fill="FFFFFF"/>
                  <w:vAlign w:val="center"/>
                </w:tcPr>
                <w:p>
                  <w:pPr>
                    <w:pStyle w:val="34"/>
                    <w:rPr>
                      <w:sz w:val="24"/>
                    </w:rPr>
                  </w:pPr>
                  <w:r>
                    <w:rPr>
                      <w:sz w:val="24"/>
                    </w:rPr>
                    <w:t>g</w:t>
                  </w:r>
                  <w:r>
                    <w:rPr>
                      <w:rFonts w:hint="eastAsia"/>
                      <w:sz w:val="24"/>
                    </w:rPr>
                    <w:t>/t-原料</w:t>
                  </w:r>
                </w:p>
              </w:tc>
              <w:tc>
                <w:tcPr>
                  <w:tcW w:w="1394" w:type="dxa"/>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废空调</w:t>
                  </w:r>
                </w:p>
              </w:tc>
              <w:tc>
                <w:tcPr>
                  <w:tcW w:w="1559" w:type="dxa"/>
                  <w:tcBorders>
                    <w:left w:val="single" w:color="auto" w:sz="4" w:space="0"/>
                    <w:right w:val="single" w:color="auto" w:sz="4" w:space="0"/>
                  </w:tcBorders>
                  <w:shd w:val="clear" w:color="auto" w:fill="FFFFFF"/>
                  <w:vAlign w:val="center"/>
                </w:tcPr>
                <w:p>
                  <w:pPr>
                    <w:pStyle w:val="34"/>
                    <w:rPr>
                      <w:sz w:val="24"/>
                    </w:rPr>
                  </w:pPr>
                  <w:r>
                    <w:rPr>
                      <w:rFonts w:hint="eastAsia"/>
                      <w:sz w:val="24"/>
                    </w:rPr>
                    <w:t>冷媒抽取</w:t>
                  </w:r>
                </w:p>
                <w:p>
                  <w:pPr>
                    <w:pStyle w:val="34"/>
                    <w:rPr>
                      <w:sz w:val="24"/>
                    </w:rPr>
                  </w:pPr>
                  <w:r>
                    <w:rPr>
                      <w:rFonts w:hint="eastAsia"/>
                      <w:sz w:val="24"/>
                    </w:rPr>
                    <w:t>+拆解</w:t>
                  </w:r>
                </w:p>
              </w:tc>
              <w:tc>
                <w:tcPr>
                  <w:tcW w:w="19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颗粒物</w:t>
                  </w:r>
                </w:p>
              </w:tc>
              <w:tc>
                <w:tcPr>
                  <w:tcW w:w="15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g</w:t>
                  </w:r>
                  <w:r>
                    <w:rPr>
                      <w:rFonts w:hint="eastAsia"/>
                      <w:sz w:val="24"/>
                    </w:rPr>
                    <w:t>/t-原料</w:t>
                  </w:r>
                </w:p>
              </w:tc>
              <w:tc>
                <w:tcPr>
                  <w:tcW w:w="139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废洗衣机</w:t>
                  </w:r>
                </w:p>
              </w:tc>
              <w:tc>
                <w:tcPr>
                  <w:tcW w:w="1559" w:type="dxa"/>
                  <w:tcBorders>
                    <w:left w:val="single" w:color="auto" w:sz="4" w:space="0"/>
                    <w:right w:val="single" w:color="auto" w:sz="4" w:space="0"/>
                  </w:tcBorders>
                  <w:shd w:val="clear" w:color="auto" w:fill="FFFFFF"/>
                  <w:vAlign w:val="center"/>
                </w:tcPr>
                <w:p>
                  <w:pPr>
                    <w:pStyle w:val="34"/>
                    <w:rPr>
                      <w:sz w:val="24"/>
                    </w:rPr>
                  </w:pPr>
                  <w:r>
                    <w:rPr>
                      <w:rFonts w:hint="eastAsia"/>
                      <w:sz w:val="24"/>
                    </w:rPr>
                    <w:t>拆解</w:t>
                  </w:r>
                </w:p>
              </w:tc>
              <w:tc>
                <w:tcPr>
                  <w:tcW w:w="19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颗粒物</w:t>
                  </w:r>
                </w:p>
              </w:tc>
              <w:tc>
                <w:tcPr>
                  <w:tcW w:w="15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g</w:t>
                  </w:r>
                  <w:r>
                    <w:rPr>
                      <w:rFonts w:hint="eastAsia"/>
                      <w:sz w:val="24"/>
                    </w:rPr>
                    <w:t>/t-原料</w:t>
                  </w:r>
                </w:p>
              </w:tc>
              <w:tc>
                <w:tcPr>
                  <w:tcW w:w="139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废</w:t>
                  </w:r>
                  <w:r>
                    <w:rPr>
                      <w:sz w:val="24"/>
                    </w:rPr>
                    <w:t>CRT</w:t>
                  </w:r>
                  <w:r>
                    <w:rPr>
                      <w:rFonts w:hint="eastAsia"/>
                      <w:sz w:val="24"/>
                    </w:rPr>
                    <w:t>电视机</w:t>
                  </w:r>
                </w:p>
              </w:tc>
              <w:tc>
                <w:tcPr>
                  <w:tcW w:w="1559" w:type="dxa"/>
                  <w:tcBorders>
                    <w:left w:val="single" w:color="auto" w:sz="4" w:space="0"/>
                    <w:right w:val="single" w:color="auto" w:sz="4" w:space="0"/>
                  </w:tcBorders>
                  <w:shd w:val="clear" w:color="auto" w:fill="FFFFFF"/>
                  <w:vAlign w:val="center"/>
                </w:tcPr>
                <w:p>
                  <w:pPr>
                    <w:pStyle w:val="34"/>
                    <w:rPr>
                      <w:sz w:val="24"/>
                    </w:rPr>
                  </w:pPr>
                  <w:r>
                    <w:rPr>
                      <w:rFonts w:hint="eastAsia"/>
                      <w:sz w:val="24"/>
                    </w:rPr>
                    <w:t>切割+拆解</w:t>
                  </w:r>
                </w:p>
              </w:tc>
              <w:tc>
                <w:tcPr>
                  <w:tcW w:w="19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颗粒物</w:t>
                  </w:r>
                </w:p>
              </w:tc>
              <w:tc>
                <w:tcPr>
                  <w:tcW w:w="15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g</w:t>
                  </w:r>
                  <w:r>
                    <w:rPr>
                      <w:rFonts w:hint="eastAsia"/>
                      <w:sz w:val="24"/>
                    </w:rPr>
                    <w:t>/t-原料</w:t>
                  </w:r>
                </w:p>
              </w:tc>
              <w:tc>
                <w:tcPr>
                  <w:tcW w:w="139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废液晶显示器及平板类产品</w:t>
                  </w:r>
                </w:p>
              </w:tc>
              <w:tc>
                <w:tcPr>
                  <w:tcW w:w="1559" w:type="dxa"/>
                  <w:tcBorders>
                    <w:left w:val="single" w:color="auto" w:sz="4" w:space="0"/>
                    <w:right w:val="single" w:color="auto" w:sz="4" w:space="0"/>
                  </w:tcBorders>
                  <w:shd w:val="clear" w:color="auto" w:fill="FFFFFF"/>
                  <w:vAlign w:val="center"/>
                </w:tcPr>
                <w:p>
                  <w:pPr>
                    <w:pStyle w:val="34"/>
                    <w:rPr>
                      <w:sz w:val="24"/>
                    </w:rPr>
                  </w:pPr>
                  <w:r>
                    <w:rPr>
                      <w:rFonts w:hint="eastAsia"/>
                      <w:sz w:val="24"/>
                    </w:rPr>
                    <w:t>拆解</w:t>
                  </w:r>
                </w:p>
              </w:tc>
              <w:tc>
                <w:tcPr>
                  <w:tcW w:w="19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颗粒物</w:t>
                  </w:r>
                </w:p>
              </w:tc>
              <w:tc>
                <w:tcPr>
                  <w:tcW w:w="15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g</w:t>
                  </w:r>
                  <w:r>
                    <w:rPr>
                      <w:rFonts w:hint="eastAsia"/>
                      <w:sz w:val="24"/>
                    </w:rPr>
                    <w:t>/t-原料</w:t>
                  </w:r>
                </w:p>
              </w:tc>
              <w:tc>
                <w:tcPr>
                  <w:tcW w:w="139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小型消费类电器电子产品</w:t>
                  </w:r>
                </w:p>
              </w:tc>
              <w:tc>
                <w:tcPr>
                  <w:tcW w:w="1559" w:type="dxa"/>
                  <w:tcBorders>
                    <w:left w:val="single" w:color="auto" w:sz="4" w:space="0"/>
                    <w:right w:val="single" w:color="auto" w:sz="4" w:space="0"/>
                  </w:tcBorders>
                  <w:shd w:val="clear" w:color="auto" w:fill="FFFFFF"/>
                  <w:vAlign w:val="center"/>
                </w:tcPr>
                <w:p>
                  <w:pPr>
                    <w:pStyle w:val="34"/>
                    <w:rPr>
                      <w:sz w:val="24"/>
                    </w:rPr>
                  </w:pPr>
                  <w:r>
                    <w:rPr>
                      <w:rFonts w:hint="eastAsia"/>
                      <w:sz w:val="24"/>
                    </w:rPr>
                    <w:t>拆解</w:t>
                  </w:r>
                </w:p>
              </w:tc>
              <w:tc>
                <w:tcPr>
                  <w:tcW w:w="197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颗粒物</w:t>
                  </w:r>
                </w:p>
              </w:tc>
              <w:tc>
                <w:tcPr>
                  <w:tcW w:w="15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g</w:t>
                  </w:r>
                  <w:r>
                    <w:rPr>
                      <w:rFonts w:hint="eastAsia"/>
                      <w:sz w:val="24"/>
                    </w:rPr>
                    <w:t>/t-原料</w:t>
                  </w:r>
                </w:p>
              </w:tc>
              <w:tc>
                <w:tcPr>
                  <w:tcW w:w="139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13.4</w:t>
                  </w:r>
                </w:p>
              </w:tc>
            </w:tr>
          </w:tbl>
          <w:p>
            <w:pPr>
              <w:pStyle w:val="34"/>
              <w:ind w:firstLine="482"/>
              <w:rPr>
                <w:b/>
                <w:sz w:val="24"/>
              </w:rPr>
            </w:pPr>
            <w:r>
              <w:rPr>
                <w:rFonts w:hint="eastAsia"/>
                <w:b/>
                <w:sz w:val="24"/>
              </w:rPr>
              <w:t>表</w:t>
            </w:r>
            <w:r>
              <w:rPr>
                <w:b/>
                <w:sz w:val="24"/>
              </w:rPr>
              <w:t xml:space="preserve">4-4  </w:t>
            </w:r>
            <w:r>
              <w:rPr>
                <w:rFonts w:hint="eastAsia"/>
                <w:b/>
                <w:sz w:val="24"/>
              </w:rPr>
              <w:t>本项目废弃电器年拆解量</w:t>
            </w:r>
          </w:p>
          <w:tbl>
            <w:tblPr>
              <w:tblStyle w:val="21"/>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152"/>
              <w:gridCol w:w="1761"/>
              <w:gridCol w:w="1985"/>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397" w:hRule="atLeast"/>
                <w:tblHeader/>
              </w:trPr>
              <w:tc>
                <w:tcPr>
                  <w:tcW w:w="2152"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原料名称</w:t>
                  </w:r>
                </w:p>
              </w:tc>
              <w:tc>
                <w:tcPr>
                  <w:tcW w:w="1761"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年拆解量（台）</w:t>
                  </w:r>
                </w:p>
              </w:tc>
              <w:tc>
                <w:tcPr>
                  <w:tcW w:w="1985"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单台平均重量（kg）</w:t>
                  </w:r>
                </w:p>
              </w:tc>
              <w:tc>
                <w:tcPr>
                  <w:tcW w:w="2402"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被</w:t>
                  </w:r>
                  <w:r>
                    <w:rPr>
                      <w:b/>
                      <w:sz w:val="24"/>
                    </w:rPr>
                    <w:t>拆解</w:t>
                  </w:r>
                  <w:r>
                    <w:rPr>
                      <w:rFonts w:hint="eastAsia"/>
                      <w:b/>
                      <w:sz w:val="24"/>
                    </w:rPr>
                    <w:t>电器</w:t>
                  </w:r>
                  <w:r>
                    <w:rPr>
                      <w:b/>
                      <w:sz w:val="24"/>
                    </w:rPr>
                    <w:t>重量</w:t>
                  </w:r>
                  <w:r>
                    <w:rPr>
                      <w:rFonts w:hint="eastAsia"/>
                      <w:b/>
                      <w:sz w:val="24"/>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2152" w:type="dxa"/>
                  <w:tcBorders>
                    <w:top w:val="single" w:color="auto" w:sz="4" w:space="0"/>
                    <w:left w:val="single" w:color="auto" w:sz="4" w:space="0"/>
                    <w:right w:val="single" w:color="auto" w:sz="4" w:space="0"/>
                  </w:tcBorders>
                  <w:shd w:val="clear" w:color="auto" w:fill="FFFFFF"/>
                  <w:vAlign w:val="center"/>
                </w:tcPr>
                <w:p>
                  <w:pPr>
                    <w:pStyle w:val="34"/>
                    <w:rPr>
                      <w:sz w:val="24"/>
                    </w:rPr>
                  </w:pPr>
                  <w:r>
                    <w:rPr>
                      <w:sz w:val="24"/>
                    </w:rPr>
                    <w:t>废电冰箱</w:t>
                  </w:r>
                </w:p>
              </w:tc>
              <w:tc>
                <w:tcPr>
                  <w:tcW w:w="1761" w:type="dxa"/>
                  <w:tcBorders>
                    <w:top w:val="single" w:color="auto" w:sz="4" w:space="0"/>
                    <w:left w:val="single" w:color="auto" w:sz="4" w:space="0"/>
                    <w:right w:val="single" w:color="auto" w:sz="4" w:space="0"/>
                  </w:tcBorders>
                  <w:shd w:val="clear" w:color="auto" w:fill="FFFFFF"/>
                  <w:vAlign w:val="center"/>
                </w:tcPr>
                <w:p>
                  <w:pPr>
                    <w:pStyle w:val="34"/>
                    <w:rPr>
                      <w:sz w:val="24"/>
                    </w:rPr>
                  </w:pPr>
                  <w:r>
                    <w:rPr>
                      <w:sz w:val="24"/>
                    </w:rPr>
                    <w:t>5</w:t>
                  </w:r>
                  <w:r>
                    <w:rPr>
                      <w:rFonts w:hint="eastAsia"/>
                      <w:sz w:val="24"/>
                    </w:rPr>
                    <w:t>000</w:t>
                  </w:r>
                </w:p>
              </w:tc>
              <w:tc>
                <w:tcPr>
                  <w:tcW w:w="1985" w:type="dxa"/>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60</w:t>
                  </w:r>
                </w:p>
              </w:tc>
              <w:tc>
                <w:tcPr>
                  <w:tcW w:w="2402" w:type="dxa"/>
                  <w:tcBorders>
                    <w:top w:val="single" w:color="auto" w:sz="4" w:space="0"/>
                    <w:left w:val="single" w:color="auto" w:sz="4" w:space="0"/>
                    <w:right w:val="single" w:color="auto" w:sz="4" w:space="0"/>
                  </w:tcBorders>
                  <w:shd w:val="clear" w:color="auto" w:fill="FFFFFF"/>
                  <w:vAlign w:val="center"/>
                </w:tcPr>
                <w:p>
                  <w:pPr>
                    <w:pStyle w:val="34"/>
                    <w:rPr>
                      <w:rFonts w:eastAsiaTheme="minorHAnsi"/>
                      <w:sz w:val="24"/>
                    </w:rPr>
                  </w:pPr>
                  <w:r>
                    <w:rPr>
                      <w:rFonts w:eastAsiaTheme="minorHAnsi"/>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215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废空调</w:t>
                  </w:r>
                </w:p>
              </w:tc>
              <w:tc>
                <w:tcPr>
                  <w:tcW w:w="1761" w:type="dxa"/>
                  <w:tcBorders>
                    <w:left w:val="single" w:color="auto" w:sz="4" w:space="0"/>
                    <w:right w:val="single" w:color="auto" w:sz="4" w:space="0"/>
                  </w:tcBorders>
                  <w:shd w:val="clear" w:color="auto" w:fill="FFFFFF"/>
                  <w:vAlign w:val="center"/>
                </w:tcPr>
                <w:p>
                  <w:pPr>
                    <w:pStyle w:val="34"/>
                    <w:rPr>
                      <w:sz w:val="24"/>
                    </w:rPr>
                  </w:pPr>
                  <w:r>
                    <w:rPr>
                      <w:sz w:val="24"/>
                    </w:rPr>
                    <w:t>80</w:t>
                  </w:r>
                  <w:r>
                    <w:rPr>
                      <w:rFonts w:hint="eastAsia"/>
                      <w:sz w:val="24"/>
                    </w:rPr>
                    <w:t>00</w:t>
                  </w:r>
                </w:p>
              </w:tc>
              <w:tc>
                <w:tcPr>
                  <w:tcW w:w="19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50</w:t>
                  </w:r>
                </w:p>
              </w:tc>
              <w:tc>
                <w:tcPr>
                  <w:tcW w:w="24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rFonts w:eastAsiaTheme="minorHAnsi"/>
                      <w:sz w:val="24"/>
                    </w:rPr>
                  </w:pPr>
                  <w:r>
                    <w:rPr>
                      <w:rFonts w:eastAsiaTheme="minorHAnsi"/>
                      <w:sz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215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废洗衣机</w:t>
                  </w:r>
                </w:p>
              </w:tc>
              <w:tc>
                <w:tcPr>
                  <w:tcW w:w="1761" w:type="dxa"/>
                  <w:tcBorders>
                    <w:left w:val="single" w:color="auto" w:sz="4" w:space="0"/>
                    <w:right w:val="single" w:color="auto" w:sz="4" w:space="0"/>
                  </w:tcBorders>
                  <w:shd w:val="clear" w:color="auto" w:fill="FFFFFF"/>
                  <w:vAlign w:val="center"/>
                </w:tcPr>
                <w:p>
                  <w:pPr>
                    <w:pStyle w:val="34"/>
                    <w:rPr>
                      <w:sz w:val="24"/>
                    </w:rPr>
                  </w:pPr>
                  <w:r>
                    <w:rPr>
                      <w:sz w:val="24"/>
                    </w:rPr>
                    <w:t>5</w:t>
                  </w:r>
                  <w:r>
                    <w:rPr>
                      <w:rFonts w:hint="eastAsia"/>
                      <w:sz w:val="24"/>
                    </w:rPr>
                    <w:t>000</w:t>
                  </w:r>
                </w:p>
              </w:tc>
              <w:tc>
                <w:tcPr>
                  <w:tcW w:w="19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40</w:t>
                  </w:r>
                </w:p>
              </w:tc>
              <w:tc>
                <w:tcPr>
                  <w:tcW w:w="24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rFonts w:eastAsiaTheme="minorHAnsi"/>
                      <w:sz w:val="24"/>
                    </w:rPr>
                  </w:pPr>
                  <w:r>
                    <w:rPr>
                      <w:rFonts w:eastAsiaTheme="minorHAnsi"/>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215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废CRT电视机、CRT电脑显示器</w:t>
                  </w:r>
                </w:p>
              </w:tc>
              <w:tc>
                <w:tcPr>
                  <w:tcW w:w="1761" w:type="dxa"/>
                  <w:tcBorders>
                    <w:left w:val="single" w:color="auto" w:sz="4" w:space="0"/>
                    <w:right w:val="single" w:color="auto" w:sz="4" w:space="0"/>
                  </w:tcBorders>
                  <w:shd w:val="clear" w:color="auto" w:fill="FFFFFF"/>
                  <w:vAlign w:val="center"/>
                </w:tcPr>
                <w:p>
                  <w:pPr>
                    <w:pStyle w:val="34"/>
                    <w:rPr>
                      <w:sz w:val="24"/>
                    </w:rPr>
                  </w:pPr>
                  <w:r>
                    <w:rPr>
                      <w:sz w:val="24"/>
                    </w:rPr>
                    <w:t>6</w:t>
                  </w:r>
                  <w:r>
                    <w:rPr>
                      <w:rFonts w:hint="eastAsia"/>
                      <w:sz w:val="24"/>
                    </w:rPr>
                    <w:t>000</w:t>
                  </w:r>
                </w:p>
              </w:tc>
              <w:tc>
                <w:tcPr>
                  <w:tcW w:w="19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18</w:t>
                  </w:r>
                </w:p>
              </w:tc>
              <w:tc>
                <w:tcPr>
                  <w:tcW w:w="24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rFonts w:eastAsiaTheme="minorHAnsi"/>
                      <w:sz w:val="24"/>
                    </w:rPr>
                  </w:pPr>
                  <w:r>
                    <w:rPr>
                      <w:rFonts w:eastAsiaTheme="minorHAnsi"/>
                      <w:sz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215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废液晶显示器</w:t>
                  </w:r>
                </w:p>
              </w:tc>
              <w:tc>
                <w:tcPr>
                  <w:tcW w:w="1761" w:type="dxa"/>
                  <w:tcBorders>
                    <w:left w:val="single" w:color="auto" w:sz="4" w:space="0"/>
                    <w:right w:val="single" w:color="auto" w:sz="4" w:space="0"/>
                  </w:tcBorders>
                  <w:shd w:val="clear" w:color="auto" w:fill="FFFFFF"/>
                  <w:vAlign w:val="center"/>
                </w:tcPr>
                <w:p>
                  <w:pPr>
                    <w:pStyle w:val="34"/>
                    <w:rPr>
                      <w:sz w:val="24"/>
                    </w:rPr>
                  </w:pPr>
                  <w:r>
                    <w:rPr>
                      <w:sz w:val="24"/>
                    </w:rPr>
                    <w:t>5</w:t>
                  </w:r>
                  <w:r>
                    <w:rPr>
                      <w:rFonts w:hint="eastAsia"/>
                      <w:sz w:val="24"/>
                    </w:rPr>
                    <w:t>000</w:t>
                  </w:r>
                </w:p>
              </w:tc>
              <w:tc>
                <w:tcPr>
                  <w:tcW w:w="19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3</w:t>
                  </w:r>
                </w:p>
              </w:tc>
              <w:tc>
                <w:tcPr>
                  <w:tcW w:w="24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rFonts w:eastAsiaTheme="minorHAnsi"/>
                      <w:sz w:val="24"/>
                    </w:rPr>
                  </w:pPr>
                  <w:r>
                    <w:rPr>
                      <w:rFonts w:eastAsiaTheme="minorHAnsi"/>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215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电脑主机</w:t>
                  </w:r>
                </w:p>
              </w:tc>
              <w:tc>
                <w:tcPr>
                  <w:tcW w:w="1761" w:type="dxa"/>
                  <w:tcBorders>
                    <w:left w:val="single" w:color="auto" w:sz="4" w:space="0"/>
                    <w:right w:val="single" w:color="auto" w:sz="4" w:space="0"/>
                  </w:tcBorders>
                  <w:shd w:val="clear" w:color="auto" w:fill="FFFFFF"/>
                  <w:vAlign w:val="center"/>
                </w:tcPr>
                <w:p>
                  <w:pPr>
                    <w:pStyle w:val="34"/>
                    <w:rPr>
                      <w:sz w:val="24"/>
                    </w:rPr>
                  </w:pPr>
                  <w:r>
                    <w:rPr>
                      <w:sz w:val="24"/>
                    </w:rPr>
                    <w:t>8</w:t>
                  </w:r>
                  <w:r>
                    <w:rPr>
                      <w:rFonts w:hint="eastAsia"/>
                      <w:sz w:val="24"/>
                    </w:rPr>
                    <w:t>000</w:t>
                  </w:r>
                </w:p>
              </w:tc>
              <w:tc>
                <w:tcPr>
                  <w:tcW w:w="19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10</w:t>
                  </w:r>
                </w:p>
              </w:tc>
              <w:tc>
                <w:tcPr>
                  <w:tcW w:w="24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rFonts w:eastAsiaTheme="minorHAnsi"/>
                      <w:sz w:val="24"/>
                    </w:rPr>
                  </w:pPr>
                  <w:r>
                    <w:rPr>
                      <w:rFonts w:eastAsiaTheme="minorHAnsi"/>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5898"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合计</w:t>
                  </w:r>
                </w:p>
              </w:tc>
              <w:tc>
                <w:tcPr>
                  <w:tcW w:w="24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rFonts w:eastAsiaTheme="minorHAnsi"/>
                      <w:sz w:val="24"/>
                    </w:rPr>
                  </w:pPr>
                  <w:r>
                    <w:rPr>
                      <w:rFonts w:hint="eastAsia" w:eastAsiaTheme="minorHAnsi"/>
                      <w:sz w:val="24"/>
                    </w:rPr>
                    <w:t>1103</w:t>
                  </w:r>
                </w:p>
              </w:tc>
            </w:tr>
          </w:tbl>
          <w:p>
            <w:pPr>
              <w:ind w:firstLine="480"/>
              <w:jc w:val="both"/>
              <w:rPr>
                <w:sz w:val="24"/>
                <w:szCs w:val="24"/>
              </w:rPr>
            </w:pPr>
            <w:r>
              <w:rPr>
                <w:rFonts w:hint="eastAsia"/>
                <w:sz w:val="24"/>
                <w:szCs w:val="24"/>
              </w:rPr>
              <w:t>参考《第二次全国污染源普查产排污量核实系数手册》中产污系数进行计算，废弃电器拆解工段年污染物产生量见表4-5。</w:t>
            </w:r>
          </w:p>
          <w:p>
            <w:pPr>
              <w:pStyle w:val="34"/>
              <w:ind w:firstLine="482"/>
              <w:rPr>
                <w:b/>
                <w:sz w:val="24"/>
              </w:rPr>
            </w:pPr>
            <w:r>
              <w:rPr>
                <w:rFonts w:hint="eastAsia"/>
                <w:b/>
                <w:sz w:val="24"/>
              </w:rPr>
              <w:t>表</w:t>
            </w:r>
            <w:r>
              <w:rPr>
                <w:b/>
                <w:sz w:val="24"/>
              </w:rPr>
              <w:t xml:space="preserve">4-5  </w:t>
            </w:r>
            <w:r>
              <w:rPr>
                <w:rFonts w:hint="eastAsia"/>
                <w:b/>
                <w:sz w:val="24"/>
              </w:rPr>
              <w:t>本项目废弃电器拆解工段污染物产生量</w:t>
            </w:r>
          </w:p>
          <w:tbl>
            <w:tblPr>
              <w:tblStyle w:val="21"/>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787"/>
              <w:gridCol w:w="1559"/>
              <w:gridCol w:w="1277"/>
              <w:gridCol w:w="1731"/>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454" w:hRule="atLeast"/>
                <w:tblHeader/>
              </w:trPr>
              <w:tc>
                <w:tcPr>
                  <w:tcW w:w="1787"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原料名称</w:t>
                  </w:r>
                </w:p>
              </w:tc>
              <w:tc>
                <w:tcPr>
                  <w:tcW w:w="1559"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拆解电器重量</w:t>
                  </w:r>
                </w:p>
                <w:p>
                  <w:pPr>
                    <w:pStyle w:val="34"/>
                    <w:rPr>
                      <w:b/>
                      <w:sz w:val="24"/>
                    </w:rPr>
                  </w:pPr>
                  <w:r>
                    <w:rPr>
                      <w:rFonts w:hint="eastAsia"/>
                      <w:b/>
                      <w:sz w:val="24"/>
                    </w:rPr>
                    <w:t>（t）</w:t>
                  </w:r>
                </w:p>
              </w:tc>
              <w:tc>
                <w:tcPr>
                  <w:tcW w:w="1277"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污染物名称</w:t>
                  </w:r>
                </w:p>
              </w:tc>
              <w:tc>
                <w:tcPr>
                  <w:tcW w:w="1731"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产污系数</w:t>
                  </w:r>
                </w:p>
                <w:p>
                  <w:pPr>
                    <w:pStyle w:val="34"/>
                    <w:rPr>
                      <w:b/>
                      <w:sz w:val="24"/>
                    </w:rPr>
                  </w:pPr>
                  <w:r>
                    <w:rPr>
                      <w:rFonts w:hint="eastAsia"/>
                      <w:b/>
                      <w:sz w:val="24"/>
                    </w:rPr>
                    <w:t>（g/t-原料）</w:t>
                  </w:r>
                </w:p>
              </w:tc>
              <w:tc>
                <w:tcPr>
                  <w:tcW w:w="1946"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污染物产生量</w:t>
                  </w:r>
                </w:p>
                <w:p>
                  <w:pPr>
                    <w:pStyle w:val="34"/>
                    <w:rPr>
                      <w:b/>
                      <w:sz w:val="24"/>
                    </w:rPr>
                  </w:pPr>
                  <w:r>
                    <w:rPr>
                      <w:rFonts w:hint="eastAsia"/>
                      <w:b/>
                      <w:sz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7" w:type="dxa"/>
                  <w:tcBorders>
                    <w:top w:val="single" w:color="auto" w:sz="4" w:space="0"/>
                    <w:left w:val="single" w:color="auto" w:sz="4" w:space="0"/>
                    <w:right w:val="single" w:color="auto" w:sz="4" w:space="0"/>
                  </w:tcBorders>
                  <w:shd w:val="clear" w:color="auto" w:fill="FFFFFF"/>
                  <w:vAlign w:val="center"/>
                </w:tcPr>
                <w:p>
                  <w:pPr>
                    <w:pStyle w:val="34"/>
                    <w:rPr>
                      <w:sz w:val="24"/>
                    </w:rPr>
                  </w:pPr>
                  <w:r>
                    <w:rPr>
                      <w:sz w:val="24"/>
                    </w:rPr>
                    <w:t>废电冰箱</w:t>
                  </w:r>
                </w:p>
              </w:tc>
              <w:tc>
                <w:tcPr>
                  <w:tcW w:w="1559" w:type="dxa"/>
                  <w:tcBorders>
                    <w:top w:val="single" w:color="auto" w:sz="4" w:space="0"/>
                    <w:left w:val="single" w:color="auto" w:sz="4" w:space="0"/>
                    <w:right w:val="single" w:color="auto" w:sz="4" w:space="0"/>
                  </w:tcBorders>
                  <w:shd w:val="clear" w:color="auto" w:fill="FFFFFF"/>
                  <w:vAlign w:val="center"/>
                </w:tcPr>
                <w:p>
                  <w:pPr>
                    <w:pStyle w:val="34"/>
                    <w:rPr>
                      <w:sz w:val="24"/>
                    </w:rPr>
                  </w:pPr>
                  <w:r>
                    <w:rPr>
                      <w:rFonts w:eastAsiaTheme="minorHAnsi"/>
                      <w:sz w:val="24"/>
                    </w:rPr>
                    <w:t>300</w:t>
                  </w:r>
                </w:p>
              </w:tc>
              <w:tc>
                <w:tcPr>
                  <w:tcW w:w="1277" w:type="dxa"/>
                  <w:vMerge w:val="restart"/>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颗粒物</w:t>
                  </w:r>
                </w:p>
              </w:tc>
              <w:tc>
                <w:tcPr>
                  <w:tcW w:w="1731" w:type="dxa"/>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1112</w:t>
                  </w:r>
                </w:p>
              </w:tc>
              <w:tc>
                <w:tcPr>
                  <w:tcW w:w="1946" w:type="dxa"/>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0.</w:t>
                  </w:r>
                  <w:r>
                    <w:rPr>
                      <w:sz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废空调</w:t>
                  </w:r>
                </w:p>
              </w:tc>
              <w:tc>
                <w:tcPr>
                  <w:tcW w:w="1559" w:type="dxa"/>
                  <w:tcBorders>
                    <w:left w:val="single" w:color="auto" w:sz="4" w:space="0"/>
                    <w:right w:val="single" w:color="auto" w:sz="4" w:space="0"/>
                  </w:tcBorders>
                  <w:shd w:val="clear" w:color="auto" w:fill="FFFFFF"/>
                  <w:vAlign w:val="center"/>
                </w:tcPr>
                <w:p>
                  <w:pPr>
                    <w:pStyle w:val="34"/>
                    <w:rPr>
                      <w:sz w:val="24"/>
                    </w:rPr>
                  </w:pPr>
                  <w:r>
                    <w:rPr>
                      <w:rFonts w:eastAsiaTheme="minorHAnsi"/>
                      <w:sz w:val="24"/>
                    </w:rPr>
                    <w:t>400</w:t>
                  </w:r>
                </w:p>
              </w:tc>
              <w:tc>
                <w:tcPr>
                  <w:tcW w:w="1277" w:type="dxa"/>
                  <w:vMerge w:val="continue"/>
                  <w:tcBorders>
                    <w:left w:val="single" w:color="auto" w:sz="4" w:space="0"/>
                    <w:right w:val="single" w:color="auto" w:sz="4" w:space="0"/>
                  </w:tcBorders>
                  <w:shd w:val="clear" w:color="auto" w:fill="FFFFFF"/>
                  <w:vAlign w:val="center"/>
                </w:tcPr>
                <w:p>
                  <w:pPr>
                    <w:pStyle w:val="34"/>
                    <w:rPr>
                      <w:sz w:val="24"/>
                    </w:rPr>
                  </w:pPr>
                </w:p>
              </w:tc>
              <w:tc>
                <w:tcPr>
                  <w:tcW w:w="173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16.8</w:t>
                  </w:r>
                </w:p>
              </w:tc>
              <w:tc>
                <w:tcPr>
                  <w:tcW w:w="19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0.0</w:t>
                  </w: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废洗衣机</w:t>
                  </w:r>
                </w:p>
              </w:tc>
              <w:tc>
                <w:tcPr>
                  <w:tcW w:w="1559" w:type="dxa"/>
                  <w:tcBorders>
                    <w:left w:val="single" w:color="auto" w:sz="4" w:space="0"/>
                    <w:right w:val="single" w:color="auto" w:sz="4" w:space="0"/>
                  </w:tcBorders>
                  <w:shd w:val="clear" w:color="auto" w:fill="FFFFFF"/>
                  <w:vAlign w:val="center"/>
                </w:tcPr>
                <w:p>
                  <w:pPr>
                    <w:pStyle w:val="34"/>
                    <w:rPr>
                      <w:sz w:val="24"/>
                    </w:rPr>
                  </w:pPr>
                  <w:r>
                    <w:rPr>
                      <w:rFonts w:eastAsiaTheme="minorHAnsi"/>
                      <w:sz w:val="24"/>
                    </w:rPr>
                    <w:t>200</w:t>
                  </w:r>
                </w:p>
              </w:tc>
              <w:tc>
                <w:tcPr>
                  <w:tcW w:w="1277" w:type="dxa"/>
                  <w:vMerge w:val="continue"/>
                  <w:tcBorders>
                    <w:left w:val="single" w:color="auto" w:sz="4" w:space="0"/>
                    <w:right w:val="single" w:color="auto" w:sz="4" w:space="0"/>
                  </w:tcBorders>
                  <w:shd w:val="clear" w:color="auto" w:fill="FFFFFF"/>
                  <w:vAlign w:val="center"/>
                </w:tcPr>
                <w:p>
                  <w:pPr>
                    <w:pStyle w:val="34"/>
                    <w:rPr>
                      <w:sz w:val="24"/>
                    </w:rPr>
                  </w:pPr>
                </w:p>
              </w:tc>
              <w:tc>
                <w:tcPr>
                  <w:tcW w:w="173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16.8</w:t>
                  </w:r>
                </w:p>
              </w:tc>
              <w:tc>
                <w:tcPr>
                  <w:tcW w:w="19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0.00</w:t>
                  </w:r>
                  <w:r>
                    <w:rPr>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废CRT电视机、CRT电脑显示器</w:t>
                  </w:r>
                </w:p>
              </w:tc>
              <w:tc>
                <w:tcPr>
                  <w:tcW w:w="1559" w:type="dxa"/>
                  <w:tcBorders>
                    <w:left w:val="single" w:color="auto" w:sz="4" w:space="0"/>
                    <w:right w:val="single" w:color="auto" w:sz="4" w:space="0"/>
                  </w:tcBorders>
                  <w:shd w:val="clear" w:color="auto" w:fill="FFFFFF"/>
                  <w:vAlign w:val="center"/>
                </w:tcPr>
                <w:p>
                  <w:pPr>
                    <w:pStyle w:val="34"/>
                    <w:rPr>
                      <w:sz w:val="24"/>
                    </w:rPr>
                  </w:pPr>
                  <w:r>
                    <w:rPr>
                      <w:rFonts w:eastAsiaTheme="minorHAnsi"/>
                      <w:sz w:val="24"/>
                    </w:rPr>
                    <w:t>108</w:t>
                  </w:r>
                </w:p>
              </w:tc>
              <w:tc>
                <w:tcPr>
                  <w:tcW w:w="1277" w:type="dxa"/>
                  <w:vMerge w:val="continue"/>
                  <w:tcBorders>
                    <w:left w:val="single" w:color="auto" w:sz="4" w:space="0"/>
                    <w:right w:val="single" w:color="auto" w:sz="4" w:space="0"/>
                  </w:tcBorders>
                  <w:shd w:val="clear" w:color="auto" w:fill="FFFFFF"/>
                  <w:vAlign w:val="center"/>
                </w:tcPr>
                <w:p>
                  <w:pPr>
                    <w:pStyle w:val="34"/>
                    <w:rPr>
                      <w:sz w:val="24"/>
                    </w:rPr>
                  </w:pPr>
                </w:p>
              </w:tc>
              <w:tc>
                <w:tcPr>
                  <w:tcW w:w="173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3500</w:t>
                  </w:r>
                </w:p>
              </w:tc>
              <w:tc>
                <w:tcPr>
                  <w:tcW w:w="19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废液晶显示器</w:t>
                  </w:r>
                </w:p>
              </w:tc>
              <w:tc>
                <w:tcPr>
                  <w:tcW w:w="1559" w:type="dxa"/>
                  <w:tcBorders>
                    <w:left w:val="single" w:color="auto" w:sz="4" w:space="0"/>
                    <w:right w:val="single" w:color="auto" w:sz="4" w:space="0"/>
                  </w:tcBorders>
                  <w:shd w:val="clear" w:color="auto" w:fill="FFFFFF"/>
                  <w:vAlign w:val="center"/>
                </w:tcPr>
                <w:p>
                  <w:pPr>
                    <w:pStyle w:val="34"/>
                    <w:rPr>
                      <w:sz w:val="24"/>
                    </w:rPr>
                  </w:pPr>
                  <w:r>
                    <w:rPr>
                      <w:rFonts w:eastAsiaTheme="minorHAnsi"/>
                      <w:sz w:val="24"/>
                    </w:rPr>
                    <w:t>15</w:t>
                  </w:r>
                </w:p>
              </w:tc>
              <w:tc>
                <w:tcPr>
                  <w:tcW w:w="1277" w:type="dxa"/>
                  <w:vMerge w:val="continue"/>
                  <w:tcBorders>
                    <w:left w:val="single" w:color="auto" w:sz="4" w:space="0"/>
                    <w:right w:val="single" w:color="auto" w:sz="4" w:space="0"/>
                  </w:tcBorders>
                  <w:shd w:val="clear" w:color="auto" w:fill="FFFFFF"/>
                  <w:vAlign w:val="center"/>
                </w:tcPr>
                <w:p>
                  <w:pPr>
                    <w:pStyle w:val="34"/>
                    <w:rPr>
                      <w:sz w:val="24"/>
                    </w:rPr>
                  </w:pPr>
                </w:p>
              </w:tc>
              <w:tc>
                <w:tcPr>
                  <w:tcW w:w="173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16.8</w:t>
                  </w:r>
                </w:p>
              </w:tc>
              <w:tc>
                <w:tcPr>
                  <w:tcW w:w="19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0.00</w:t>
                  </w:r>
                  <w:r>
                    <w:rPr>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78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电脑主机</w:t>
                  </w:r>
                </w:p>
              </w:tc>
              <w:tc>
                <w:tcPr>
                  <w:tcW w:w="1559" w:type="dxa"/>
                  <w:tcBorders>
                    <w:left w:val="single" w:color="auto" w:sz="4" w:space="0"/>
                    <w:right w:val="single" w:color="auto" w:sz="4" w:space="0"/>
                  </w:tcBorders>
                  <w:shd w:val="clear" w:color="auto" w:fill="FFFFFF"/>
                  <w:vAlign w:val="center"/>
                </w:tcPr>
                <w:p>
                  <w:pPr>
                    <w:pStyle w:val="34"/>
                    <w:rPr>
                      <w:sz w:val="24"/>
                    </w:rPr>
                  </w:pPr>
                  <w:r>
                    <w:rPr>
                      <w:rFonts w:eastAsiaTheme="minorHAnsi"/>
                      <w:sz w:val="24"/>
                    </w:rPr>
                    <w:t>80</w:t>
                  </w:r>
                </w:p>
              </w:tc>
              <w:tc>
                <w:tcPr>
                  <w:tcW w:w="1277" w:type="dxa"/>
                  <w:vMerge w:val="continue"/>
                  <w:tcBorders>
                    <w:left w:val="single" w:color="auto" w:sz="4" w:space="0"/>
                    <w:right w:val="single" w:color="auto" w:sz="4" w:space="0"/>
                  </w:tcBorders>
                  <w:shd w:val="clear" w:color="auto" w:fill="FFFFFF"/>
                  <w:vAlign w:val="center"/>
                </w:tcPr>
                <w:p>
                  <w:pPr>
                    <w:pStyle w:val="34"/>
                    <w:rPr>
                      <w:sz w:val="24"/>
                    </w:rPr>
                  </w:pPr>
                </w:p>
              </w:tc>
              <w:tc>
                <w:tcPr>
                  <w:tcW w:w="173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13.4</w:t>
                  </w:r>
                </w:p>
              </w:tc>
              <w:tc>
                <w:tcPr>
                  <w:tcW w:w="19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0.00</w:t>
                  </w: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6354"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颗粒物合计产生量</w:t>
                  </w:r>
                </w:p>
              </w:tc>
              <w:tc>
                <w:tcPr>
                  <w:tcW w:w="194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sz w:val="24"/>
                    </w:rPr>
                    <w:t>0.72</w:t>
                  </w:r>
                </w:p>
              </w:tc>
            </w:tr>
          </w:tbl>
          <w:p>
            <w:pPr>
              <w:ind w:firstLine="480"/>
              <w:jc w:val="both"/>
              <w:rPr>
                <w:sz w:val="24"/>
                <w:szCs w:val="24"/>
              </w:rPr>
            </w:pPr>
            <w:r>
              <w:rPr>
                <w:rFonts w:hint="eastAsia"/>
                <w:sz w:val="24"/>
                <w:szCs w:val="24"/>
              </w:rPr>
              <w:t>废弃电器拆解年粉尘产生量为</w:t>
            </w:r>
            <w:r>
              <w:rPr>
                <w:sz w:val="24"/>
              </w:rPr>
              <w:t>0.72</w:t>
            </w:r>
            <w:r>
              <w:rPr>
                <w:rFonts w:hint="eastAsia"/>
                <w:sz w:val="24"/>
                <w:szCs w:val="24"/>
              </w:rPr>
              <w:t>t/a。电器拆解年工作时间按2</w:t>
            </w:r>
            <w:r>
              <w:rPr>
                <w:sz w:val="24"/>
                <w:szCs w:val="24"/>
              </w:rPr>
              <w:t>000</w:t>
            </w:r>
            <w:r>
              <w:rPr>
                <w:rFonts w:hint="eastAsia"/>
                <w:sz w:val="24"/>
                <w:szCs w:val="24"/>
              </w:rPr>
              <w:t>h计，则废弃电器拆解粉尘产生量为</w:t>
            </w:r>
            <w:r>
              <w:rPr>
                <w:sz w:val="24"/>
                <w:szCs w:val="24"/>
              </w:rPr>
              <w:t>0.36</w:t>
            </w:r>
            <w:r>
              <w:rPr>
                <w:rFonts w:hint="eastAsia"/>
                <w:sz w:val="24"/>
                <w:szCs w:val="24"/>
              </w:rPr>
              <w:t>kg/h。拆解工段设置风量为10000m</w:t>
            </w:r>
            <w:r>
              <w:rPr>
                <w:rFonts w:hint="eastAsia"/>
                <w:sz w:val="24"/>
                <w:szCs w:val="24"/>
                <w:vertAlign w:val="superscript"/>
              </w:rPr>
              <w:t>3</w:t>
            </w:r>
            <w:r>
              <w:rPr>
                <w:rFonts w:hint="eastAsia"/>
                <w:sz w:val="24"/>
                <w:szCs w:val="24"/>
              </w:rPr>
              <w:t>/h的风机，拆解工作台上方设置集气罩对拆解粉尘进行收集，集气罩收集效率按80%计算，收集后的粉尘经布袋除尘器处置后通过1根15m高排气筒排放。</w:t>
            </w:r>
          </w:p>
          <w:p>
            <w:pPr>
              <w:ind w:firstLine="480"/>
              <w:jc w:val="both"/>
              <w:rPr>
                <w:sz w:val="24"/>
                <w:szCs w:val="24"/>
              </w:rPr>
            </w:pPr>
            <w:r>
              <w:rPr>
                <w:rFonts w:hint="eastAsia"/>
                <w:sz w:val="24"/>
                <w:szCs w:val="24"/>
              </w:rPr>
              <w:t>计算得出拆解粉尘有组织产生量为</w:t>
            </w:r>
            <w:r>
              <w:rPr>
                <w:sz w:val="24"/>
                <w:szCs w:val="24"/>
              </w:rPr>
              <w:t>0.58</w:t>
            </w:r>
            <w:r>
              <w:rPr>
                <w:rFonts w:hint="eastAsia"/>
                <w:sz w:val="24"/>
                <w:szCs w:val="24"/>
              </w:rPr>
              <w:t>t/a，0.</w:t>
            </w:r>
            <w:r>
              <w:rPr>
                <w:sz w:val="24"/>
                <w:szCs w:val="24"/>
              </w:rPr>
              <w:t>29</w:t>
            </w:r>
            <w:r>
              <w:rPr>
                <w:rFonts w:hint="eastAsia"/>
                <w:sz w:val="24"/>
                <w:szCs w:val="24"/>
              </w:rPr>
              <w:t>kg/h，产生浓度为</w:t>
            </w:r>
            <w:r>
              <w:rPr>
                <w:sz w:val="24"/>
                <w:szCs w:val="24"/>
              </w:rPr>
              <w:t>28.92</w:t>
            </w:r>
            <w:r>
              <w:rPr>
                <w:rFonts w:hint="eastAsia"/>
                <w:sz w:val="24"/>
                <w:szCs w:val="24"/>
              </w:rPr>
              <w:t>mg/m</w:t>
            </w:r>
            <w:r>
              <w:rPr>
                <w:rFonts w:hint="eastAsia"/>
                <w:sz w:val="24"/>
                <w:szCs w:val="24"/>
                <w:vertAlign w:val="superscript"/>
              </w:rPr>
              <w:t>3</w:t>
            </w:r>
            <w:r>
              <w:rPr>
                <w:rFonts w:hint="eastAsia"/>
                <w:sz w:val="24"/>
                <w:szCs w:val="24"/>
              </w:rPr>
              <w:t>。布袋除尘器处置效率按9</w:t>
            </w:r>
            <w:r>
              <w:rPr>
                <w:sz w:val="24"/>
                <w:szCs w:val="24"/>
              </w:rPr>
              <w:t>5</w:t>
            </w:r>
            <w:r>
              <w:rPr>
                <w:rFonts w:hint="eastAsia"/>
                <w:sz w:val="24"/>
                <w:szCs w:val="24"/>
              </w:rPr>
              <w:t>%计算，则废弃电器拆解粉尘有组织排放量为0.0</w:t>
            </w:r>
            <w:r>
              <w:rPr>
                <w:sz w:val="24"/>
                <w:szCs w:val="24"/>
              </w:rPr>
              <w:t>3</w:t>
            </w:r>
            <w:r>
              <w:rPr>
                <w:rFonts w:hint="eastAsia"/>
                <w:sz w:val="24"/>
                <w:szCs w:val="24"/>
              </w:rPr>
              <w:t>t/a，0.0</w:t>
            </w:r>
            <w:r>
              <w:rPr>
                <w:sz w:val="24"/>
                <w:szCs w:val="24"/>
              </w:rPr>
              <w:t>1</w:t>
            </w:r>
            <w:r>
              <w:rPr>
                <w:rFonts w:hint="eastAsia"/>
                <w:sz w:val="24"/>
                <w:szCs w:val="24"/>
              </w:rPr>
              <w:t>kg/h，排放浓度为</w:t>
            </w:r>
            <w:r>
              <w:rPr>
                <w:sz w:val="24"/>
                <w:szCs w:val="24"/>
              </w:rPr>
              <w:t>1.45</w:t>
            </w:r>
            <w:r>
              <w:rPr>
                <w:rFonts w:hint="eastAsia"/>
                <w:sz w:val="24"/>
                <w:szCs w:val="24"/>
              </w:rPr>
              <w:t xml:space="preserve"> mg/m</w:t>
            </w:r>
            <w:r>
              <w:rPr>
                <w:rFonts w:hint="eastAsia"/>
                <w:sz w:val="24"/>
                <w:szCs w:val="24"/>
                <w:vertAlign w:val="superscript"/>
              </w:rPr>
              <w:t>3</w:t>
            </w:r>
            <w:r>
              <w:rPr>
                <w:rFonts w:hint="eastAsia"/>
                <w:sz w:val="24"/>
                <w:szCs w:val="24"/>
              </w:rPr>
              <w:t>。</w:t>
            </w:r>
          </w:p>
          <w:p>
            <w:pPr>
              <w:ind w:firstLine="480"/>
              <w:jc w:val="both"/>
              <w:rPr>
                <w:sz w:val="24"/>
                <w:szCs w:val="24"/>
              </w:rPr>
            </w:pPr>
            <w:r>
              <w:rPr>
                <w:rFonts w:hint="eastAsia"/>
                <w:sz w:val="24"/>
                <w:szCs w:val="24"/>
              </w:rPr>
              <w:t>无组织粉尘产生量为0.</w:t>
            </w:r>
            <w:r>
              <w:rPr>
                <w:sz w:val="24"/>
                <w:szCs w:val="24"/>
              </w:rPr>
              <w:t>14</w:t>
            </w:r>
            <w:r>
              <w:rPr>
                <w:rFonts w:hint="eastAsia"/>
                <w:sz w:val="24"/>
                <w:szCs w:val="24"/>
              </w:rPr>
              <w:t>t/a，0.</w:t>
            </w:r>
            <w:r>
              <w:rPr>
                <w:sz w:val="24"/>
                <w:szCs w:val="24"/>
              </w:rPr>
              <w:t>07</w:t>
            </w:r>
            <w:r>
              <w:rPr>
                <w:rFonts w:hint="eastAsia"/>
                <w:sz w:val="24"/>
                <w:szCs w:val="24"/>
              </w:rPr>
              <w:t>kg/h。拆解阶段产生的无组织粉尘粒径较大，其中60%沉降于车间内部，无组织粉尘排放量为0.06t/a，0.03kg/h。</w:t>
            </w:r>
          </w:p>
          <w:p>
            <w:pPr>
              <w:ind w:firstLine="480"/>
              <w:jc w:val="both"/>
              <w:rPr>
                <w:sz w:val="24"/>
                <w:szCs w:val="24"/>
              </w:rPr>
            </w:pPr>
            <w:r>
              <w:rPr>
                <w:rFonts w:hint="eastAsia"/>
                <w:sz w:val="24"/>
                <w:szCs w:val="24"/>
              </w:rPr>
              <w:t>2）废弃电器拆解后机械加工</w:t>
            </w:r>
          </w:p>
          <w:p>
            <w:pPr>
              <w:ind w:firstLine="480"/>
              <w:jc w:val="both"/>
              <w:rPr>
                <w:sz w:val="24"/>
                <w:szCs w:val="24"/>
              </w:rPr>
            </w:pPr>
            <w:r>
              <w:rPr>
                <w:rFonts w:hint="eastAsia"/>
                <w:sz w:val="24"/>
                <w:szCs w:val="24"/>
              </w:rPr>
              <w:t>本项目对废弃电器拆解后的废电器箱体、机体等部件进行破碎、分选，回收铜、铝等金属，并对拆解产物进行减容加工。破碎分选阶段会产生粉尘及少量非甲烷总烃（冰箱箱体、空调机体在保温泡沫破碎过程释放的发泡剂，主要为环戊烷等）。</w:t>
            </w:r>
          </w:p>
          <w:p>
            <w:pPr>
              <w:ind w:firstLine="480"/>
              <w:jc w:val="both"/>
              <w:rPr>
                <w:sz w:val="24"/>
                <w:szCs w:val="24"/>
              </w:rPr>
            </w:pPr>
            <w:r>
              <w:rPr>
                <w:rFonts w:hint="eastAsia"/>
                <w:sz w:val="24"/>
                <w:szCs w:val="24"/>
              </w:rPr>
              <w:t>本项目冰箱、空调等拆解量较小，参考同类拆解项目，每拆解一台电冰箱非甲烷总烃产生量为40g，每拆解一台空调非甲烷总烃产生量为20g，本项目年拆解冰箱300台，空调400台。本项目机械加工段非甲烷总烃产生量为0</w:t>
            </w:r>
            <w:r>
              <w:rPr>
                <w:sz w:val="24"/>
                <w:szCs w:val="24"/>
              </w:rPr>
              <w:t>.02</w:t>
            </w:r>
            <w:r>
              <w:rPr>
                <w:rFonts w:hint="eastAsia"/>
                <w:sz w:val="24"/>
                <w:szCs w:val="24"/>
              </w:rPr>
              <w:t>t</w:t>
            </w:r>
            <w:r>
              <w:rPr>
                <w:sz w:val="24"/>
                <w:szCs w:val="24"/>
              </w:rPr>
              <w:t>/</w:t>
            </w:r>
            <w:r>
              <w:rPr>
                <w:rFonts w:hint="eastAsia"/>
                <w:sz w:val="24"/>
                <w:szCs w:val="24"/>
              </w:rPr>
              <w:t>a，加工时间按每年2</w:t>
            </w:r>
            <w:r>
              <w:rPr>
                <w:sz w:val="24"/>
                <w:szCs w:val="24"/>
              </w:rPr>
              <w:t>000</w:t>
            </w:r>
            <w:r>
              <w:rPr>
                <w:rFonts w:hint="eastAsia"/>
                <w:sz w:val="24"/>
                <w:szCs w:val="24"/>
              </w:rPr>
              <w:t>h计，则非甲烷总烃产生量为0</w:t>
            </w:r>
            <w:r>
              <w:rPr>
                <w:sz w:val="24"/>
                <w:szCs w:val="24"/>
              </w:rPr>
              <w:t>.01</w:t>
            </w:r>
            <w:r>
              <w:rPr>
                <w:rFonts w:hint="eastAsia"/>
                <w:sz w:val="24"/>
                <w:szCs w:val="24"/>
              </w:rPr>
              <w:t>kg</w:t>
            </w:r>
            <w:r>
              <w:rPr>
                <w:sz w:val="24"/>
                <w:szCs w:val="24"/>
              </w:rPr>
              <w:t>/</w:t>
            </w:r>
            <w:r>
              <w:rPr>
                <w:rFonts w:hint="eastAsia"/>
                <w:sz w:val="24"/>
                <w:szCs w:val="24"/>
              </w:rPr>
              <w:t>h。</w:t>
            </w:r>
          </w:p>
          <w:p>
            <w:pPr>
              <w:ind w:firstLine="480"/>
              <w:jc w:val="both"/>
              <w:rPr>
                <w:sz w:val="24"/>
                <w:szCs w:val="24"/>
              </w:rPr>
            </w:pPr>
            <w:r>
              <w:rPr>
                <w:rFonts w:hint="eastAsia"/>
                <w:sz w:val="24"/>
                <w:szCs w:val="24"/>
              </w:rPr>
              <w:t>根据《第二次全国污染源普查产排污量核实系数手册》“42 废弃资源综合利用行业系数手册”相关内容，废A</w:t>
            </w:r>
            <w:r>
              <w:rPr>
                <w:sz w:val="24"/>
                <w:szCs w:val="24"/>
              </w:rPr>
              <w:t>BS</w:t>
            </w:r>
            <w:r>
              <w:rPr>
                <w:rFonts w:hint="eastAsia"/>
                <w:sz w:val="24"/>
                <w:szCs w:val="24"/>
              </w:rPr>
              <w:t>破碎阶段颗粒物产生系数为4</w:t>
            </w:r>
            <w:r>
              <w:rPr>
                <w:sz w:val="24"/>
                <w:szCs w:val="24"/>
              </w:rPr>
              <w:t>25</w:t>
            </w:r>
            <w:r>
              <w:rPr>
                <w:rFonts w:hint="eastAsia"/>
                <w:sz w:val="24"/>
                <w:szCs w:val="24"/>
              </w:rPr>
              <w:t>g/</w:t>
            </w:r>
            <w:r>
              <w:rPr>
                <w:sz w:val="24"/>
                <w:szCs w:val="24"/>
              </w:rPr>
              <w:t>t</w:t>
            </w:r>
            <w:r>
              <w:rPr>
                <w:rFonts w:hint="eastAsia"/>
                <w:sz w:val="24"/>
                <w:szCs w:val="24"/>
              </w:rPr>
              <w:t>·原料。本项目废弃电器年处置量为1103t，拆解后需进行加工的部分按照电器总处置量的</w:t>
            </w:r>
            <w:r>
              <w:rPr>
                <w:sz w:val="24"/>
                <w:szCs w:val="24"/>
              </w:rPr>
              <w:t>70%</w:t>
            </w:r>
            <w:r>
              <w:rPr>
                <w:rFonts w:hint="eastAsia"/>
                <w:sz w:val="24"/>
                <w:szCs w:val="24"/>
              </w:rPr>
              <w:t>计算，则废弃电器部件年加工量为772.1t，则颗粒物产生量为0.33t</w:t>
            </w:r>
            <w:r>
              <w:rPr>
                <w:sz w:val="24"/>
                <w:szCs w:val="24"/>
              </w:rPr>
              <w:t>/</w:t>
            </w:r>
            <w:r>
              <w:rPr>
                <w:rFonts w:hint="eastAsia"/>
                <w:sz w:val="24"/>
                <w:szCs w:val="24"/>
              </w:rPr>
              <w:t>a，加工时间按每年2</w:t>
            </w:r>
            <w:r>
              <w:rPr>
                <w:sz w:val="24"/>
                <w:szCs w:val="24"/>
              </w:rPr>
              <w:t>000</w:t>
            </w:r>
            <w:r>
              <w:rPr>
                <w:rFonts w:hint="eastAsia"/>
                <w:sz w:val="24"/>
                <w:szCs w:val="24"/>
              </w:rPr>
              <w:t>h计，则颗粒物产生量为0.16kg</w:t>
            </w:r>
            <w:r>
              <w:rPr>
                <w:sz w:val="24"/>
                <w:szCs w:val="24"/>
              </w:rPr>
              <w:t>/</w:t>
            </w:r>
            <w:r>
              <w:rPr>
                <w:rFonts w:hint="eastAsia"/>
                <w:sz w:val="24"/>
                <w:szCs w:val="24"/>
              </w:rPr>
              <w:t>h。</w:t>
            </w:r>
          </w:p>
          <w:p>
            <w:pPr>
              <w:ind w:firstLine="480"/>
              <w:jc w:val="both"/>
              <w:rPr>
                <w:sz w:val="24"/>
                <w:szCs w:val="24"/>
              </w:rPr>
            </w:pPr>
            <w:r>
              <w:rPr>
                <w:rFonts w:hint="eastAsia"/>
                <w:sz w:val="24"/>
                <w:szCs w:val="24"/>
              </w:rPr>
              <w:t>机械加工线产生的破碎、分选废气经集气罩收集后，由风量为1</w:t>
            </w:r>
            <w:r>
              <w:rPr>
                <w:sz w:val="24"/>
                <w:szCs w:val="24"/>
              </w:rPr>
              <w:t>0000</w:t>
            </w:r>
            <w:r>
              <w:rPr>
                <w:rFonts w:hint="eastAsia"/>
                <w:sz w:val="24"/>
                <w:szCs w:val="24"/>
              </w:rPr>
              <w:t>m</w:t>
            </w:r>
            <w:r>
              <w:rPr>
                <w:sz w:val="24"/>
                <w:szCs w:val="24"/>
                <w:vertAlign w:val="superscript"/>
              </w:rPr>
              <w:t>3</w:t>
            </w:r>
            <w:r>
              <w:rPr>
                <w:sz w:val="24"/>
                <w:szCs w:val="24"/>
              </w:rPr>
              <w:t>/</w:t>
            </w:r>
            <w:r>
              <w:rPr>
                <w:rFonts w:hint="eastAsia"/>
                <w:sz w:val="24"/>
                <w:szCs w:val="24"/>
              </w:rPr>
              <w:t>h的引风机引入 “旋风除尘+脉冲袋式除尘器+紫外光氧+活性炭吸附”装置进行处置。集气罩收集效率按8</w:t>
            </w:r>
            <w:r>
              <w:rPr>
                <w:sz w:val="24"/>
                <w:szCs w:val="24"/>
              </w:rPr>
              <w:t>0%</w:t>
            </w:r>
            <w:r>
              <w:rPr>
                <w:rFonts w:hint="eastAsia"/>
                <w:sz w:val="24"/>
                <w:szCs w:val="24"/>
              </w:rPr>
              <w:t>计算，处置完成的废气，通过1根 15m 高排气筒排放。</w:t>
            </w:r>
          </w:p>
          <w:p>
            <w:pPr>
              <w:ind w:firstLine="480"/>
              <w:jc w:val="both"/>
              <w:rPr>
                <w:sz w:val="24"/>
                <w:szCs w:val="24"/>
              </w:rPr>
            </w:pPr>
            <w:r>
              <w:rPr>
                <w:rFonts w:hint="eastAsia"/>
                <w:sz w:val="24"/>
                <w:szCs w:val="24"/>
              </w:rPr>
              <w:t>机械加工线有组织废气非甲烷总烃产生量为0</w:t>
            </w:r>
            <w:r>
              <w:rPr>
                <w:sz w:val="24"/>
                <w:szCs w:val="24"/>
              </w:rPr>
              <w:t>.016</w:t>
            </w:r>
            <w:r>
              <w:rPr>
                <w:rFonts w:hint="eastAsia"/>
                <w:sz w:val="24"/>
                <w:szCs w:val="24"/>
              </w:rPr>
              <w:t>t</w:t>
            </w:r>
            <w:r>
              <w:rPr>
                <w:sz w:val="24"/>
                <w:szCs w:val="24"/>
              </w:rPr>
              <w:t>/</w:t>
            </w:r>
            <w:r>
              <w:rPr>
                <w:rFonts w:hint="eastAsia"/>
                <w:sz w:val="24"/>
                <w:szCs w:val="24"/>
              </w:rPr>
              <w:t>a，0</w:t>
            </w:r>
            <w:r>
              <w:rPr>
                <w:sz w:val="24"/>
                <w:szCs w:val="24"/>
              </w:rPr>
              <w:t>.008</w:t>
            </w:r>
            <w:r>
              <w:rPr>
                <w:rFonts w:hint="eastAsia"/>
                <w:sz w:val="24"/>
                <w:szCs w:val="24"/>
              </w:rPr>
              <w:t>kg</w:t>
            </w:r>
            <w:r>
              <w:rPr>
                <w:sz w:val="24"/>
                <w:szCs w:val="24"/>
              </w:rPr>
              <w:t>/</w:t>
            </w:r>
            <w:r>
              <w:rPr>
                <w:rFonts w:hint="eastAsia"/>
                <w:sz w:val="24"/>
                <w:szCs w:val="24"/>
              </w:rPr>
              <w:t>h，产生浓度为0.80mg</w:t>
            </w:r>
            <w:r>
              <w:rPr>
                <w:sz w:val="24"/>
                <w:szCs w:val="24"/>
              </w:rPr>
              <w:t>/</w:t>
            </w:r>
            <w:r>
              <w:rPr>
                <w:rFonts w:hint="eastAsia"/>
                <w:sz w:val="24"/>
                <w:szCs w:val="24"/>
              </w:rPr>
              <w:t>m</w:t>
            </w:r>
            <w:r>
              <w:rPr>
                <w:sz w:val="24"/>
                <w:szCs w:val="24"/>
                <w:vertAlign w:val="superscript"/>
              </w:rPr>
              <w:t>3</w:t>
            </w:r>
            <w:r>
              <w:rPr>
                <w:rFonts w:hint="eastAsia"/>
                <w:sz w:val="24"/>
                <w:szCs w:val="24"/>
              </w:rPr>
              <w:t>。紫外光氧+活性炭吸附效率按7</w:t>
            </w:r>
            <w:r>
              <w:rPr>
                <w:sz w:val="24"/>
                <w:szCs w:val="24"/>
              </w:rPr>
              <w:t>5%</w:t>
            </w:r>
            <w:r>
              <w:rPr>
                <w:rFonts w:hint="eastAsia"/>
                <w:sz w:val="24"/>
                <w:szCs w:val="24"/>
              </w:rPr>
              <w:t>计算，则非甲烷总烃有组织排放量为0</w:t>
            </w:r>
            <w:r>
              <w:rPr>
                <w:sz w:val="24"/>
                <w:szCs w:val="24"/>
              </w:rPr>
              <w:t>.0</w:t>
            </w:r>
            <w:r>
              <w:rPr>
                <w:rFonts w:hint="eastAsia"/>
                <w:sz w:val="24"/>
                <w:szCs w:val="24"/>
              </w:rPr>
              <w:t>0</w:t>
            </w:r>
            <w:r>
              <w:rPr>
                <w:sz w:val="24"/>
                <w:szCs w:val="24"/>
              </w:rPr>
              <w:t>4</w:t>
            </w:r>
            <w:r>
              <w:rPr>
                <w:rFonts w:hint="eastAsia"/>
                <w:sz w:val="24"/>
                <w:szCs w:val="24"/>
              </w:rPr>
              <w:t>t</w:t>
            </w:r>
            <w:r>
              <w:rPr>
                <w:sz w:val="24"/>
                <w:szCs w:val="24"/>
              </w:rPr>
              <w:t>/</w:t>
            </w:r>
            <w:r>
              <w:rPr>
                <w:rFonts w:hint="eastAsia"/>
                <w:sz w:val="24"/>
                <w:szCs w:val="24"/>
              </w:rPr>
              <w:t>a，0</w:t>
            </w:r>
            <w:r>
              <w:rPr>
                <w:sz w:val="24"/>
                <w:szCs w:val="24"/>
              </w:rPr>
              <w:t>.002</w:t>
            </w:r>
            <w:r>
              <w:rPr>
                <w:rFonts w:hint="eastAsia"/>
                <w:sz w:val="24"/>
                <w:szCs w:val="24"/>
              </w:rPr>
              <w:t>kg</w:t>
            </w:r>
            <w:r>
              <w:rPr>
                <w:sz w:val="24"/>
                <w:szCs w:val="24"/>
              </w:rPr>
              <w:t>/</w:t>
            </w:r>
            <w:r>
              <w:rPr>
                <w:rFonts w:hint="eastAsia"/>
                <w:sz w:val="24"/>
                <w:szCs w:val="24"/>
              </w:rPr>
              <w:t>h，排放浓度为0</w:t>
            </w:r>
            <w:r>
              <w:rPr>
                <w:sz w:val="24"/>
                <w:szCs w:val="24"/>
              </w:rPr>
              <w:t>.</w:t>
            </w:r>
            <w:r>
              <w:rPr>
                <w:rFonts w:hint="eastAsia"/>
                <w:sz w:val="24"/>
                <w:szCs w:val="24"/>
              </w:rPr>
              <w:t>20mg</w:t>
            </w:r>
            <w:r>
              <w:rPr>
                <w:sz w:val="24"/>
                <w:szCs w:val="24"/>
              </w:rPr>
              <w:t>/</w:t>
            </w:r>
            <w:r>
              <w:rPr>
                <w:rFonts w:hint="eastAsia"/>
                <w:sz w:val="24"/>
                <w:szCs w:val="24"/>
              </w:rPr>
              <w:t>m</w:t>
            </w:r>
            <w:r>
              <w:rPr>
                <w:sz w:val="24"/>
                <w:szCs w:val="24"/>
                <w:vertAlign w:val="superscript"/>
              </w:rPr>
              <w:t>3</w:t>
            </w:r>
            <w:r>
              <w:rPr>
                <w:rFonts w:hint="eastAsia"/>
                <w:sz w:val="24"/>
                <w:szCs w:val="24"/>
              </w:rPr>
              <w:t>。</w:t>
            </w:r>
          </w:p>
          <w:p>
            <w:pPr>
              <w:ind w:firstLine="480"/>
              <w:jc w:val="both"/>
              <w:rPr>
                <w:sz w:val="24"/>
                <w:szCs w:val="24"/>
              </w:rPr>
            </w:pPr>
            <w:r>
              <w:rPr>
                <w:rFonts w:hint="eastAsia"/>
                <w:sz w:val="24"/>
                <w:szCs w:val="24"/>
              </w:rPr>
              <w:t>机械加工线有组织废气颗粒物产生量为0.26t</w:t>
            </w:r>
            <w:r>
              <w:rPr>
                <w:sz w:val="24"/>
                <w:szCs w:val="24"/>
              </w:rPr>
              <w:t>/</w:t>
            </w:r>
            <w:r>
              <w:rPr>
                <w:rFonts w:hint="eastAsia"/>
                <w:sz w:val="24"/>
                <w:szCs w:val="24"/>
              </w:rPr>
              <w:t>a，0</w:t>
            </w:r>
            <w:r>
              <w:rPr>
                <w:sz w:val="24"/>
                <w:szCs w:val="24"/>
              </w:rPr>
              <w:t>.</w:t>
            </w:r>
            <w:r>
              <w:rPr>
                <w:rFonts w:hint="eastAsia"/>
                <w:sz w:val="24"/>
                <w:szCs w:val="24"/>
              </w:rPr>
              <w:t>13kg</w:t>
            </w:r>
            <w:r>
              <w:rPr>
                <w:sz w:val="24"/>
                <w:szCs w:val="24"/>
              </w:rPr>
              <w:t>/</w:t>
            </w:r>
            <w:r>
              <w:rPr>
                <w:rFonts w:hint="eastAsia"/>
                <w:sz w:val="24"/>
                <w:szCs w:val="24"/>
              </w:rPr>
              <w:t>h，产生浓度为13.2mg</w:t>
            </w:r>
            <w:r>
              <w:rPr>
                <w:sz w:val="24"/>
                <w:szCs w:val="24"/>
              </w:rPr>
              <w:t>/</w:t>
            </w:r>
            <w:r>
              <w:rPr>
                <w:rFonts w:hint="eastAsia"/>
                <w:sz w:val="24"/>
                <w:szCs w:val="24"/>
              </w:rPr>
              <w:t>m</w:t>
            </w:r>
            <w:r>
              <w:rPr>
                <w:sz w:val="24"/>
                <w:szCs w:val="24"/>
                <w:vertAlign w:val="superscript"/>
              </w:rPr>
              <w:t>3</w:t>
            </w:r>
            <w:r>
              <w:rPr>
                <w:rFonts w:hint="eastAsia"/>
                <w:sz w:val="24"/>
                <w:szCs w:val="24"/>
              </w:rPr>
              <w:t>。旋风除尘器+脉冲袋式除尘器除尘效率按</w:t>
            </w:r>
            <w:r>
              <w:rPr>
                <w:sz w:val="24"/>
                <w:szCs w:val="24"/>
              </w:rPr>
              <w:t>99%</w:t>
            </w:r>
            <w:r>
              <w:rPr>
                <w:rFonts w:hint="eastAsia"/>
                <w:sz w:val="24"/>
                <w:szCs w:val="24"/>
              </w:rPr>
              <w:t>计算，则颗粒物有组织排放量为0</w:t>
            </w:r>
            <w:r>
              <w:rPr>
                <w:sz w:val="24"/>
                <w:szCs w:val="24"/>
              </w:rPr>
              <w:t>.0</w:t>
            </w:r>
            <w:r>
              <w:rPr>
                <w:rFonts w:hint="eastAsia"/>
                <w:sz w:val="24"/>
                <w:szCs w:val="24"/>
              </w:rPr>
              <w:t>03t</w:t>
            </w:r>
            <w:r>
              <w:rPr>
                <w:sz w:val="24"/>
                <w:szCs w:val="24"/>
              </w:rPr>
              <w:t>/</w:t>
            </w:r>
            <w:r>
              <w:rPr>
                <w:rFonts w:hint="eastAsia"/>
                <w:sz w:val="24"/>
                <w:szCs w:val="24"/>
              </w:rPr>
              <w:t>a，0</w:t>
            </w:r>
            <w:r>
              <w:rPr>
                <w:sz w:val="24"/>
                <w:szCs w:val="24"/>
              </w:rPr>
              <w:t>.0</w:t>
            </w:r>
            <w:r>
              <w:rPr>
                <w:rFonts w:hint="eastAsia"/>
                <w:sz w:val="24"/>
                <w:szCs w:val="24"/>
              </w:rPr>
              <w:t>0</w:t>
            </w:r>
            <w:r>
              <w:rPr>
                <w:sz w:val="24"/>
                <w:szCs w:val="24"/>
              </w:rPr>
              <w:t>1</w:t>
            </w:r>
            <w:r>
              <w:rPr>
                <w:rFonts w:hint="eastAsia"/>
                <w:sz w:val="24"/>
                <w:szCs w:val="24"/>
              </w:rPr>
              <w:t>kg</w:t>
            </w:r>
            <w:r>
              <w:rPr>
                <w:sz w:val="24"/>
                <w:szCs w:val="24"/>
              </w:rPr>
              <w:t>/</w:t>
            </w:r>
            <w:r>
              <w:rPr>
                <w:rFonts w:hint="eastAsia"/>
                <w:sz w:val="24"/>
                <w:szCs w:val="24"/>
              </w:rPr>
              <w:t>h，排放浓度为0</w:t>
            </w:r>
            <w:r>
              <w:rPr>
                <w:sz w:val="24"/>
                <w:szCs w:val="24"/>
              </w:rPr>
              <w:t>.</w:t>
            </w:r>
            <w:r>
              <w:rPr>
                <w:rFonts w:hint="eastAsia"/>
                <w:sz w:val="24"/>
                <w:szCs w:val="24"/>
              </w:rPr>
              <w:t>13mg</w:t>
            </w:r>
            <w:r>
              <w:rPr>
                <w:sz w:val="24"/>
                <w:szCs w:val="24"/>
              </w:rPr>
              <w:t>/</w:t>
            </w:r>
            <w:r>
              <w:rPr>
                <w:rFonts w:hint="eastAsia"/>
                <w:sz w:val="24"/>
                <w:szCs w:val="24"/>
              </w:rPr>
              <w:t>m</w:t>
            </w:r>
            <w:r>
              <w:rPr>
                <w:sz w:val="24"/>
                <w:szCs w:val="24"/>
                <w:vertAlign w:val="superscript"/>
              </w:rPr>
              <w:t>3</w:t>
            </w:r>
            <w:r>
              <w:rPr>
                <w:rFonts w:hint="eastAsia"/>
                <w:sz w:val="24"/>
                <w:szCs w:val="24"/>
              </w:rPr>
              <w:t>。</w:t>
            </w:r>
          </w:p>
          <w:p>
            <w:pPr>
              <w:ind w:firstLine="480"/>
              <w:jc w:val="both"/>
              <w:rPr>
                <w:sz w:val="24"/>
                <w:szCs w:val="24"/>
              </w:rPr>
            </w:pPr>
            <w:r>
              <w:rPr>
                <w:rFonts w:hint="eastAsia"/>
                <w:sz w:val="24"/>
                <w:szCs w:val="24"/>
              </w:rPr>
              <w:t>无组织废气非甲烷总烃产生量为0</w:t>
            </w:r>
            <w:r>
              <w:rPr>
                <w:sz w:val="24"/>
                <w:szCs w:val="24"/>
              </w:rPr>
              <w:t>.004</w:t>
            </w:r>
            <w:r>
              <w:rPr>
                <w:rFonts w:hint="eastAsia"/>
                <w:sz w:val="24"/>
                <w:szCs w:val="24"/>
              </w:rPr>
              <w:t>t</w:t>
            </w:r>
            <w:r>
              <w:rPr>
                <w:sz w:val="24"/>
                <w:szCs w:val="24"/>
              </w:rPr>
              <w:t>/</w:t>
            </w:r>
            <w:r>
              <w:rPr>
                <w:rFonts w:hint="eastAsia"/>
                <w:sz w:val="24"/>
                <w:szCs w:val="24"/>
              </w:rPr>
              <w:t>a，0</w:t>
            </w:r>
            <w:r>
              <w:rPr>
                <w:sz w:val="24"/>
                <w:szCs w:val="24"/>
              </w:rPr>
              <w:t>.002</w:t>
            </w:r>
            <w:r>
              <w:rPr>
                <w:rFonts w:hint="eastAsia"/>
                <w:sz w:val="24"/>
                <w:szCs w:val="24"/>
              </w:rPr>
              <w:t>kg</w:t>
            </w:r>
            <w:r>
              <w:rPr>
                <w:sz w:val="24"/>
                <w:szCs w:val="24"/>
              </w:rPr>
              <w:t>/</w:t>
            </w:r>
            <w:r>
              <w:rPr>
                <w:rFonts w:hint="eastAsia"/>
                <w:sz w:val="24"/>
                <w:szCs w:val="24"/>
              </w:rPr>
              <w:t>h，颗粒物产生量为0</w:t>
            </w:r>
            <w:r>
              <w:rPr>
                <w:sz w:val="24"/>
                <w:szCs w:val="24"/>
              </w:rPr>
              <w:t>.</w:t>
            </w:r>
            <w:r>
              <w:rPr>
                <w:rFonts w:hint="eastAsia"/>
                <w:sz w:val="24"/>
                <w:szCs w:val="24"/>
              </w:rPr>
              <w:t>07t</w:t>
            </w:r>
            <w:r>
              <w:rPr>
                <w:sz w:val="24"/>
                <w:szCs w:val="24"/>
              </w:rPr>
              <w:t>/</w:t>
            </w:r>
            <w:r>
              <w:rPr>
                <w:rFonts w:hint="eastAsia"/>
                <w:sz w:val="24"/>
                <w:szCs w:val="24"/>
              </w:rPr>
              <w:t>a，0</w:t>
            </w:r>
            <w:r>
              <w:rPr>
                <w:sz w:val="24"/>
                <w:szCs w:val="24"/>
              </w:rPr>
              <w:t>.</w:t>
            </w:r>
            <w:r>
              <w:rPr>
                <w:rFonts w:hint="eastAsia"/>
                <w:sz w:val="24"/>
                <w:szCs w:val="24"/>
              </w:rPr>
              <w:t>03kg</w:t>
            </w:r>
            <w:r>
              <w:rPr>
                <w:sz w:val="24"/>
                <w:szCs w:val="24"/>
              </w:rPr>
              <w:t>/</w:t>
            </w:r>
            <w:r>
              <w:rPr>
                <w:rFonts w:hint="eastAsia"/>
                <w:sz w:val="24"/>
                <w:szCs w:val="24"/>
              </w:rPr>
              <w:t>h，其中60%颗粒物沉降于车间内部，颗粒物无组织排放量为0.04t/a，0.01kg/h。</w:t>
            </w:r>
          </w:p>
          <w:p>
            <w:pPr>
              <w:ind w:firstLine="480"/>
              <w:jc w:val="both"/>
              <w:rPr>
                <w:sz w:val="24"/>
                <w:szCs w:val="24"/>
              </w:rPr>
            </w:pPr>
            <w:r>
              <w:rPr>
                <w:rFonts w:hint="eastAsia"/>
                <w:sz w:val="24"/>
                <w:szCs w:val="24"/>
              </w:rPr>
              <w:t>②废弃机动车拆解废气</w:t>
            </w:r>
          </w:p>
          <w:p>
            <w:pPr>
              <w:ind w:firstLine="480"/>
              <w:jc w:val="both"/>
              <w:rPr>
                <w:bCs/>
                <w:sz w:val="24"/>
                <w:szCs w:val="22"/>
              </w:rPr>
            </w:pPr>
            <w:r>
              <w:rPr>
                <w:rFonts w:hint="eastAsia"/>
                <w:sz w:val="24"/>
                <w:szCs w:val="24"/>
              </w:rPr>
              <w:t>1）</w:t>
            </w:r>
            <w:r>
              <w:rPr>
                <w:rFonts w:hint="eastAsia" w:ascii="宋体" w:hAnsi="宋体"/>
                <w:bCs/>
                <w:sz w:val="24"/>
                <w:szCs w:val="22"/>
              </w:rPr>
              <w:t>残</w:t>
            </w:r>
            <w:r>
              <w:rPr>
                <w:rFonts w:hint="eastAsia"/>
                <w:bCs/>
                <w:sz w:val="24"/>
                <w:szCs w:val="22"/>
              </w:rPr>
              <w:t>留废油液</w:t>
            </w:r>
            <w:r>
              <w:rPr>
                <w:bCs/>
                <w:sz w:val="24"/>
                <w:szCs w:val="22"/>
              </w:rPr>
              <w:t>收集</w:t>
            </w:r>
          </w:p>
          <w:p>
            <w:pPr>
              <w:ind w:firstLine="480"/>
              <w:jc w:val="both"/>
              <w:rPr>
                <w:sz w:val="24"/>
              </w:rPr>
            </w:pPr>
            <w:r>
              <w:rPr>
                <w:rFonts w:hint="eastAsia"/>
                <w:sz w:val="24"/>
              </w:rPr>
              <w:t>报废机动车拆解收集的废油液一般包括燃油、发动机机油、变速器机油、传动机构机油、动力转向油、制动液等各类油类液体，除燃油外的其他油液主要对发动机等机械部件起到润滑、清洁、密封、减磨、防锈等作用，相比燃油具有较强的氧化稳定性、热稳定性以及低挥发性，拆解回收过程中基本不产生废气污染。因此，项目废油液回收过程中产生的主要大气污染物为燃油挥发的有机废气（以非甲烷总烃计）。</w:t>
            </w:r>
          </w:p>
          <w:p>
            <w:pPr>
              <w:pStyle w:val="8"/>
              <w:snapToGrid/>
              <w:spacing w:after="0"/>
              <w:ind w:firstLine="480"/>
              <w:rPr>
                <w:sz w:val="24"/>
              </w:rPr>
            </w:pPr>
            <w:r>
              <w:rPr>
                <w:rFonts w:hint="eastAsia"/>
                <w:sz w:val="24"/>
              </w:rPr>
              <w:t>项目</w:t>
            </w:r>
            <w:r>
              <w:rPr>
                <w:sz w:val="24"/>
              </w:rPr>
              <w:t>采用密闭真空抽油机排空废油</w:t>
            </w:r>
            <w:r>
              <w:rPr>
                <w:rFonts w:hint="eastAsia"/>
                <w:sz w:val="24"/>
              </w:rPr>
              <w:t>，</w:t>
            </w:r>
            <w:r>
              <w:rPr>
                <w:sz w:val="24"/>
              </w:rPr>
              <w:t>但储油罐在灌注、储存、出油过程中会有少量有机物（非甲烷总烃）通过管线、阀门等挥发而释放到环境空气中。根据</w:t>
            </w:r>
            <w:r>
              <w:rPr>
                <w:rFonts w:hint="eastAsia"/>
                <w:sz w:val="24"/>
              </w:rPr>
              <w:t>拆解规模废燃油</w:t>
            </w:r>
            <w:r>
              <w:rPr>
                <w:sz w:val="24"/>
              </w:rPr>
              <w:t>产生量</w:t>
            </w:r>
            <w:r>
              <w:rPr>
                <w:rFonts w:hint="eastAsia"/>
                <w:sz w:val="24"/>
              </w:rPr>
              <w:t>估算</w:t>
            </w:r>
            <w:r>
              <w:rPr>
                <w:sz w:val="24"/>
              </w:rPr>
              <w:t>，</w:t>
            </w:r>
            <w:r>
              <w:rPr>
                <w:rFonts w:hint="eastAsia"/>
                <w:sz w:val="24"/>
              </w:rPr>
              <w:t>项目</w:t>
            </w:r>
            <w:r>
              <w:rPr>
                <w:sz w:val="24"/>
              </w:rPr>
              <w:t>建成后</w:t>
            </w:r>
            <w:r>
              <w:rPr>
                <w:rFonts w:hint="eastAsia"/>
                <w:sz w:val="24"/>
              </w:rPr>
              <w:t>废</w:t>
            </w:r>
            <w:r>
              <w:rPr>
                <w:sz w:val="24"/>
              </w:rPr>
              <w:t>燃料油</w:t>
            </w:r>
            <w:r>
              <w:rPr>
                <w:rFonts w:hint="eastAsia"/>
                <w:sz w:val="24"/>
              </w:rPr>
              <w:t>产生量约</w:t>
            </w:r>
            <w:r>
              <w:rPr>
                <w:sz w:val="24"/>
              </w:rPr>
              <w:t>10.8t/a</w:t>
            </w:r>
            <w:r>
              <w:rPr>
                <w:rFonts w:hint="eastAsia"/>
                <w:sz w:val="24"/>
              </w:rPr>
              <w:t>。参照《散装液态石油类产品损耗》（</w:t>
            </w:r>
            <w:r>
              <w:rPr>
                <w:sz w:val="24"/>
              </w:rPr>
              <w:t>GB11085-1989</w:t>
            </w:r>
            <w:r>
              <w:rPr>
                <w:rFonts w:hint="eastAsia"/>
                <w:sz w:val="24"/>
              </w:rPr>
              <w:t>）中</w:t>
            </w:r>
            <w:r>
              <w:rPr>
                <w:sz w:val="24"/>
              </w:rPr>
              <w:t>表</w:t>
            </w:r>
            <w:r>
              <w:rPr>
                <w:rFonts w:hint="eastAsia"/>
                <w:sz w:val="24"/>
              </w:rPr>
              <w:t>5和</w:t>
            </w:r>
            <w:r>
              <w:rPr>
                <w:sz w:val="24"/>
              </w:rPr>
              <w:t>表</w:t>
            </w:r>
            <w:r>
              <w:rPr>
                <w:rFonts w:hint="eastAsia"/>
                <w:sz w:val="24"/>
              </w:rPr>
              <w:t>6规定：油品最大输转</w:t>
            </w:r>
            <w:r>
              <w:rPr>
                <w:sz w:val="24"/>
              </w:rPr>
              <w:t>损耗率</w:t>
            </w:r>
            <w:r>
              <w:rPr>
                <w:rFonts w:hint="eastAsia"/>
                <w:sz w:val="24"/>
              </w:rPr>
              <w:t>为0.22</w:t>
            </w:r>
            <w:r>
              <w:rPr>
                <w:sz w:val="24"/>
              </w:rPr>
              <w:t>%</w:t>
            </w:r>
            <w:r>
              <w:rPr>
                <w:rFonts w:hint="eastAsia"/>
                <w:sz w:val="24"/>
              </w:rPr>
              <w:t>，最大罐桶损耗率</w:t>
            </w:r>
            <w:r>
              <w:rPr>
                <w:sz w:val="24"/>
              </w:rPr>
              <w:t>为</w:t>
            </w:r>
            <w:r>
              <w:rPr>
                <w:rFonts w:hint="eastAsia"/>
                <w:sz w:val="24"/>
              </w:rPr>
              <w:t>0.18</w:t>
            </w:r>
            <w:r>
              <w:rPr>
                <w:sz w:val="24"/>
              </w:rPr>
              <w:t>%</w:t>
            </w:r>
            <w:r>
              <w:rPr>
                <w:rFonts w:hint="eastAsia"/>
                <w:sz w:val="24"/>
              </w:rPr>
              <w:t>。本次评价按两部分</w:t>
            </w:r>
            <w:r>
              <w:rPr>
                <w:sz w:val="24"/>
              </w:rPr>
              <w:t>最大0.4</w:t>
            </w:r>
            <w:r>
              <w:rPr>
                <w:rFonts w:hint="eastAsia"/>
                <w:sz w:val="24"/>
              </w:rPr>
              <w:t>%计算，</w:t>
            </w:r>
            <w:r>
              <w:rPr>
                <w:sz w:val="24"/>
              </w:rPr>
              <w:t>则</w:t>
            </w:r>
            <w:r>
              <w:rPr>
                <w:rFonts w:hint="eastAsia"/>
                <w:sz w:val="24"/>
              </w:rPr>
              <w:t>废</w:t>
            </w:r>
            <w:r>
              <w:rPr>
                <w:sz w:val="24"/>
              </w:rPr>
              <w:t>燃料油</w:t>
            </w:r>
            <w:r>
              <w:rPr>
                <w:rFonts w:hint="eastAsia"/>
                <w:sz w:val="24"/>
              </w:rPr>
              <w:t>抽排</w:t>
            </w:r>
            <w:r>
              <w:rPr>
                <w:sz w:val="24"/>
              </w:rPr>
              <w:t>过程中非甲烷总烃</w:t>
            </w:r>
            <w:r>
              <w:rPr>
                <w:rFonts w:hint="eastAsia"/>
                <w:sz w:val="24"/>
              </w:rPr>
              <w:t>产生量</w:t>
            </w:r>
            <w:r>
              <w:rPr>
                <w:sz w:val="24"/>
              </w:rPr>
              <w:t>为0.043t/a</w:t>
            </w:r>
            <w:r>
              <w:rPr>
                <w:rFonts w:hint="eastAsia"/>
                <w:sz w:val="24"/>
              </w:rPr>
              <w:t>。</w:t>
            </w:r>
          </w:p>
          <w:p>
            <w:pPr>
              <w:ind w:firstLine="480"/>
              <w:jc w:val="both"/>
              <w:rPr>
                <w:sz w:val="24"/>
              </w:rPr>
            </w:pPr>
            <w:r>
              <w:rPr>
                <w:rFonts w:hint="eastAsia"/>
                <w:sz w:val="24"/>
              </w:rPr>
              <w:t>为了</w:t>
            </w:r>
            <w:r>
              <w:rPr>
                <w:sz w:val="24"/>
              </w:rPr>
              <w:t>提高有机废气收集效率，拟于</w:t>
            </w:r>
            <w:r>
              <w:rPr>
                <w:rFonts w:hint="eastAsia"/>
                <w:sz w:val="24"/>
              </w:rPr>
              <w:t>油液</w:t>
            </w:r>
            <w:r>
              <w:rPr>
                <w:sz w:val="24"/>
              </w:rPr>
              <w:t>收集罐</w:t>
            </w:r>
            <w:r>
              <w:rPr>
                <w:rFonts w:hint="eastAsia"/>
                <w:sz w:val="24"/>
              </w:rPr>
              <w:t>四周</w:t>
            </w:r>
            <w:r>
              <w:rPr>
                <w:sz w:val="24"/>
              </w:rPr>
              <w:t>设置</w:t>
            </w:r>
            <w:r>
              <w:rPr>
                <w:rFonts w:hint="eastAsia"/>
                <w:sz w:val="24"/>
              </w:rPr>
              <w:t>金属</w:t>
            </w:r>
            <w:r>
              <w:rPr>
                <w:sz w:val="24"/>
              </w:rPr>
              <w:t>门板遮挡，并于遮挡板上方设置</w:t>
            </w:r>
            <w:r>
              <w:rPr>
                <w:rFonts w:hint="eastAsia"/>
                <w:sz w:val="24"/>
              </w:rPr>
              <w:t>集气罩</w:t>
            </w:r>
            <w:r>
              <w:rPr>
                <w:sz w:val="24"/>
              </w:rPr>
              <w:t>，</w:t>
            </w:r>
            <w:r>
              <w:rPr>
                <w:rFonts w:hint="eastAsia"/>
                <w:sz w:val="24"/>
              </w:rPr>
              <w:t>组成</w:t>
            </w:r>
            <w:r>
              <w:rPr>
                <w:sz w:val="24"/>
              </w:rPr>
              <w:t>相对封闭的区域空间，</w:t>
            </w:r>
            <w:r>
              <w:rPr>
                <w:rFonts w:hint="eastAsia"/>
                <w:sz w:val="24"/>
              </w:rPr>
              <w:t>收集</w:t>
            </w:r>
            <w:r>
              <w:rPr>
                <w:sz w:val="24"/>
              </w:rPr>
              <w:t>效率</w:t>
            </w:r>
            <w:r>
              <w:rPr>
                <w:rFonts w:hint="eastAsia"/>
                <w:sz w:val="24"/>
              </w:rPr>
              <w:t>可达90</w:t>
            </w:r>
            <w:r>
              <w:rPr>
                <w:sz w:val="24"/>
              </w:rPr>
              <w:t>%</w:t>
            </w:r>
            <w:r>
              <w:rPr>
                <w:rFonts w:hint="eastAsia"/>
                <w:sz w:val="24"/>
              </w:rPr>
              <w:t>，收集后通过</w:t>
            </w:r>
            <w:r>
              <w:rPr>
                <w:rFonts w:hint="eastAsia"/>
                <w:sz w:val="24"/>
                <w:szCs w:val="24"/>
              </w:rPr>
              <w:t>紫外光氧+活性炭吸附</w:t>
            </w:r>
            <w:r>
              <w:rPr>
                <w:rFonts w:hint="eastAsia"/>
                <w:sz w:val="24"/>
              </w:rPr>
              <w:t>装置</w:t>
            </w:r>
            <w:r>
              <w:rPr>
                <w:sz w:val="24"/>
              </w:rPr>
              <w:t>作为末端治理设施</w:t>
            </w:r>
            <w:r>
              <w:rPr>
                <w:rFonts w:hint="eastAsia"/>
                <w:sz w:val="24"/>
              </w:rPr>
              <w:t>进行</w:t>
            </w:r>
            <w:r>
              <w:rPr>
                <w:sz w:val="24"/>
              </w:rPr>
              <w:t>处理</w:t>
            </w:r>
            <w:r>
              <w:rPr>
                <w:rFonts w:hint="eastAsia"/>
                <w:sz w:val="24"/>
              </w:rPr>
              <w:t>，</w:t>
            </w:r>
            <w:r>
              <w:rPr>
                <w:sz w:val="24"/>
              </w:rPr>
              <w:t>处置效率按照</w:t>
            </w:r>
            <w:r>
              <w:rPr>
                <w:rFonts w:hint="eastAsia"/>
                <w:sz w:val="24"/>
              </w:rPr>
              <w:t>7</w:t>
            </w:r>
            <w:r>
              <w:rPr>
                <w:sz w:val="24"/>
              </w:rPr>
              <w:t>5%计算</w:t>
            </w:r>
            <w:r>
              <w:rPr>
                <w:rFonts w:hint="eastAsia"/>
                <w:sz w:val="24"/>
              </w:rPr>
              <w:t>。</w:t>
            </w:r>
            <w:r>
              <w:rPr>
                <w:sz w:val="24"/>
              </w:rPr>
              <w:t>处理后经15</w:t>
            </w:r>
            <w:r>
              <w:rPr>
                <w:rFonts w:hint="eastAsia"/>
                <w:sz w:val="24"/>
              </w:rPr>
              <w:t>m</w:t>
            </w:r>
            <w:r>
              <w:rPr>
                <w:sz w:val="24"/>
              </w:rPr>
              <w:t>排气筒排放。</w:t>
            </w:r>
            <w:r>
              <w:rPr>
                <w:rFonts w:hint="eastAsia"/>
                <w:sz w:val="24"/>
              </w:rPr>
              <w:t>设风机</w:t>
            </w:r>
            <w:r>
              <w:rPr>
                <w:sz w:val="24"/>
              </w:rPr>
              <w:t>风量为5</w:t>
            </w:r>
            <w:r>
              <w:rPr>
                <w:rFonts w:hint="eastAsia"/>
                <w:sz w:val="24"/>
              </w:rPr>
              <w:t>000</w:t>
            </w:r>
            <w:r>
              <w:rPr>
                <w:sz w:val="24"/>
              </w:rPr>
              <w:t>mg/m</w:t>
            </w:r>
            <w:r>
              <w:rPr>
                <w:sz w:val="24"/>
                <w:vertAlign w:val="superscript"/>
              </w:rPr>
              <w:t>3</w:t>
            </w:r>
            <w:r>
              <w:rPr>
                <w:rFonts w:hint="eastAsia"/>
                <w:sz w:val="24"/>
              </w:rPr>
              <w:t>，</w:t>
            </w:r>
            <w:r>
              <w:rPr>
                <w:sz w:val="24"/>
              </w:rPr>
              <w:t>则油液抽排过程中非甲烷总烃有组织排放量为0.0097t/a，排放速率0.0065kg/h，排放浓度1.29mg/m</w:t>
            </w:r>
            <w:r>
              <w:rPr>
                <w:sz w:val="24"/>
                <w:vertAlign w:val="superscript"/>
              </w:rPr>
              <w:t>3</w:t>
            </w:r>
            <w:r>
              <w:rPr>
                <w:rFonts w:hint="eastAsia"/>
                <w:sz w:val="24"/>
              </w:rPr>
              <w:t>（废</w:t>
            </w:r>
            <w:r>
              <w:rPr>
                <w:sz w:val="24"/>
              </w:rPr>
              <w:t>燃料油排空工序工作时长按</w:t>
            </w:r>
            <w:r>
              <w:rPr>
                <w:rFonts w:hint="eastAsia"/>
                <w:sz w:val="24"/>
              </w:rPr>
              <w:t>每年1500</w:t>
            </w:r>
            <w:r>
              <w:rPr>
                <w:sz w:val="24"/>
              </w:rPr>
              <w:t>h计</w:t>
            </w:r>
            <w:r>
              <w:rPr>
                <w:rFonts w:hint="eastAsia"/>
                <w:sz w:val="24"/>
              </w:rPr>
              <w:t>）</w:t>
            </w:r>
            <w:r>
              <w:rPr>
                <w:sz w:val="24"/>
              </w:rPr>
              <w:t>。</w:t>
            </w:r>
            <w:r>
              <w:rPr>
                <w:rFonts w:hint="eastAsia"/>
                <w:sz w:val="24"/>
              </w:rPr>
              <w:t>非甲烷总烃无组织排放量为0</w:t>
            </w:r>
            <w:r>
              <w:rPr>
                <w:sz w:val="24"/>
              </w:rPr>
              <w:t>.004</w:t>
            </w:r>
            <w:r>
              <w:rPr>
                <w:rFonts w:hint="eastAsia"/>
                <w:sz w:val="24"/>
              </w:rPr>
              <w:t>t</w:t>
            </w:r>
            <w:r>
              <w:rPr>
                <w:sz w:val="24"/>
              </w:rPr>
              <w:t>/a</w:t>
            </w:r>
            <w:r>
              <w:rPr>
                <w:rFonts w:hint="eastAsia"/>
                <w:sz w:val="24"/>
              </w:rPr>
              <w:t>，0</w:t>
            </w:r>
            <w:r>
              <w:rPr>
                <w:sz w:val="24"/>
              </w:rPr>
              <w:t>.003</w:t>
            </w:r>
            <w:r>
              <w:rPr>
                <w:rFonts w:hint="eastAsia"/>
                <w:sz w:val="24"/>
              </w:rPr>
              <w:t>kg</w:t>
            </w:r>
            <w:r>
              <w:rPr>
                <w:sz w:val="24"/>
              </w:rPr>
              <w:t>/</w:t>
            </w:r>
            <w:r>
              <w:rPr>
                <w:rFonts w:hint="eastAsia"/>
                <w:sz w:val="24"/>
              </w:rPr>
              <w:t>h。</w:t>
            </w:r>
          </w:p>
          <w:p>
            <w:pPr>
              <w:ind w:firstLine="480"/>
              <w:jc w:val="both"/>
              <w:rPr>
                <w:sz w:val="24"/>
              </w:rPr>
            </w:pPr>
            <w:r>
              <w:rPr>
                <w:rFonts w:hint="eastAsia"/>
                <w:sz w:val="24"/>
              </w:rPr>
              <w:t>2）机动车拆解</w:t>
            </w:r>
          </w:p>
          <w:p>
            <w:pPr>
              <w:ind w:firstLine="480"/>
              <w:jc w:val="both"/>
              <w:rPr>
                <w:sz w:val="24"/>
                <w:szCs w:val="24"/>
              </w:rPr>
            </w:pPr>
            <w:r>
              <w:rPr>
                <w:rFonts w:hint="eastAsia"/>
                <w:sz w:val="24"/>
                <w:szCs w:val="22"/>
              </w:rPr>
              <w:t>项目部分</w:t>
            </w:r>
            <w:r>
              <w:rPr>
                <w:sz w:val="24"/>
                <w:szCs w:val="22"/>
              </w:rPr>
              <w:t>车身、车架</w:t>
            </w:r>
            <w:r>
              <w:rPr>
                <w:rFonts w:hint="eastAsia"/>
                <w:sz w:val="24"/>
                <w:szCs w:val="22"/>
              </w:rPr>
              <w:t>等</w:t>
            </w:r>
            <w:r>
              <w:rPr>
                <w:sz w:val="24"/>
                <w:szCs w:val="22"/>
              </w:rPr>
              <w:t>废钢铁</w:t>
            </w:r>
            <w:r>
              <w:rPr>
                <w:rFonts w:hint="eastAsia"/>
                <w:sz w:val="24"/>
                <w:szCs w:val="22"/>
              </w:rPr>
              <w:t>需</w:t>
            </w:r>
            <w:r>
              <w:rPr>
                <w:sz w:val="24"/>
                <w:szCs w:val="22"/>
              </w:rPr>
              <w:t>进行</w:t>
            </w:r>
            <w:r>
              <w:rPr>
                <w:rFonts w:hint="eastAsia"/>
                <w:sz w:val="24"/>
                <w:szCs w:val="22"/>
              </w:rPr>
              <w:t>剪断</w:t>
            </w:r>
            <w:r>
              <w:rPr>
                <w:sz w:val="24"/>
                <w:szCs w:val="22"/>
              </w:rPr>
              <w:t>或切割处理</w:t>
            </w:r>
            <w:r>
              <w:rPr>
                <w:rFonts w:hint="eastAsia"/>
                <w:sz w:val="24"/>
                <w:szCs w:val="22"/>
              </w:rPr>
              <w:t>。</w:t>
            </w:r>
          </w:p>
          <w:p>
            <w:pPr>
              <w:ind w:firstLine="480"/>
              <w:rPr>
                <w:sz w:val="24"/>
                <w:szCs w:val="24"/>
              </w:rPr>
            </w:pPr>
            <w:r>
              <w:rPr>
                <w:rFonts w:hint="eastAsia"/>
                <w:sz w:val="24"/>
                <w:szCs w:val="24"/>
              </w:rPr>
              <w:t>根据《第二次全国污染源普查产排污量核实系数手册》“42 废弃资源综合利用行业系数手册”相关内容，废钢铁剪切颗粒物无组织产生系数为7</w:t>
            </w:r>
            <w:r>
              <w:rPr>
                <w:sz w:val="24"/>
                <w:szCs w:val="24"/>
              </w:rPr>
              <w:t>.2</w:t>
            </w:r>
            <w:r>
              <w:rPr>
                <w:rFonts w:hint="eastAsia"/>
                <w:sz w:val="24"/>
                <w:szCs w:val="24"/>
              </w:rPr>
              <w:t>g/</w:t>
            </w:r>
            <w:r>
              <w:rPr>
                <w:sz w:val="24"/>
                <w:szCs w:val="24"/>
              </w:rPr>
              <w:t>t</w:t>
            </w:r>
            <w:r>
              <w:rPr>
                <w:rFonts w:hint="eastAsia"/>
                <w:sz w:val="24"/>
                <w:szCs w:val="24"/>
              </w:rPr>
              <w:t>·原料。本项目机动车拆解污染物排放情况见表4</w:t>
            </w:r>
            <w:r>
              <w:rPr>
                <w:sz w:val="24"/>
                <w:szCs w:val="24"/>
              </w:rPr>
              <w:t>-6</w:t>
            </w:r>
            <w:r>
              <w:rPr>
                <w:rFonts w:hint="eastAsia"/>
                <w:sz w:val="24"/>
                <w:szCs w:val="24"/>
              </w:rPr>
              <w:t>。</w:t>
            </w:r>
          </w:p>
          <w:p>
            <w:pPr>
              <w:pStyle w:val="34"/>
              <w:ind w:firstLine="482"/>
              <w:rPr>
                <w:b/>
                <w:sz w:val="24"/>
              </w:rPr>
            </w:pPr>
            <w:r>
              <w:rPr>
                <w:rFonts w:hint="eastAsia"/>
                <w:b/>
                <w:sz w:val="24"/>
              </w:rPr>
              <w:t>表</w:t>
            </w:r>
            <w:r>
              <w:rPr>
                <w:b/>
                <w:sz w:val="24"/>
              </w:rPr>
              <w:t xml:space="preserve">4-6  </w:t>
            </w:r>
            <w:r>
              <w:rPr>
                <w:rFonts w:hint="eastAsia"/>
                <w:b/>
                <w:sz w:val="24"/>
              </w:rPr>
              <w:t>本项目机动车拆解工段污染物无组织产生量</w:t>
            </w:r>
          </w:p>
          <w:tbl>
            <w:tblPr>
              <w:tblStyle w:val="21"/>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27"/>
              <w:gridCol w:w="950"/>
              <w:gridCol w:w="1315"/>
              <w:gridCol w:w="1340"/>
              <w:gridCol w:w="973"/>
              <w:gridCol w:w="1253"/>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454" w:hRule="atLeast"/>
                <w:tblHeader/>
              </w:trPr>
              <w:tc>
                <w:tcPr>
                  <w:tcW w:w="1227"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名称</w:t>
                  </w:r>
                </w:p>
              </w:tc>
              <w:tc>
                <w:tcPr>
                  <w:tcW w:w="950"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年拆解量（辆）</w:t>
                  </w:r>
                </w:p>
              </w:tc>
              <w:tc>
                <w:tcPr>
                  <w:tcW w:w="1315"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平均单台车废钢铁含量（kg）</w:t>
                  </w:r>
                </w:p>
              </w:tc>
              <w:tc>
                <w:tcPr>
                  <w:tcW w:w="1340"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被</w:t>
                  </w:r>
                  <w:r>
                    <w:rPr>
                      <w:b/>
                      <w:sz w:val="24"/>
                    </w:rPr>
                    <w:t>拆解</w:t>
                  </w:r>
                  <w:r>
                    <w:rPr>
                      <w:rFonts w:hint="eastAsia"/>
                      <w:b/>
                      <w:sz w:val="24"/>
                    </w:rPr>
                    <w:t>废钢铁总</w:t>
                  </w:r>
                  <w:r>
                    <w:rPr>
                      <w:b/>
                      <w:sz w:val="24"/>
                    </w:rPr>
                    <w:t>重量</w:t>
                  </w:r>
                  <w:r>
                    <w:rPr>
                      <w:rFonts w:hint="eastAsia"/>
                      <w:b/>
                      <w:sz w:val="24"/>
                    </w:rPr>
                    <w:t>（t）</w:t>
                  </w:r>
                </w:p>
              </w:tc>
              <w:tc>
                <w:tcPr>
                  <w:tcW w:w="973"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污染物名称</w:t>
                  </w:r>
                </w:p>
              </w:tc>
              <w:tc>
                <w:tcPr>
                  <w:tcW w:w="1253"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无组织产污系数</w:t>
                  </w:r>
                </w:p>
              </w:tc>
              <w:tc>
                <w:tcPr>
                  <w:tcW w:w="1242"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34"/>
                    <w:rPr>
                      <w:b/>
                      <w:sz w:val="24"/>
                    </w:rPr>
                  </w:pPr>
                  <w:r>
                    <w:rPr>
                      <w:rFonts w:hint="eastAsia"/>
                      <w:b/>
                      <w:sz w:val="24"/>
                    </w:rPr>
                    <w:t>污染物</w:t>
                  </w:r>
                </w:p>
                <w:p>
                  <w:pPr>
                    <w:pStyle w:val="34"/>
                    <w:rPr>
                      <w:b/>
                      <w:sz w:val="24"/>
                    </w:rPr>
                  </w:pPr>
                  <w:r>
                    <w:rPr>
                      <w:rFonts w:hint="eastAsia"/>
                      <w:b/>
                      <w:sz w:val="24"/>
                    </w:rPr>
                    <w:t>产生量</w:t>
                  </w:r>
                </w:p>
                <w:p>
                  <w:pPr>
                    <w:pStyle w:val="34"/>
                    <w:rPr>
                      <w:b/>
                      <w:sz w:val="24"/>
                    </w:rPr>
                  </w:pPr>
                  <w:r>
                    <w:rPr>
                      <w:rFonts w:hint="eastAsia"/>
                      <w:b/>
                      <w:sz w:val="24"/>
                    </w:rPr>
                    <w:t>（t</w:t>
                  </w:r>
                  <w:r>
                    <w:rPr>
                      <w:b/>
                      <w:sz w:val="24"/>
                    </w:rPr>
                    <w:t>/</w:t>
                  </w:r>
                  <w:r>
                    <w:rPr>
                      <w:rFonts w:hint="eastAsia"/>
                      <w:b/>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227" w:type="dxa"/>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中大型车</w:t>
                  </w:r>
                </w:p>
              </w:tc>
              <w:tc>
                <w:tcPr>
                  <w:tcW w:w="950" w:type="dxa"/>
                  <w:tcBorders>
                    <w:top w:val="single" w:color="auto" w:sz="4" w:space="0"/>
                    <w:left w:val="single" w:color="auto" w:sz="4" w:space="0"/>
                    <w:right w:val="single" w:color="auto" w:sz="4" w:space="0"/>
                  </w:tcBorders>
                  <w:shd w:val="clear" w:color="auto" w:fill="FFFFFF"/>
                  <w:vAlign w:val="center"/>
                </w:tcPr>
                <w:p>
                  <w:pPr>
                    <w:pStyle w:val="34"/>
                    <w:rPr>
                      <w:sz w:val="24"/>
                    </w:rPr>
                  </w:pPr>
                  <w:r>
                    <w:rPr>
                      <w:sz w:val="24"/>
                    </w:rPr>
                    <w:t>1000</w:t>
                  </w:r>
                </w:p>
              </w:tc>
              <w:tc>
                <w:tcPr>
                  <w:tcW w:w="1315" w:type="dxa"/>
                  <w:tcBorders>
                    <w:top w:val="single" w:color="auto" w:sz="4" w:space="0"/>
                    <w:left w:val="single" w:color="auto" w:sz="4" w:space="0"/>
                    <w:right w:val="single" w:color="auto" w:sz="4" w:space="0"/>
                  </w:tcBorders>
                  <w:shd w:val="clear" w:color="auto" w:fill="FFFFFF"/>
                  <w:vAlign w:val="center"/>
                </w:tcPr>
                <w:p>
                  <w:pPr>
                    <w:pStyle w:val="34"/>
                    <w:rPr>
                      <w:sz w:val="24"/>
                    </w:rPr>
                  </w:pPr>
                  <w:r>
                    <w:rPr>
                      <w:sz w:val="24"/>
                    </w:rPr>
                    <w:t>1800</w:t>
                  </w:r>
                </w:p>
              </w:tc>
              <w:tc>
                <w:tcPr>
                  <w:tcW w:w="1340" w:type="dxa"/>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1</w:t>
                  </w:r>
                  <w:r>
                    <w:rPr>
                      <w:sz w:val="24"/>
                    </w:rPr>
                    <w:t>800</w:t>
                  </w:r>
                </w:p>
              </w:tc>
              <w:tc>
                <w:tcPr>
                  <w:tcW w:w="973" w:type="dxa"/>
                  <w:vMerge w:val="restart"/>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颗粒物</w:t>
                  </w:r>
                </w:p>
              </w:tc>
              <w:tc>
                <w:tcPr>
                  <w:tcW w:w="1253" w:type="dxa"/>
                  <w:vMerge w:val="restart"/>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7</w:t>
                  </w:r>
                  <w:r>
                    <w:rPr>
                      <w:sz w:val="24"/>
                    </w:rPr>
                    <w:t>.2</w:t>
                  </w:r>
                  <w:r>
                    <w:rPr>
                      <w:rFonts w:hint="eastAsia"/>
                      <w:sz w:val="24"/>
                    </w:rPr>
                    <w:t>g/</w:t>
                  </w:r>
                  <w:r>
                    <w:rPr>
                      <w:sz w:val="24"/>
                    </w:rPr>
                    <w:t>t</w:t>
                  </w:r>
                  <w:r>
                    <w:rPr>
                      <w:rFonts w:hint="eastAsia"/>
                      <w:sz w:val="24"/>
                    </w:rPr>
                    <w:t>·原料</w:t>
                  </w:r>
                </w:p>
              </w:tc>
              <w:tc>
                <w:tcPr>
                  <w:tcW w:w="1242" w:type="dxa"/>
                  <w:tcBorders>
                    <w:top w:val="single" w:color="auto" w:sz="4" w:space="0"/>
                    <w:left w:val="single" w:color="auto" w:sz="4" w:space="0"/>
                    <w:right w:val="single" w:color="auto" w:sz="4" w:space="0"/>
                  </w:tcBorders>
                  <w:shd w:val="clear" w:color="auto" w:fill="FFFFFF"/>
                  <w:vAlign w:val="center"/>
                </w:tcPr>
                <w:p>
                  <w:pPr>
                    <w:pStyle w:val="34"/>
                    <w:rPr>
                      <w:sz w:val="24"/>
                    </w:rPr>
                  </w:pPr>
                  <w:r>
                    <w:rPr>
                      <w:rFonts w:hint="eastAsia"/>
                      <w:sz w:val="24"/>
                    </w:rPr>
                    <w:t>0</w:t>
                  </w:r>
                  <w:r>
                    <w:rPr>
                      <w:sz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小型车</w:t>
                  </w:r>
                </w:p>
              </w:tc>
              <w:tc>
                <w:tcPr>
                  <w:tcW w:w="950" w:type="dxa"/>
                  <w:tcBorders>
                    <w:left w:val="single" w:color="auto" w:sz="4" w:space="0"/>
                    <w:right w:val="single" w:color="auto" w:sz="4" w:space="0"/>
                  </w:tcBorders>
                  <w:shd w:val="clear" w:color="auto" w:fill="FFFFFF"/>
                  <w:vAlign w:val="center"/>
                </w:tcPr>
                <w:p>
                  <w:pPr>
                    <w:pStyle w:val="34"/>
                    <w:rPr>
                      <w:sz w:val="24"/>
                    </w:rPr>
                  </w:pPr>
                  <w:r>
                    <w:rPr>
                      <w:rFonts w:hint="eastAsia"/>
                      <w:sz w:val="24"/>
                    </w:rPr>
                    <w:t>17</w:t>
                  </w:r>
                  <w:r>
                    <w:rPr>
                      <w:sz w:val="24"/>
                    </w:rPr>
                    <w:t>000</w:t>
                  </w:r>
                </w:p>
              </w:tc>
              <w:tc>
                <w:tcPr>
                  <w:tcW w:w="13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1</w:t>
                  </w:r>
                  <w:r>
                    <w:rPr>
                      <w:sz w:val="24"/>
                    </w:rPr>
                    <w:t>300</w:t>
                  </w:r>
                </w:p>
              </w:tc>
              <w:tc>
                <w:tcPr>
                  <w:tcW w:w="134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221</w:t>
                  </w:r>
                  <w:r>
                    <w:rPr>
                      <w:sz w:val="24"/>
                    </w:rPr>
                    <w:t>00</w:t>
                  </w:r>
                </w:p>
              </w:tc>
              <w:tc>
                <w:tcPr>
                  <w:tcW w:w="973" w:type="dxa"/>
                  <w:vMerge w:val="continue"/>
                  <w:tcBorders>
                    <w:left w:val="single" w:color="auto" w:sz="4" w:space="0"/>
                    <w:right w:val="single" w:color="auto" w:sz="4" w:space="0"/>
                  </w:tcBorders>
                  <w:shd w:val="clear" w:color="auto" w:fill="FFFFFF"/>
                  <w:vAlign w:val="center"/>
                </w:tcPr>
                <w:p>
                  <w:pPr>
                    <w:pStyle w:val="34"/>
                    <w:rPr>
                      <w:sz w:val="24"/>
                    </w:rPr>
                  </w:pPr>
                </w:p>
              </w:tc>
              <w:tc>
                <w:tcPr>
                  <w:tcW w:w="1253" w:type="dxa"/>
                  <w:vMerge w:val="continue"/>
                  <w:tcBorders>
                    <w:left w:val="single" w:color="auto" w:sz="4" w:space="0"/>
                    <w:right w:val="single" w:color="auto" w:sz="4" w:space="0"/>
                  </w:tcBorders>
                  <w:shd w:val="clear" w:color="auto" w:fill="FFFFFF"/>
                  <w:vAlign w:val="center"/>
                </w:tcPr>
                <w:p>
                  <w:pPr>
                    <w:pStyle w:val="34"/>
                    <w:rPr>
                      <w:sz w:val="24"/>
                    </w:rPr>
                  </w:pP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0</w:t>
                  </w:r>
                  <w:r>
                    <w:rPr>
                      <w:sz w:val="24"/>
                    </w:rPr>
                    <w:t>.1</w:t>
                  </w:r>
                  <w:r>
                    <w:rPr>
                      <w:rFonts w:hint="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2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摩托车</w:t>
                  </w:r>
                </w:p>
              </w:tc>
              <w:tc>
                <w:tcPr>
                  <w:tcW w:w="950" w:type="dxa"/>
                  <w:tcBorders>
                    <w:left w:val="single" w:color="auto" w:sz="4" w:space="0"/>
                    <w:right w:val="single" w:color="auto" w:sz="4" w:space="0"/>
                  </w:tcBorders>
                  <w:shd w:val="clear" w:color="auto" w:fill="FFFFFF"/>
                  <w:vAlign w:val="center"/>
                </w:tcPr>
                <w:p>
                  <w:pPr>
                    <w:pStyle w:val="34"/>
                    <w:rPr>
                      <w:sz w:val="24"/>
                    </w:rPr>
                  </w:pPr>
                  <w:r>
                    <w:rPr>
                      <w:rFonts w:hint="eastAsia"/>
                      <w:sz w:val="24"/>
                    </w:rPr>
                    <w:t>4</w:t>
                  </w:r>
                  <w:r>
                    <w:rPr>
                      <w:sz w:val="24"/>
                    </w:rPr>
                    <w:t>000</w:t>
                  </w:r>
                </w:p>
              </w:tc>
              <w:tc>
                <w:tcPr>
                  <w:tcW w:w="13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2</w:t>
                  </w:r>
                  <w:r>
                    <w:rPr>
                      <w:sz w:val="24"/>
                    </w:rPr>
                    <w:t>00</w:t>
                  </w:r>
                </w:p>
              </w:tc>
              <w:tc>
                <w:tcPr>
                  <w:tcW w:w="134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8</w:t>
                  </w:r>
                  <w:r>
                    <w:rPr>
                      <w:sz w:val="24"/>
                    </w:rPr>
                    <w:t>00</w:t>
                  </w:r>
                </w:p>
              </w:tc>
              <w:tc>
                <w:tcPr>
                  <w:tcW w:w="973" w:type="dxa"/>
                  <w:vMerge w:val="continue"/>
                  <w:tcBorders>
                    <w:left w:val="single" w:color="auto" w:sz="4" w:space="0"/>
                    <w:right w:val="single" w:color="auto" w:sz="4" w:space="0"/>
                  </w:tcBorders>
                  <w:shd w:val="clear" w:color="auto" w:fill="FFFFFF"/>
                  <w:vAlign w:val="center"/>
                </w:tcPr>
                <w:p>
                  <w:pPr>
                    <w:pStyle w:val="34"/>
                    <w:rPr>
                      <w:sz w:val="24"/>
                    </w:rPr>
                  </w:pPr>
                </w:p>
              </w:tc>
              <w:tc>
                <w:tcPr>
                  <w:tcW w:w="1253" w:type="dxa"/>
                  <w:vMerge w:val="continue"/>
                  <w:tcBorders>
                    <w:left w:val="single" w:color="auto" w:sz="4" w:space="0"/>
                    <w:right w:val="single" w:color="auto" w:sz="4" w:space="0"/>
                  </w:tcBorders>
                  <w:shd w:val="clear" w:color="auto" w:fill="FFFFFF"/>
                  <w:vAlign w:val="center"/>
                </w:tcPr>
                <w:p>
                  <w:pPr>
                    <w:pStyle w:val="34"/>
                    <w:rPr>
                      <w:sz w:val="24"/>
                    </w:rPr>
                  </w:pP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0</w:t>
                  </w:r>
                  <w:r>
                    <w:rPr>
                      <w:sz w:val="24"/>
                    </w:rPr>
                    <w:t>.00</w:t>
                  </w:r>
                  <w:r>
                    <w:rPr>
                      <w:rFonts w:hint="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7058"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颗粒物合计产生量</w:t>
                  </w:r>
                </w:p>
              </w:tc>
              <w:tc>
                <w:tcPr>
                  <w:tcW w:w="12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
                    <w:rPr>
                      <w:sz w:val="24"/>
                    </w:rPr>
                  </w:pPr>
                  <w:r>
                    <w:rPr>
                      <w:rFonts w:hint="eastAsia"/>
                      <w:sz w:val="24"/>
                    </w:rPr>
                    <w:t>0</w:t>
                  </w:r>
                  <w:r>
                    <w:rPr>
                      <w:sz w:val="24"/>
                    </w:rPr>
                    <w:t>.18</w:t>
                  </w:r>
                </w:p>
              </w:tc>
            </w:tr>
          </w:tbl>
          <w:p>
            <w:pPr>
              <w:ind w:firstLine="480"/>
              <w:rPr>
                <w:sz w:val="24"/>
                <w:szCs w:val="24"/>
              </w:rPr>
            </w:pPr>
            <w:r>
              <w:rPr>
                <w:rFonts w:hint="eastAsia"/>
                <w:sz w:val="24"/>
                <w:szCs w:val="24"/>
              </w:rPr>
              <w:t>机动车时间按每年3</w:t>
            </w:r>
            <w:r>
              <w:rPr>
                <w:sz w:val="24"/>
                <w:szCs w:val="24"/>
              </w:rPr>
              <w:t>000</w:t>
            </w:r>
            <w:r>
              <w:rPr>
                <w:rFonts w:hint="eastAsia"/>
                <w:sz w:val="24"/>
                <w:szCs w:val="24"/>
              </w:rPr>
              <w:t>h计，则机动车拆解颗粒物产生量为0</w:t>
            </w:r>
            <w:r>
              <w:rPr>
                <w:sz w:val="24"/>
                <w:szCs w:val="24"/>
              </w:rPr>
              <w:t>.18</w:t>
            </w:r>
            <w:r>
              <w:rPr>
                <w:rFonts w:hint="eastAsia"/>
                <w:sz w:val="24"/>
                <w:szCs w:val="24"/>
              </w:rPr>
              <w:t>t</w:t>
            </w:r>
            <w:r>
              <w:rPr>
                <w:sz w:val="24"/>
                <w:szCs w:val="24"/>
              </w:rPr>
              <w:t>/</w:t>
            </w:r>
            <w:r>
              <w:rPr>
                <w:rFonts w:hint="eastAsia"/>
                <w:sz w:val="24"/>
                <w:szCs w:val="24"/>
              </w:rPr>
              <w:t>a，</w:t>
            </w:r>
            <w:r>
              <w:rPr>
                <w:sz w:val="24"/>
                <w:szCs w:val="24"/>
              </w:rPr>
              <w:t>0.0</w:t>
            </w:r>
            <w:r>
              <w:rPr>
                <w:rFonts w:hint="eastAsia"/>
                <w:sz w:val="24"/>
                <w:szCs w:val="24"/>
              </w:rPr>
              <w:t>6kg</w:t>
            </w:r>
            <w:r>
              <w:rPr>
                <w:sz w:val="24"/>
                <w:szCs w:val="24"/>
              </w:rPr>
              <w:t>/</w:t>
            </w:r>
            <w:r>
              <w:rPr>
                <w:rFonts w:hint="eastAsia"/>
                <w:sz w:val="24"/>
                <w:szCs w:val="24"/>
              </w:rPr>
              <w:t>h。机动车车身、车架的剪切产生的颗粒物均为金属碎屑，60%将在拆解场地内自然沉降，对当地大气环境影响较小。机动车拆解阶段无组织颗粒物排放量为0.07t/a，0.02kg/h。</w:t>
            </w:r>
          </w:p>
          <w:p>
            <w:pPr>
              <w:ind w:firstLine="480"/>
              <w:rPr>
                <w:sz w:val="24"/>
                <w:szCs w:val="24"/>
              </w:rPr>
            </w:pPr>
            <w:r>
              <w:rPr>
                <w:rFonts w:hint="eastAsia"/>
                <w:sz w:val="24"/>
                <w:szCs w:val="24"/>
              </w:rPr>
              <w:t>3）机动车拆解后机械加工</w:t>
            </w:r>
          </w:p>
          <w:p>
            <w:pPr>
              <w:ind w:firstLine="480"/>
              <w:rPr>
                <w:sz w:val="24"/>
                <w:szCs w:val="24"/>
              </w:rPr>
            </w:pPr>
            <w:r>
              <w:rPr>
                <w:rFonts w:hint="eastAsia"/>
                <w:sz w:val="24"/>
                <w:szCs w:val="24"/>
              </w:rPr>
              <w:t>经切割后的废弃钢铁进一步进行破碎加工，根据《第二次全国污染源普查产排污量核实系数手册》“42 废弃资源综合利用行业系数手册”相关内容，废钢铁破碎颗粒物产生系数为3</w:t>
            </w:r>
            <w:r>
              <w:rPr>
                <w:sz w:val="24"/>
                <w:szCs w:val="24"/>
              </w:rPr>
              <w:t>60</w:t>
            </w:r>
            <w:r>
              <w:rPr>
                <w:rFonts w:hint="eastAsia"/>
                <w:sz w:val="24"/>
                <w:szCs w:val="24"/>
              </w:rPr>
              <w:t>g/</w:t>
            </w:r>
            <w:r>
              <w:rPr>
                <w:sz w:val="24"/>
                <w:szCs w:val="24"/>
              </w:rPr>
              <w:t>t</w:t>
            </w:r>
            <w:r>
              <w:rPr>
                <w:rFonts w:hint="eastAsia"/>
                <w:sz w:val="24"/>
                <w:szCs w:val="24"/>
              </w:rPr>
              <w:t>·原料。本项目需破碎的钢铁总质量为2</w:t>
            </w:r>
            <w:r>
              <w:rPr>
                <w:sz w:val="24"/>
                <w:szCs w:val="24"/>
              </w:rPr>
              <w:t>5800</w:t>
            </w:r>
            <w:r>
              <w:rPr>
                <w:rFonts w:hint="eastAsia"/>
                <w:sz w:val="24"/>
                <w:szCs w:val="24"/>
              </w:rPr>
              <w:t>t，则破碎颗粒物产生量为8.89t。机动车拆解加工阶段设置集气罩对加工废气进行收集，加工作业位置四周设置围挡，增加废气收集效率。集气罩收集效率按85</w:t>
            </w:r>
            <w:r>
              <w:rPr>
                <w:sz w:val="24"/>
                <w:szCs w:val="24"/>
              </w:rPr>
              <w:t>%</w:t>
            </w:r>
            <w:r>
              <w:rPr>
                <w:rFonts w:hint="eastAsia"/>
                <w:sz w:val="24"/>
                <w:szCs w:val="24"/>
              </w:rPr>
              <w:t>计算，配套风量为5</w:t>
            </w:r>
            <w:r>
              <w:rPr>
                <w:sz w:val="24"/>
                <w:szCs w:val="24"/>
              </w:rPr>
              <w:t>000</w:t>
            </w:r>
            <w:r>
              <w:rPr>
                <w:rFonts w:hint="eastAsia"/>
                <w:sz w:val="24"/>
                <w:szCs w:val="24"/>
              </w:rPr>
              <w:t>m</w:t>
            </w:r>
            <w:r>
              <w:rPr>
                <w:sz w:val="24"/>
                <w:szCs w:val="24"/>
                <w:vertAlign w:val="superscript"/>
              </w:rPr>
              <w:t>3</w:t>
            </w:r>
            <w:r>
              <w:rPr>
                <w:rFonts w:hint="eastAsia"/>
                <w:sz w:val="24"/>
                <w:szCs w:val="24"/>
              </w:rPr>
              <w:t>/h的风机。</w:t>
            </w:r>
          </w:p>
          <w:p>
            <w:pPr>
              <w:ind w:firstLine="480"/>
              <w:rPr>
                <w:sz w:val="24"/>
                <w:szCs w:val="24"/>
              </w:rPr>
            </w:pPr>
            <w:r>
              <w:rPr>
                <w:rFonts w:hint="eastAsia"/>
                <w:sz w:val="24"/>
                <w:szCs w:val="24"/>
              </w:rPr>
              <w:t>每年机动车拆解后加工时间按30</w:t>
            </w:r>
            <w:r>
              <w:rPr>
                <w:sz w:val="24"/>
                <w:szCs w:val="24"/>
              </w:rPr>
              <w:t>00</w:t>
            </w:r>
            <w:r>
              <w:rPr>
                <w:rFonts w:hint="eastAsia"/>
                <w:sz w:val="24"/>
                <w:szCs w:val="24"/>
              </w:rPr>
              <w:t>h计，则本项目有组织废气颗粒物产生量为7</w:t>
            </w:r>
            <w:r>
              <w:rPr>
                <w:sz w:val="24"/>
                <w:szCs w:val="24"/>
              </w:rPr>
              <w:t>.</w:t>
            </w:r>
            <w:r>
              <w:rPr>
                <w:rFonts w:hint="eastAsia"/>
                <w:sz w:val="24"/>
                <w:szCs w:val="24"/>
              </w:rPr>
              <w:t>56t</w:t>
            </w:r>
            <w:r>
              <w:rPr>
                <w:sz w:val="24"/>
                <w:szCs w:val="24"/>
              </w:rPr>
              <w:t>/</w:t>
            </w:r>
            <w:r>
              <w:rPr>
                <w:rFonts w:hint="eastAsia"/>
                <w:sz w:val="24"/>
                <w:szCs w:val="24"/>
              </w:rPr>
              <w:t>a，2.52kg</w:t>
            </w:r>
            <w:r>
              <w:rPr>
                <w:sz w:val="24"/>
                <w:szCs w:val="24"/>
              </w:rPr>
              <w:t>/</w:t>
            </w:r>
            <w:r>
              <w:rPr>
                <w:rFonts w:hint="eastAsia"/>
                <w:sz w:val="24"/>
                <w:szCs w:val="24"/>
              </w:rPr>
              <w:t>h，产生浓度为503.77mg</w:t>
            </w:r>
            <w:r>
              <w:rPr>
                <w:sz w:val="24"/>
                <w:szCs w:val="24"/>
              </w:rPr>
              <w:t>/</w:t>
            </w:r>
            <w:r>
              <w:rPr>
                <w:rFonts w:hint="eastAsia"/>
                <w:sz w:val="24"/>
                <w:szCs w:val="24"/>
              </w:rPr>
              <w:t>m</w:t>
            </w:r>
            <w:r>
              <w:rPr>
                <w:sz w:val="24"/>
                <w:szCs w:val="24"/>
                <w:vertAlign w:val="superscript"/>
              </w:rPr>
              <w:t>3</w:t>
            </w:r>
            <w:r>
              <w:rPr>
                <w:rFonts w:hint="eastAsia"/>
                <w:sz w:val="24"/>
                <w:szCs w:val="24"/>
              </w:rPr>
              <w:t>。破碎废气采用布袋除尘进行处置，布袋除尘器的处置效率按9</w:t>
            </w:r>
            <w:r>
              <w:rPr>
                <w:sz w:val="24"/>
                <w:szCs w:val="24"/>
              </w:rPr>
              <w:t>5%</w:t>
            </w:r>
            <w:r>
              <w:rPr>
                <w:rFonts w:hint="eastAsia"/>
                <w:sz w:val="24"/>
                <w:szCs w:val="24"/>
              </w:rPr>
              <w:t>计，有组织废气颗粒物排放量为0</w:t>
            </w:r>
            <w:r>
              <w:rPr>
                <w:sz w:val="24"/>
                <w:szCs w:val="24"/>
              </w:rPr>
              <w:t>.3</w:t>
            </w:r>
            <w:r>
              <w:rPr>
                <w:rFonts w:hint="eastAsia"/>
                <w:sz w:val="24"/>
                <w:szCs w:val="24"/>
              </w:rPr>
              <w:t>8t</w:t>
            </w:r>
            <w:r>
              <w:rPr>
                <w:sz w:val="24"/>
                <w:szCs w:val="24"/>
              </w:rPr>
              <w:t>/</w:t>
            </w:r>
            <w:r>
              <w:rPr>
                <w:rFonts w:hint="eastAsia"/>
                <w:sz w:val="24"/>
                <w:szCs w:val="24"/>
              </w:rPr>
              <w:t>a，0</w:t>
            </w:r>
            <w:r>
              <w:rPr>
                <w:sz w:val="24"/>
                <w:szCs w:val="24"/>
              </w:rPr>
              <w:t>.</w:t>
            </w:r>
            <w:r>
              <w:rPr>
                <w:rFonts w:hint="eastAsia"/>
                <w:sz w:val="24"/>
                <w:szCs w:val="24"/>
              </w:rPr>
              <w:t>13kg</w:t>
            </w:r>
            <w:r>
              <w:rPr>
                <w:sz w:val="24"/>
                <w:szCs w:val="24"/>
              </w:rPr>
              <w:t>/</w:t>
            </w:r>
            <w:r>
              <w:rPr>
                <w:rFonts w:hint="eastAsia"/>
                <w:sz w:val="24"/>
                <w:szCs w:val="24"/>
              </w:rPr>
              <w:t>h，排放浓度为25.33mg</w:t>
            </w:r>
            <w:r>
              <w:rPr>
                <w:sz w:val="24"/>
                <w:szCs w:val="24"/>
              </w:rPr>
              <w:t>/m</w:t>
            </w:r>
            <w:r>
              <w:rPr>
                <w:rFonts w:hint="eastAsia"/>
                <w:sz w:val="24"/>
                <w:szCs w:val="24"/>
                <w:vertAlign w:val="superscript"/>
              </w:rPr>
              <w:t>3</w:t>
            </w:r>
            <w:r>
              <w:rPr>
                <w:rFonts w:hint="eastAsia"/>
                <w:sz w:val="24"/>
                <w:szCs w:val="24"/>
              </w:rPr>
              <w:t>。</w:t>
            </w:r>
            <w:bookmarkEnd w:id="4"/>
            <w:r>
              <w:rPr>
                <w:rFonts w:hint="eastAsia"/>
                <w:sz w:val="24"/>
                <w:szCs w:val="24"/>
              </w:rPr>
              <w:t>废气经处置完成后，通过1</w:t>
            </w:r>
            <w:r>
              <w:rPr>
                <w:sz w:val="24"/>
                <w:szCs w:val="24"/>
              </w:rPr>
              <w:t>5</w:t>
            </w:r>
            <w:r>
              <w:rPr>
                <w:rFonts w:hint="eastAsia"/>
                <w:sz w:val="24"/>
                <w:szCs w:val="24"/>
              </w:rPr>
              <w:t>m高排气筒达标排放。</w:t>
            </w:r>
          </w:p>
          <w:p>
            <w:pPr>
              <w:ind w:firstLine="480"/>
              <w:rPr>
                <w:sz w:val="24"/>
                <w:szCs w:val="24"/>
              </w:rPr>
            </w:pPr>
            <w:r>
              <w:rPr>
                <w:rFonts w:hint="eastAsia"/>
                <w:sz w:val="24"/>
                <w:szCs w:val="24"/>
              </w:rPr>
              <w:t>无组织废气颗粒物产生量为1</w:t>
            </w:r>
            <w:r>
              <w:rPr>
                <w:sz w:val="24"/>
                <w:szCs w:val="24"/>
              </w:rPr>
              <w:t>.</w:t>
            </w:r>
            <w:r>
              <w:rPr>
                <w:rFonts w:hint="eastAsia"/>
                <w:sz w:val="24"/>
                <w:szCs w:val="24"/>
              </w:rPr>
              <w:t>33t</w:t>
            </w:r>
            <w:r>
              <w:rPr>
                <w:sz w:val="24"/>
                <w:szCs w:val="24"/>
              </w:rPr>
              <w:t>/</w:t>
            </w:r>
            <w:r>
              <w:rPr>
                <w:rFonts w:hint="eastAsia"/>
                <w:sz w:val="24"/>
                <w:szCs w:val="24"/>
              </w:rPr>
              <w:t>a，0</w:t>
            </w:r>
            <w:r>
              <w:rPr>
                <w:sz w:val="24"/>
                <w:szCs w:val="24"/>
              </w:rPr>
              <w:t>.</w:t>
            </w:r>
            <w:r>
              <w:rPr>
                <w:rFonts w:hint="eastAsia"/>
                <w:sz w:val="24"/>
                <w:szCs w:val="24"/>
              </w:rPr>
              <w:t>44kg</w:t>
            </w:r>
            <w:r>
              <w:rPr>
                <w:sz w:val="24"/>
                <w:szCs w:val="24"/>
              </w:rPr>
              <w:t>/</w:t>
            </w:r>
            <w:r>
              <w:rPr>
                <w:rFonts w:hint="eastAsia"/>
                <w:sz w:val="24"/>
                <w:szCs w:val="24"/>
              </w:rPr>
              <w:t>h。其中60%沉降于工作场地，无组织粉尘排放量为0.53t/a，0.18kg/h。</w:t>
            </w:r>
          </w:p>
          <w:p>
            <w:pPr>
              <w:pStyle w:val="34"/>
              <w:rPr>
                <w:b/>
                <w:sz w:val="24"/>
              </w:rPr>
            </w:pPr>
            <w:r>
              <w:rPr>
                <w:b/>
                <w:sz w:val="24"/>
              </w:rPr>
              <w:t>表4-7  本项目大气污染物排放统计表</w:t>
            </w:r>
          </w:p>
          <w:tbl>
            <w:tblPr>
              <w:tblStyle w:val="21"/>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19"/>
              <w:gridCol w:w="1559"/>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512" w:type="dxa"/>
                  <w:shd w:val="pct10" w:color="auto" w:fill="auto"/>
                  <w:vAlign w:val="center"/>
                </w:tcPr>
                <w:p>
                  <w:pPr>
                    <w:pStyle w:val="34"/>
                    <w:rPr>
                      <w:b/>
                      <w:sz w:val="24"/>
                    </w:rPr>
                  </w:pPr>
                  <w:r>
                    <w:rPr>
                      <w:b/>
                      <w:sz w:val="24"/>
                    </w:rPr>
                    <w:t>污染物名称</w:t>
                  </w:r>
                </w:p>
              </w:tc>
              <w:tc>
                <w:tcPr>
                  <w:tcW w:w="4678" w:type="dxa"/>
                  <w:gridSpan w:val="2"/>
                  <w:shd w:val="pct10" w:color="auto" w:fill="auto"/>
                  <w:vAlign w:val="center"/>
                </w:tcPr>
                <w:p>
                  <w:pPr>
                    <w:pStyle w:val="34"/>
                    <w:rPr>
                      <w:b/>
                      <w:sz w:val="24"/>
                    </w:rPr>
                  </w:pPr>
                  <w:r>
                    <w:rPr>
                      <w:rFonts w:hint="eastAsia"/>
                      <w:b/>
                      <w:sz w:val="24"/>
                    </w:rPr>
                    <w:t>产污环节</w:t>
                  </w:r>
                </w:p>
              </w:tc>
              <w:tc>
                <w:tcPr>
                  <w:tcW w:w="2110" w:type="dxa"/>
                  <w:shd w:val="pct10" w:color="auto" w:fill="auto"/>
                  <w:vAlign w:val="center"/>
                </w:tcPr>
                <w:p>
                  <w:pPr>
                    <w:pStyle w:val="34"/>
                    <w:rPr>
                      <w:b/>
                      <w:sz w:val="24"/>
                    </w:rPr>
                  </w:pPr>
                  <w:r>
                    <w:rPr>
                      <w:b/>
                      <w:sz w:val="24"/>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restart"/>
                  <w:vAlign w:val="center"/>
                </w:tcPr>
                <w:p>
                  <w:pPr>
                    <w:pStyle w:val="34"/>
                    <w:rPr>
                      <w:sz w:val="24"/>
                    </w:rPr>
                  </w:pPr>
                  <w:r>
                    <w:rPr>
                      <w:rFonts w:hint="eastAsia"/>
                      <w:sz w:val="24"/>
                    </w:rPr>
                    <w:t>颗粒物</w:t>
                  </w:r>
                </w:p>
              </w:tc>
              <w:tc>
                <w:tcPr>
                  <w:tcW w:w="3119" w:type="dxa"/>
                  <w:vMerge w:val="restart"/>
                  <w:vAlign w:val="center"/>
                </w:tcPr>
                <w:p>
                  <w:pPr>
                    <w:pStyle w:val="34"/>
                    <w:rPr>
                      <w:sz w:val="24"/>
                    </w:rPr>
                  </w:pPr>
                  <w:r>
                    <w:rPr>
                      <w:rFonts w:hint="eastAsia"/>
                      <w:sz w:val="24"/>
                    </w:rPr>
                    <w:t>废弃电器拆解</w:t>
                  </w:r>
                </w:p>
              </w:tc>
              <w:tc>
                <w:tcPr>
                  <w:tcW w:w="1559" w:type="dxa"/>
                  <w:vAlign w:val="center"/>
                </w:tcPr>
                <w:p>
                  <w:pPr>
                    <w:pStyle w:val="34"/>
                    <w:rPr>
                      <w:sz w:val="24"/>
                    </w:rPr>
                  </w:pPr>
                  <w:r>
                    <w:rPr>
                      <w:sz w:val="24"/>
                    </w:rPr>
                    <w:t>有组织</w:t>
                  </w:r>
                </w:p>
              </w:tc>
              <w:tc>
                <w:tcPr>
                  <w:tcW w:w="2110" w:type="dxa"/>
                  <w:vAlign w:val="center"/>
                </w:tcPr>
                <w:p>
                  <w:pPr>
                    <w:pStyle w:val="34"/>
                    <w:rPr>
                      <w:sz w:val="24"/>
                    </w:rPr>
                  </w:pPr>
                  <w:r>
                    <w:rPr>
                      <w:rFonts w:hint="eastAsia"/>
                      <w:sz w:val="24"/>
                    </w:rPr>
                    <w:t>0</w:t>
                  </w:r>
                  <w:r>
                    <w:rPr>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continue"/>
                  <w:vAlign w:val="center"/>
                </w:tcPr>
                <w:p>
                  <w:pPr>
                    <w:pStyle w:val="34"/>
                    <w:rPr>
                      <w:sz w:val="24"/>
                    </w:rPr>
                  </w:pPr>
                </w:p>
              </w:tc>
              <w:tc>
                <w:tcPr>
                  <w:tcW w:w="3119" w:type="dxa"/>
                  <w:vMerge w:val="continue"/>
                  <w:vAlign w:val="center"/>
                </w:tcPr>
                <w:p>
                  <w:pPr>
                    <w:pStyle w:val="34"/>
                    <w:rPr>
                      <w:sz w:val="24"/>
                    </w:rPr>
                  </w:pPr>
                </w:p>
              </w:tc>
              <w:tc>
                <w:tcPr>
                  <w:tcW w:w="1559" w:type="dxa"/>
                  <w:vAlign w:val="center"/>
                </w:tcPr>
                <w:p>
                  <w:pPr>
                    <w:pStyle w:val="34"/>
                    <w:rPr>
                      <w:sz w:val="24"/>
                    </w:rPr>
                  </w:pPr>
                  <w:r>
                    <w:rPr>
                      <w:sz w:val="24"/>
                    </w:rPr>
                    <w:t>无组织</w:t>
                  </w:r>
                </w:p>
              </w:tc>
              <w:tc>
                <w:tcPr>
                  <w:tcW w:w="2110" w:type="dxa"/>
                  <w:vAlign w:val="center"/>
                </w:tcPr>
                <w:p>
                  <w:pPr>
                    <w:pStyle w:val="34"/>
                    <w:rPr>
                      <w:sz w:val="24"/>
                    </w:rPr>
                  </w:pPr>
                  <w:r>
                    <w:rPr>
                      <w:rFonts w:hint="eastAsia"/>
                      <w:sz w:val="24"/>
                    </w:rPr>
                    <w:t>0</w:t>
                  </w:r>
                  <w:r>
                    <w:rPr>
                      <w:sz w:val="24"/>
                    </w:rPr>
                    <w:t>.</w:t>
                  </w:r>
                  <w:r>
                    <w:rPr>
                      <w:rFonts w:hint="eastAsia"/>
                      <w:sz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continue"/>
                  <w:vAlign w:val="center"/>
                </w:tcPr>
                <w:p>
                  <w:pPr>
                    <w:pStyle w:val="34"/>
                    <w:rPr>
                      <w:sz w:val="24"/>
                    </w:rPr>
                  </w:pPr>
                </w:p>
              </w:tc>
              <w:tc>
                <w:tcPr>
                  <w:tcW w:w="3119" w:type="dxa"/>
                  <w:vMerge w:val="restart"/>
                  <w:vAlign w:val="center"/>
                </w:tcPr>
                <w:p>
                  <w:pPr>
                    <w:pStyle w:val="34"/>
                    <w:rPr>
                      <w:sz w:val="24"/>
                    </w:rPr>
                  </w:pPr>
                  <w:bookmarkStart w:id="5" w:name="_Hlk108645175"/>
                  <w:r>
                    <w:rPr>
                      <w:rFonts w:hint="eastAsia"/>
                      <w:sz w:val="24"/>
                    </w:rPr>
                    <w:t>废弃电器</w:t>
                  </w:r>
                  <w:bookmarkEnd w:id="5"/>
                  <w:r>
                    <w:rPr>
                      <w:rFonts w:hint="eastAsia"/>
                      <w:sz w:val="24"/>
                    </w:rPr>
                    <w:t>拆解后机械加工</w:t>
                  </w:r>
                </w:p>
              </w:tc>
              <w:tc>
                <w:tcPr>
                  <w:tcW w:w="1559" w:type="dxa"/>
                  <w:vAlign w:val="center"/>
                </w:tcPr>
                <w:p>
                  <w:pPr>
                    <w:pStyle w:val="34"/>
                    <w:rPr>
                      <w:sz w:val="24"/>
                    </w:rPr>
                  </w:pPr>
                  <w:r>
                    <w:rPr>
                      <w:sz w:val="24"/>
                    </w:rPr>
                    <w:t>有组织</w:t>
                  </w:r>
                </w:p>
              </w:tc>
              <w:tc>
                <w:tcPr>
                  <w:tcW w:w="2110" w:type="dxa"/>
                  <w:vAlign w:val="center"/>
                </w:tcPr>
                <w:p>
                  <w:pPr>
                    <w:pStyle w:val="34"/>
                    <w:rPr>
                      <w:sz w:val="24"/>
                    </w:rPr>
                  </w:pPr>
                  <w:r>
                    <w:rPr>
                      <w:rFonts w:hint="eastAsia"/>
                      <w:sz w:val="24"/>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continue"/>
                  <w:vAlign w:val="center"/>
                </w:tcPr>
                <w:p>
                  <w:pPr>
                    <w:pStyle w:val="34"/>
                    <w:rPr>
                      <w:sz w:val="24"/>
                    </w:rPr>
                  </w:pPr>
                </w:p>
              </w:tc>
              <w:tc>
                <w:tcPr>
                  <w:tcW w:w="3119" w:type="dxa"/>
                  <w:vMerge w:val="continue"/>
                  <w:vAlign w:val="center"/>
                </w:tcPr>
                <w:p>
                  <w:pPr>
                    <w:pStyle w:val="34"/>
                    <w:rPr>
                      <w:sz w:val="24"/>
                    </w:rPr>
                  </w:pPr>
                </w:p>
              </w:tc>
              <w:tc>
                <w:tcPr>
                  <w:tcW w:w="1559" w:type="dxa"/>
                  <w:vAlign w:val="center"/>
                </w:tcPr>
                <w:p>
                  <w:pPr>
                    <w:pStyle w:val="34"/>
                    <w:rPr>
                      <w:sz w:val="24"/>
                    </w:rPr>
                  </w:pPr>
                  <w:r>
                    <w:rPr>
                      <w:sz w:val="24"/>
                    </w:rPr>
                    <w:t>无组织</w:t>
                  </w:r>
                </w:p>
              </w:tc>
              <w:tc>
                <w:tcPr>
                  <w:tcW w:w="2110" w:type="dxa"/>
                  <w:vAlign w:val="center"/>
                </w:tcPr>
                <w:p>
                  <w:pPr>
                    <w:pStyle w:val="34"/>
                    <w:rPr>
                      <w:sz w:val="24"/>
                    </w:rPr>
                  </w:pPr>
                  <w:r>
                    <w:rPr>
                      <w:rFonts w:hint="eastAsia"/>
                      <w:sz w:val="24"/>
                    </w:rPr>
                    <w:t>0</w:t>
                  </w:r>
                  <w:r>
                    <w:rPr>
                      <w:sz w:val="24"/>
                    </w:rPr>
                    <w:t>.</w:t>
                  </w:r>
                  <w:r>
                    <w:rPr>
                      <w:rFonts w:hint="eastAsia"/>
                      <w:sz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continue"/>
                  <w:vAlign w:val="center"/>
                </w:tcPr>
                <w:p>
                  <w:pPr>
                    <w:pStyle w:val="34"/>
                    <w:rPr>
                      <w:sz w:val="24"/>
                    </w:rPr>
                  </w:pPr>
                </w:p>
              </w:tc>
              <w:tc>
                <w:tcPr>
                  <w:tcW w:w="4678" w:type="dxa"/>
                  <w:gridSpan w:val="2"/>
                  <w:vAlign w:val="center"/>
                </w:tcPr>
                <w:p>
                  <w:pPr>
                    <w:pStyle w:val="34"/>
                    <w:rPr>
                      <w:sz w:val="24"/>
                    </w:rPr>
                  </w:pPr>
                  <w:r>
                    <w:rPr>
                      <w:rFonts w:hint="eastAsia"/>
                      <w:sz w:val="24"/>
                    </w:rPr>
                    <w:t>机动车拆解</w:t>
                  </w:r>
                </w:p>
              </w:tc>
              <w:tc>
                <w:tcPr>
                  <w:tcW w:w="2110" w:type="dxa"/>
                  <w:vAlign w:val="center"/>
                </w:tcPr>
                <w:p>
                  <w:pPr>
                    <w:pStyle w:val="34"/>
                    <w:rPr>
                      <w:sz w:val="24"/>
                    </w:rPr>
                  </w:pPr>
                  <w:r>
                    <w:rPr>
                      <w:rFonts w:hint="eastAsia"/>
                      <w:sz w:val="24"/>
                    </w:rPr>
                    <w:t>0</w:t>
                  </w:r>
                  <w:r>
                    <w:rPr>
                      <w:sz w:val="24"/>
                    </w:rPr>
                    <w:t>.</w:t>
                  </w:r>
                  <w:r>
                    <w:rPr>
                      <w:rFonts w:hint="eastAsia"/>
                      <w:sz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continue"/>
                  <w:vAlign w:val="center"/>
                </w:tcPr>
                <w:p>
                  <w:pPr>
                    <w:pStyle w:val="34"/>
                    <w:rPr>
                      <w:sz w:val="24"/>
                    </w:rPr>
                  </w:pPr>
                </w:p>
              </w:tc>
              <w:tc>
                <w:tcPr>
                  <w:tcW w:w="3119" w:type="dxa"/>
                  <w:vMerge w:val="restart"/>
                  <w:vAlign w:val="center"/>
                </w:tcPr>
                <w:p>
                  <w:pPr>
                    <w:pStyle w:val="34"/>
                    <w:rPr>
                      <w:sz w:val="24"/>
                    </w:rPr>
                  </w:pPr>
                  <w:r>
                    <w:rPr>
                      <w:rFonts w:hint="eastAsia"/>
                      <w:sz w:val="24"/>
                    </w:rPr>
                    <w:t>机动车拆解后机械加工</w:t>
                  </w:r>
                </w:p>
              </w:tc>
              <w:tc>
                <w:tcPr>
                  <w:tcW w:w="1559" w:type="dxa"/>
                  <w:vAlign w:val="center"/>
                </w:tcPr>
                <w:p>
                  <w:pPr>
                    <w:pStyle w:val="34"/>
                    <w:rPr>
                      <w:sz w:val="24"/>
                    </w:rPr>
                  </w:pPr>
                  <w:r>
                    <w:rPr>
                      <w:sz w:val="24"/>
                    </w:rPr>
                    <w:t>有组织</w:t>
                  </w:r>
                </w:p>
              </w:tc>
              <w:tc>
                <w:tcPr>
                  <w:tcW w:w="2110" w:type="dxa"/>
                  <w:vAlign w:val="center"/>
                </w:tcPr>
                <w:p>
                  <w:pPr>
                    <w:pStyle w:val="34"/>
                    <w:rPr>
                      <w:sz w:val="24"/>
                    </w:rPr>
                  </w:pPr>
                  <w:r>
                    <w:rPr>
                      <w:rFonts w:hint="eastAsia"/>
                      <w:sz w:val="24"/>
                    </w:rPr>
                    <w:t>0</w:t>
                  </w:r>
                  <w:r>
                    <w:rPr>
                      <w:sz w:val="24"/>
                    </w:rPr>
                    <w:t>.3</w:t>
                  </w:r>
                  <w:r>
                    <w:rPr>
                      <w:rFonts w:hint="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continue"/>
                  <w:vAlign w:val="center"/>
                </w:tcPr>
                <w:p>
                  <w:pPr>
                    <w:pStyle w:val="34"/>
                    <w:rPr>
                      <w:sz w:val="24"/>
                    </w:rPr>
                  </w:pPr>
                </w:p>
              </w:tc>
              <w:tc>
                <w:tcPr>
                  <w:tcW w:w="3119" w:type="dxa"/>
                  <w:vMerge w:val="continue"/>
                  <w:vAlign w:val="center"/>
                </w:tcPr>
                <w:p>
                  <w:pPr>
                    <w:pStyle w:val="34"/>
                    <w:rPr>
                      <w:sz w:val="24"/>
                    </w:rPr>
                  </w:pPr>
                </w:p>
              </w:tc>
              <w:tc>
                <w:tcPr>
                  <w:tcW w:w="1559" w:type="dxa"/>
                  <w:vAlign w:val="center"/>
                </w:tcPr>
                <w:p>
                  <w:pPr>
                    <w:pStyle w:val="34"/>
                    <w:rPr>
                      <w:sz w:val="24"/>
                    </w:rPr>
                  </w:pPr>
                  <w:r>
                    <w:rPr>
                      <w:sz w:val="24"/>
                    </w:rPr>
                    <w:t>无组织</w:t>
                  </w:r>
                </w:p>
              </w:tc>
              <w:tc>
                <w:tcPr>
                  <w:tcW w:w="2110" w:type="dxa"/>
                  <w:vAlign w:val="center"/>
                </w:tcPr>
                <w:p>
                  <w:pPr>
                    <w:pStyle w:val="34"/>
                    <w:rPr>
                      <w:sz w:val="24"/>
                    </w:rPr>
                  </w:pPr>
                  <w:r>
                    <w:rPr>
                      <w:rFonts w:hint="eastAsia"/>
                      <w:sz w:val="24"/>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190" w:type="dxa"/>
                  <w:gridSpan w:val="3"/>
                  <w:vAlign w:val="center"/>
                </w:tcPr>
                <w:p>
                  <w:pPr>
                    <w:pStyle w:val="34"/>
                    <w:rPr>
                      <w:sz w:val="24"/>
                    </w:rPr>
                  </w:pPr>
                  <w:r>
                    <w:rPr>
                      <w:sz w:val="24"/>
                    </w:rPr>
                    <w:t>合计</w:t>
                  </w:r>
                  <w:r>
                    <w:rPr>
                      <w:rFonts w:hint="eastAsia"/>
                      <w:sz w:val="24"/>
                    </w:rPr>
                    <w:t xml:space="preserve"> </w:t>
                  </w:r>
                </w:p>
              </w:tc>
              <w:tc>
                <w:tcPr>
                  <w:tcW w:w="2110" w:type="dxa"/>
                  <w:vAlign w:val="center"/>
                </w:tcPr>
                <w:p>
                  <w:pPr>
                    <w:pStyle w:val="34"/>
                    <w:rPr>
                      <w:sz w:val="24"/>
                    </w:rPr>
                  </w:pPr>
                  <w:r>
                    <w:rPr>
                      <w:rFonts w:hint="eastAsia"/>
                      <w:sz w:val="24"/>
                    </w:rPr>
                    <w:t>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restart"/>
                  <w:vAlign w:val="center"/>
                </w:tcPr>
                <w:p>
                  <w:pPr>
                    <w:pStyle w:val="34"/>
                    <w:rPr>
                      <w:sz w:val="24"/>
                    </w:rPr>
                  </w:pPr>
                  <w:r>
                    <w:rPr>
                      <w:sz w:val="24"/>
                    </w:rPr>
                    <w:t>非甲烷总烃</w:t>
                  </w:r>
                </w:p>
              </w:tc>
              <w:tc>
                <w:tcPr>
                  <w:tcW w:w="3119" w:type="dxa"/>
                  <w:vMerge w:val="restart"/>
                  <w:vAlign w:val="center"/>
                </w:tcPr>
                <w:p>
                  <w:pPr>
                    <w:pStyle w:val="34"/>
                    <w:rPr>
                      <w:sz w:val="24"/>
                    </w:rPr>
                  </w:pPr>
                  <w:r>
                    <w:rPr>
                      <w:rFonts w:hint="eastAsia"/>
                      <w:sz w:val="24"/>
                    </w:rPr>
                    <w:t>废弃电器拆解后机械加工</w:t>
                  </w:r>
                </w:p>
              </w:tc>
              <w:tc>
                <w:tcPr>
                  <w:tcW w:w="1559" w:type="dxa"/>
                  <w:vAlign w:val="center"/>
                </w:tcPr>
                <w:p>
                  <w:pPr>
                    <w:pStyle w:val="34"/>
                    <w:rPr>
                      <w:sz w:val="24"/>
                    </w:rPr>
                  </w:pPr>
                  <w:r>
                    <w:rPr>
                      <w:sz w:val="24"/>
                    </w:rPr>
                    <w:t>有组织</w:t>
                  </w:r>
                </w:p>
              </w:tc>
              <w:tc>
                <w:tcPr>
                  <w:tcW w:w="2110" w:type="dxa"/>
                  <w:vAlign w:val="center"/>
                </w:tcPr>
                <w:p>
                  <w:pPr>
                    <w:pStyle w:val="34"/>
                    <w:rPr>
                      <w:sz w:val="24"/>
                    </w:rPr>
                  </w:pPr>
                  <w:r>
                    <w:rPr>
                      <w:sz w:val="24"/>
                    </w:rPr>
                    <w:t>0.0</w:t>
                  </w:r>
                  <w:r>
                    <w:rPr>
                      <w:rFonts w:hint="eastAsia"/>
                      <w:sz w:val="24"/>
                    </w:rPr>
                    <w:t>0</w:t>
                  </w:r>
                  <w:r>
                    <w:rPr>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continue"/>
                  <w:vAlign w:val="center"/>
                </w:tcPr>
                <w:p>
                  <w:pPr>
                    <w:pStyle w:val="34"/>
                    <w:rPr>
                      <w:sz w:val="24"/>
                    </w:rPr>
                  </w:pPr>
                </w:p>
              </w:tc>
              <w:tc>
                <w:tcPr>
                  <w:tcW w:w="3119" w:type="dxa"/>
                  <w:vMerge w:val="continue"/>
                  <w:vAlign w:val="center"/>
                </w:tcPr>
                <w:p>
                  <w:pPr>
                    <w:pStyle w:val="34"/>
                    <w:rPr>
                      <w:sz w:val="24"/>
                    </w:rPr>
                  </w:pPr>
                </w:p>
              </w:tc>
              <w:tc>
                <w:tcPr>
                  <w:tcW w:w="1559" w:type="dxa"/>
                  <w:vAlign w:val="center"/>
                </w:tcPr>
                <w:p>
                  <w:pPr>
                    <w:pStyle w:val="34"/>
                    <w:rPr>
                      <w:sz w:val="24"/>
                    </w:rPr>
                  </w:pPr>
                  <w:r>
                    <w:rPr>
                      <w:sz w:val="24"/>
                    </w:rPr>
                    <w:t>无组织</w:t>
                  </w:r>
                </w:p>
              </w:tc>
              <w:tc>
                <w:tcPr>
                  <w:tcW w:w="2110" w:type="dxa"/>
                  <w:vAlign w:val="center"/>
                </w:tcPr>
                <w:p>
                  <w:pPr>
                    <w:pStyle w:val="34"/>
                    <w:rPr>
                      <w:sz w:val="24"/>
                    </w:rPr>
                  </w:pPr>
                  <w:r>
                    <w:rPr>
                      <w:sz w:val="24"/>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continue"/>
                  <w:vAlign w:val="center"/>
                </w:tcPr>
                <w:p>
                  <w:pPr>
                    <w:pStyle w:val="34"/>
                    <w:rPr>
                      <w:sz w:val="24"/>
                    </w:rPr>
                  </w:pPr>
                </w:p>
              </w:tc>
              <w:tc>
                <w:tcPr>
                  <w:tcW w:w="3119" w:type="dxa"/>
                  <w:vMerge w:val="restart"/>
                  <w:vAlign w:val="center"/>
                </w:tcPr>
                <w:p>
                  <w:pPr>
                    <w:pStyle w:val="34"/>
                    <w:rPr>
                      <w:sz w:val="24"/>
                    </w:rPr>
                  </w:pPr>
                  <w:r>
                    <w:rPr>
                      <w:rFonts w:hint="eastAsia"/>
                      <w:sz w:val="24"/>
                    </w:rPr>
                    <w:t>残留废油液收集</w:t>
                  </w:r>
                </w:p>
              </w:tc>
              <w:tc>
                <w:tcPr>
                  <w:tcW w:w="1559" w:type="dxa"/>
                  <w:vAlign w:val="center"/>
                </w:tcPr>
                <w:p>
                  <w:pPr>
                    <w:pStyle w:val="34"/>
                    <w:rPr>
                      <w:sz w:val="24"/>
                    </w:rPr>
                  </w:pPr>
                  <w:r>
                    <w:rPr>
                      <w:sz w:val="24"/>
                    </w:rPr>
                    <w:t>有组织</w:t>
                  </w:r>
                </w:p>
              </w:tc>
              <w:tc>
                <w:tcPr>
                  <w:tcW w:w="2110" w:type="dxa"/>
                  <w:vAlign w:val="center"/>
                </w:tcPr>
                <w:p>
                  <w:pPr>
                    <w:pStyle w:val="34"/>
                    <w:rPr>
                      <w:sz w:val="24"/>
                    </w:rPr>
                  </w:pPr>
                  <w:r>
                    <w:rPr>
                      <w:rFonts w:hint="eastAsia"/>
                      <w:sz w:val="24"/>
                    </w:rPr>
                    <w:t>0</w:t>
                  </w:r>
                  <w:r>
                    <w:rPr>
                      <w:sz w:val="24"/>
                    </w:rPr>
                    <w:t>.0097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512" w:type="dxa"/>
                  <w:vMerge w:val="continue"/>
                  <w:vAlign w:val="center"/>
                </w:tcPr>
                <w:p>
                  <w:pPr>
                    <w:pStyle w:val="34"/>
                    <w:rPr>
                      <w:sz w:val="24"/>
                    </w:rPr>
                  </w:pPr>
                </w:p>
              </w:tc>
              <w:tc>
                <w:tcPr>
                  <w:tcW w:w="3119" w:type="dxa"/>
                  <w:vMerge w:val="continue"/>
                  <w:vAlign w:val="center"/>
                </w:tcPr>
                <w:p>
                  <w:pPr>
                    <w:pStyle w:val="34"/>
                    <w:rPr>
                      <w:sz w:val="24"/>
                    </w:rPr>
                  </w:pPr>
                </w:p>
              </w:tc>
              <w:tc>
                <w:tcPr>
                  <w:tcW w:w="1559" w:type="dxa"/>
                  <w:vAlign w:val="center"/>
                </w:tcPr>
                <w:p>
                  <w:pPr>
                    <w:pStyle w:val="34"/>
                    <w:rPr>
                      <w:sz w:val="24"/>
                    </w:rPr>
                  </w:pPr>
                  <w:r>
                    <w:rPr>
                      <w:sz w:val="24"/>
                    </w:rPr>
                    <w:t>无组织</w:t>
                  </w:r>
                </w:p>
              </w:tc>
              <w:tc>
                <w:tcPr>
                  <w:tcW w:w="2110" w:type="dxa"/>
                  <w:vAlign w:val="center"/>
                </w:tcPr>
                <w:p>
                  <w:pPr>
                    <w:pStyle w:val="34"/>
                    <w:rPr>
                      <w:sz w:val="24"/>
                    </w:rPr>
                  </w:pPr>
                  <w:r>
                    <w:rPr>
                      <w:rFonts w:hint="eastAsia"/>
                      <w:sz w:val="24"/>
                    </w:rPr>
                    <w:t>0</w:t>
                  </w:r>
                  <w:r>
                    <w:rPr>
                      <w:sz w:val="24"/>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190" w:type="dxa"/>
                  <w:gridSpan w:val="3"/>
                  <w:vAlign w:val="center"/>
                </w:tcPr>
                <w:p>
                  <w:pPr>
                    <w:pStyle w:val="34"/>
                    <w:rPr>
                      <w:sz w:val="24"/>
                    </w:rPr>
                  </w:pPr>
                  <w:r>
                    <w:rPr>
                      <w:sz w:val="24"/>
                    </w:rPr>
                    <w:t>合计</w:t>
                  </w:r>
                </w:p>
              </w:tc>
              <w:tc>
                <w:tcPr>
                  <w:tcW w:w="2110" w:type="dxa"/>
                  <w:vAlign w:val="center"/>
                </w:tcPr>
                <w:p>
                  <w:pPr>
                    <w:pStyle w:val="34"/>
                    <w:rPr>
                      <w:sz w:val="24"/>
                    </w:rPr>
                  </w:pPr>
                  <w:r>
                    <w:rPr>
                      <w:sz w:val="24"/>
                    </w:rPr>
                    <w:t>0.0</w:t>
                  </w:r>
                  <w:r>
                    <w:rPr>
                      <w:rFonts w:hint="eastAsia"/>
                      <w:sz w:val="24"/>
                    </w:rPr>
                    <w:t>22</w:t>
                  </w:r>
                </w:p>
              </w:tc>
            </w:tr>
          </w:tbl>
          <w:p>
            <w:pPr>
              <w:ind w:firstLine="480"/>
              <w:rPr>
                <w:sz w:val="24"/>
                <w:szCs w:val="24"/>
              </w:rPr>
            </w:pPr>
            <w:r>
              <w:rPr>
                <w:rFonts w:hint="eastAsia"/>
                <w:sz w:val="24"/>
                <w:szCs w:val="24"/>
              </w:rPr>
              <w:t>（3）废气排放达标分析</w:t>
            </w:r>
          </w:p>
          <w:p>
            <w:pPr>
              <w:ind w:firstLine="480"/>
              <w:rPr>
                <w:sz w:val="24"/>
                <w:szCs w:val="24"/>
              </w:rPr>
            </w:pPr>
            <w:r>
              <w:rPr>
                <w:rFonts w:hint="eastAsia"/>
                <w:sz w:val="24"/>
                <w:szCs w:val="24"/>
              </w:rPr>
              <w:t>根据上述计算，本项目废气污染物达标排放情况见表4-</w:t>
            </w:r>
            <w:r>
              <w:rPr>
                <w:sz w:val="24"/>
                <w:szCs w:val="24"/>
              </w:rPr>
              <w:t>8</w:t>
            </w:r>
            <w:r>
              <w:rPr>
                <w:rFonts w:hint="eastAsia"/>
                <w:sz w:val="24"/>
                <w:szCs w:val="24"/>
              </w:rPr>
              <w:t>。</w:t>
            </w:r>
          </w:p>
          <w:p>
            <w:pPr>
              <w:pStyle w:val="34"/>
              <w:ind w:firstLine="480"/>
              <w:rPr>
                <w:b/>
                <w:sz w:val="24"/>
              </w:rPr>
            </w:pPr>
            <w:r>
              <w:rPr>
                <w:b/>
                <w:sz w:val="24"/>
              </w:rPr>
              <w:t>表</w:t>
            </w:r>
            <w:r>
              <w:rPr>
                <w:rFonts w:hint="eastAsia"/>
                <w:b/>
                <w:sz w:val="24"/>
              </w:rPr>
              <w:t>4</w:t>
            </w:r>
            <w:r>
              <w:rPr>
                <w:b/>
                <w:sz w:val="24"/>
              </w:rPr>
              <w:t xml:space="preserve">-8  </w:t>
            </w:r>
            <w:r>
              <w:rPr>
                <w:rFonts w:hint="eastAsia"/>
                <w:b/>
                <w:sz w:val="24"/>
              </w:rPr>
              <w:t>废气污染物达标达标排放情况表</w:t>
            </w:r>
          </w:p>
          <w:tbl>
            <w:tblPr>
              <w:tblStyle w:val="21"/>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54"/>
              <w:gridCol w:w="812"/>
              <w:gridCol w:w="872"/>
              <w:gridCol w:w="1944"/>
              <w:gridCol w:w="1645"/>
              <w:gridCol w:w="802"/>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9" w:type="dxa"/>
                  <w:vMerge w:val="restart"/>
                  <w:tcBorders>
                    <w:top w:val="single" w:color="auto" w:sz="4" w:space="0"/>
                    <w:left w:val="single" w:color="auto" w:sz="4" w:space="0"/>
                    <w:right w:val="single" w:color="auto" w:sz="4" w:space="0"/>
                  </w:tcBorders>
                  <w:shd w:val="pct10" w:color="auto" w:fill="auto"/>
                  <w:vAlign w:val="center"/>
                </w:tcPr>
                <w:p>
                  <w:pPr>
                    <w:pStyle w:val="34"/>
                    <w:rPr>
                      <w:b/>
                      <w:bCs/>
                      <w:szCs w:val="21"/>
                    </w:rPr>
                  </w:pPr>
                  <w:bookmarkStart w:id="6" w:name="_Hlk108647973"/>
                  <w:r>
                    <w:rPr>
                      <w:b/>
                      <w:bCs/>
                      <w:szCs w:val="21"/>
                    </w:rPr>
                    <w:t>污染</w:t>
                  </w:r>
                </w:p>
                <w:p>
                  <w:pPr>
                    <w:pStyle w:val="34"/>
                    <w:rPr>
                      <w:b/>
                      <w:bCs/>
                      <w:szCs w:val="21"/>
                    </w:rPr>
                  </w:pPr>
                  <w:r>
                    <w:rPr>
                      <w:b/>
                      <w:bCs/>
                      <w:szCs w:val="21"/>
                    </w:rPr>
                    <w:t>因子</w:t>
                  </w:r>
                </w:p>
              </w:tc>
              <w:tc>
                <w:tcPr>
                  <w:tcW w:w="754" w:type="dxa"/>
                  <w:vMerge w:val="restart"/>
                  <w:tcBorders>
                    <w:top w:val="single" w:color="auto" w:sz="4" w:space="0"/>
                    <w:left w:val="single" w:color="auto" w:sz="4" w:space="0"/>
                    <w:right w:val="single" w:color="auto" w:sz="4" w:space="0"/>
                  </w:tcBorders>
                  <w:shd w:val="pct10" w:color="auto" w:fill="auto"/>
                  <w:vAlign w:val="center"/>
                </w:tcPr>
                <w:p>
                  <w:pPr>
                    <w:pStyle w:val="34"/>
                    <w:rPr>
                      <w:b/>
                      <w:bCs/>
                      <w:szCs w:val="21"/>
                    </w:rPr>
                  </w:pPr>
                  <w:r>
                    <w:rPr>
                      <w:b/>
                      <w:bCs/>
                      <w:szCs w:val="21"/>
                    </w:rPr>
                    <w:t>排放</w:t>
                  </w:r>
                </w:p>
                <w:p>
                  <w:pPr>
                    <w:pStyle w:val="34"/>
                    <w:rPr>
                      <w:b/>
                      <w:bCs/>
                      <w:szCs w:val="21"/>
                    </w:rPr>
                  </w:pPr>
                  <w:r>
                    <w:rPr>
                      <w:b/>
                      <w:bCs/>
                      <w:szCs w:val="21"/>
                    </w:rPr>
                    <w:t>形式</w:t>
                  </w:r>
                </w:p>
              </w:tc>
              <w:tc>
                <w:tcPr>
                  <w:tcW w:w="812" w:type="dxa"/>
                  <w:vMerge w:val="restart"/>
                  <w:tcBorders>
                    <w:top w:val="single" w:color="auto" w:sz="4" w:space="0"/>
                    <w:left w:val="single" w:color="auto" w:sz="4" w:space="0"/>
                    <w:right w:val="single" w:color="auto" w:sz="4" w:space="0"/>
                  </w:tcBorders>
                  <w:shd w:val="pct10" w:color="auto" w:fill="auto"/>
                  <w:vAlign w:val="center"/>
                </w:tcPr>
                <w:p>
                  <w:pPr>
                    <w:pStyle w:val="34"/>
                    <w:rPr>
                      <w:b/>
                      <w:bCs/>
                      <w:szCs w:val="21"/>
                    </w:rPr>
                  </w:pPr>
                  <w:r>
                    <w:rPr>
                      <w:b/>
                      <w:bCs/>
                      <w:szCs w:val="21"/>
                    </w:rPr>
                    <w:t>排放</w:t>
                  </w:r>
                </w:p>
                <w:p>
                  <w:pPr>
                    <w:pStyle w:val="34"/>
                    <w:rPr>
                      <w:b/>
                      <w:bCs/>
                      <w:szCs w:val="21"/>
                    </w:rPr>
                  </w:pPr>
                  <w:r>
                    <w:rPr>
                      <w:b/>
                      <w:bCs/>
                      <w:szCs w:val="21"/>
                    </w:rPr>
                    <w:t>速率</w:t>
                  </w:r>
                </w:p>
                <w:p>
                  <w:pPr>
                    <w:pStyle w:val="34"/>
                    <w:rPr>
                      <w:b/>
                      <w:bCs/>
                      <w:szCs w:val="21"/>
                    </w:rPr>
                  </w:pPr>
                  <w:r>
                    <w:rPr>
                      <w:b/>
                      <w:bCs/>
                      <w:szCs w:val="21"/>
                    </w:rPr>
                    <w:t>k</w:t>
                  </w:r>
                  <w:r>
                    <w:rPr>
                      <w:rFonts w:hint="eastAsia"/>
                      <w:b/>
                      <w:bCs/>
                      <w:szCs w:val="21"/>
                    </w:rPr>
                    <w:t>g/h</w:t>
                  </w:r>
                </w:p>
              </w:tc>
              <w:tc>
                <w:tcPr>
                  <w:tcW w:w="872" w:type="dxa"/>
                  <w:vMerge w:val="restart"/>
                  <w:tcBorders>
                    <w:top w:val="single" w:color="auto" w:sz="4" w:space="0"/>
                    <w:left w:val="single" w:color="auto" w:sz="4" w:space="0"/>
                    <w:right w:val="single" w:color="auto" w:sz="4" w:space="0"/>
                  </w:tcBorders>
                  <w:shd w:val="pct10" w:color="auto" w:fill="auto"/>
                  <w:vAlign w:val="center"/>
                </w:tcPr>
                <w:p>
                  <w:pPr>
                    <w:pStyle w:val="34"/>
                    <w:rPr>
                      <w:b/>
                      <w:bCs/>
                      <w:szCs w:val="21"/>
                    </w:rPr>
                  </w:pPr>
                  <w:r>
                    <w:rPr>
                      <w:b/>
                      <w:bCs/>
                      <w:szCs w:val="21"/>
                    </w:rPr>
                    <w:t>排放</w:t>
                  </w:r>
                </w:p>
                <w:p>
                  <w:pPr>
                    <w:pStyle w:val="34"/>
                    <w:rPr>
                      <w:b/>
                      <w:bCs/>
                      <w:szCs w:val="21"/>
                    </w:rPr>
                  </w:pPr>
                  <w:r>
                    <w:rPr>
                      <w:b/>
                      <w:bCs/>
                      <w:szCs w:val="21"/>
                    </w:rPr>
                    <w:t>浓度</w:t>
                  </w:r>
                </w:p>
                <w:p>
                  <w:pPr>
                    <w:pStyle w:val="34"/>
                    <w:rPr>
                      <w:b/>
                      <w:bCs/>
                      <w:szCs w:val="21"/>
                    </w:rPr>
                  </w:pPr>
                  <w:r>
                    <w:rPr>
                      <w:b/>
                      <w:szCs w:val="21"/>
                    </w:rPr>
                    <w:t>mg/m</w:t>
                  </w:r>
                  <w:r>
                    <w:rPr>
                      <w:b/>
                      <w:szCs w:val="21"/>
                      <w:vertAlign w:val="superscript"/>
                    </w:rPr>
                    <w:t>3</w:t>
                  </w:r>
                </w:p>
              </w:tc>
              <w:tc>
                <w:tcPr>
                  <w:tcW w:w="4391" w:type="dxa"/>
                  <w:gridSpan w:val="3"/>
                  <w:tcBorders>
                    <w:top w:val="single" w:color="auto" w:sz="4" w:space="0"/>
                    <w:left w:val="single" w:color="auto" w:sz="4" w:space="0"/>
                    <w:right w:val="single" w:color="auto" w:sz="4" w:space="0"/>
                  </w:tcBorders>
                  <w:shd w:val="pct10" w:color="auto" w:fill="auto"/>
                  <w:vAlign w:val="center"/>
                </w:tcPr>
                <w:p>
                  <w:pPr>
                    <w:pStyle w:val="34"/>
                    <w:rPr>
                      <w:b/>
                      <w:bCs/>
                      <w:szCs w:val="21"/>
                    </w:rPr>
                  </w:pPr>
                  <w:r>
                    <w:rPr>
                      <w:b/>
                      <w:bCs/>
                      <w:szCs w:val="21"/>
                    </w:rPr>
                    <w:t>执行标准</w:t>
                  </w:r>
                </w:p>
              </w:tc>
              <w:tc>
                <w:tcPr>
                  <w:tcW w:w="822" w:type="dxa"/>
                  <w:vMerge w:val="restart"/>
                  <w:tcBorders>
                    <w:top w:val="single" w:color="auto" w:sz="4" w:space="0"/>
                    <w:left w:val="single" w:color="auto" w:sz="4" w:space="0"/>
                    <w:right w:val="single" w:color="auto" w:sz="4" w:space="0"/>
                  </w:tcBorders>
                  <w:shd w:val="pct10" w:color="auto" w:fill="auto"/>
                  <w:vAlign w:val="center"/>
                </w:tcPr>
                <w:p>
                  <w:pPr>
                    <w:pStyle w:val="34"/>
                    <w:rPr>
                      <w:b/>
                      <w:bCs/>
                      <w:szCs w:val="21"/>
                    </w:rPr>
                  </w:pPr>
                  <w:r>
                    <w:rPr>
                      <w:b/>
                      <w:bCs/>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9" w:type="dxa"/>
                  <w:vMerge w:val="continue"/>
                  <w:tcBorders>
                    <w:left w:val="single" w:color="auto" w:sz="4" w:space="0"/>
                    <w:bottom w:val="single" w:color="auto" w:sz="4" w:space="0"/>
                    <w:right w:val="single" w:color="auto" w:sz="4" w:space="0"/>
                  </w:tcBorders>
                  <w:shd w:val="pct10" w:color="auto" w:fill="auto"/>
                  <w:vAlign w:val="center"/>
                </w:tcPr>
                <w:p>
                  <w:pPr>
                    <w:pStyle w:val="34"/>
                    <w:rPr>
                      <w:b/>
                      <w:bCs/>
                      <w:szCs w:val="21"/>
                    </w:rPr>
                  </w:pPr>
                </w:p>
              </w:tc>
              <w:tc>
                <w:tcPr>
                  <w:tcW w:w="754" w:type="dxa"/>
                  <w:vMerge w:val="continue"/>
                  <w:tcBorders>
                    <w:left w:val="single" w:color="auto" w:sz="4" w:space="0"/>
                    <w:bottom w:val="single" w:color="auto" w:sz="4" w:space="0"/>
                    <w:right w:val="single" w:color="auto" w:sz="4" w:space="0"/>
                  </w:tcBorders>
                  <w:shd w:val="pct10" w:color="auto" w:fill="auto"/>
                  <w:vAlign w:val="center"/>
                </w:tcPr>
                <w:p>
                  <w:pPr>
                    <w:pStyle w:val="34"/>
                    <w:rPr>
                      <w:b/>
                      <w:bCs/>
                      <w:szCs w:val="21"/>
                    </w:rPr>
                  </w:pPr>
                </w:p>
              </w:tc>
              <w:tc>
                <w:tcPr>
                  <w:tcW w:w="812" w:type="dxa"/>
                  <w:vMerge w:val="continue"/>
                  <w:tcBorders>
                    <w:left w:val="single" w:color="auto" w:sz="4" w:space="0"/>
                    <w:bottom w:val="single" w:color="auto" w:sz="4" w:space="0"/>
                    <w:right w:val="single" w:color="auto" w:sz="4" w:space="0"/>
                  </w:tcBorders>
                  <w:shd w:val="pct10" w:color="auto" w:fill="auto"/>
                  <w:vAlign w:val="center"/>
                </w:tcPr>
                <w:p>
                  <w:pPr>
                    <w:pStyle w:val="34"/>
                    <w:rPr>
                      <w:b/>
                      <w:bCs/>
                      <w:szCs w:val="21"/>
                    </w:rPr>
                  </w:pPr>
                </w:p>
              </w:tc>
              <w:tc>
                <w:tcPr>
                  <w:tcW w:w="872" w:type="dxa"/>
                  <w:vMerge w:val="continue"/>
                  <w:tcBorders>
                    <w:left w:val="single" w:color="auto" w:sz="4" w:space="0"/>
                    <w:bottom w:val="single" w:color="auto" w:sz="4" w:space="0"/>
                    <w:right w:val="single" w:color="auto" w:sz="4" w:space="0"/>
                  </w:tcBorders>
                  <w:shd w:val="pct10" w:color="auto" w:fill="auto"/>
                  <w:vAlign w:val="center"/>
                </w:tcPr>
                <w:p>
                  <w:pPr>
                    <w:pStyle w:val="34"/>
                    <w:rPr>
                      <w:b/>
                      <w:bCs/>
                      <w:szCs w:val="21"/>
                    </w:rPr>
                  </w:pPr>
                </w:p>
              </w:tc>
              <w:tc>
                <w:tcPr>
                  <w:tcW w:w="1944"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bCs/>
                      <w:szCs w:val="21"/>
                    </w:rPr>
                  </w:pPr>
                  <w:r>
                    <w:rPr>
                      <w:b/>
                      <w:bCs/>
                      <w:szCs w:val="21"/>
                    </w:rPr>
                    <w:t>名称</w:t>
                  </w:r>
                </w:p>
              </w:tc>
              <w:tc>
                <w:tcPr>
                  <w:tcW w:w="1645"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bCs/>
                      <w:szCs w:val="21"/>
                    </w:rPr>
                  </w:pPr>
                  <w:r>
                    <w:rPr>
                      <w:rFonts w:hint="eastAsia"/>
                      <w:b/>
                      <w:bCs/>
                      <w:szCs w:val="21"/>
                    </w:rPr>
                    <w:t>监控点</w:t>
                  </w:r>
                </w:p>
              </w:tc>
              <w:tc>
                <w:tcPr>
                  <w:tcW w:w="802"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bCs/>
                      <w:szCs w:val="21"/>
                    </w:rPr>
                  </w:pPr>
                  <w:r>
                    <w:rPr>
                      <w:b/>
                      <w:bCs/>
                      <w:szCs w:val="21"/>
                    </w:rPr>
                    <w:t>限值</w:t>
                  </w:r>
                </w:p>
                <w:p>
                  <w:pPr>
                    <w:pStyle w:val="34"/>
                    <w:rPr>
                      <w:b/>
                      <w:bCs/>
                      <w:szCs w:val="21"/>
                    </w:rPr>
                  </w:pPr>
                  <w:r>
                    <w:rPr>
                      <w:b/>
                      <w:szCs w:val="21"/>
                    </w:rPr>
                    <w:t>mg/m</w:t>
                  </w:r>
                  <w:r>
                    <w:rPr>
                      <w:b/>
                      <w:szCs w:val="21"/>
                      <w:vertAlign w:val="superscript"/>
                    </w:rPr>
                    <w:t>3</w:t>
                  </w:r>
                </w:p>
              </w:tc>
              <w:tc>
                <w:tcPr>
                  <w:tcW w:w="822" w:type="dxa"/>
                  <w:vMerge w:val="continue"/>
                  <w:tcBorders>
                    <w:left w:val="single" w:color="auto" w:sz="4" w:space="0"/>
                    <w:bottom w:val="single" w:color="auto" w:sz="4" w:space="0"/>
                    <w:right w:val="single" w:color="auto" w:sz="4" w:space="0"/>
                  </w:tcBorders>
                  <w:shd w:val="pct10" w:color="auto" w:fill="auto"/>
                  <w:vAlign w:val="center"/>
                </w:tcPr>
                <w:p>
                  <w:pPr>
                    <w:pStyle w:val="34"/>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49" w:type="dxa"/>
                  <w:vMerge w:val="restart"/>
                  <w:tcBorders>
                    <w:top w:val="single" w:color="auto" w:sz="4" w:space="0"/>
                    <w:left w:val="single" w:color="auto" w:sz="4" w:space="0"/>
                    <w:right w:val="single" w:color="auto" w:sz="4" w:space="0"/>
                  </w:tcBorders>
                  <w:vAlign w:val="center"/>
                </w:tcPr>
                <w:p>
                  <w:pPr>
                    <w:pStyle w:val="34"/>
                    <w:rPr>
                      <w:szCs w:val="21"/>
                    </w:rPr>
                  </w:pPr>
                  <w:r>
                    <w:rPr>
                      <w:rFonts w:hint="eastAsia"/>
                      <w:szCs w:val="21"/>
                    </w:rPr>
                    <w:t>颗粒物</w:t>
                  </w:r>
                </w:p>
              </w:tc>
              <w:tc>
                <w:tcPr>
                  <w:tcW w:w="754"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有组织</w:t>
                  </w:r>
                </w:p>
              </w:tc>
              <w:tc>
                <w:tcPr>
                  <w:tcW w:w="81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0</w:t>
                  </w:r>
                  <w:r>
                    <w:rPr>
                      <w:szCs w:val="21"/>
                    </w:rPr>
                    <w:t>.01</w:t>
                  </w:r>
                </w:p>
              </w:tc>
              <w:tc>
                <w:tcPr>
                  <w:tcW w:w="872" w:type="dxa"/>
                  <w:tcBorders>
                    <w:top w:val="single" w:color="auto" w:sz="4" w:space="0"/>
                    <w:left w:val="single" w:color="auto" w:sz="4" w:space="0"/>
                    <w:right w:val="single" w:color="auto" w:sz="4" w:space="0"/>
                  </w:tcBorders>
                  <w:vAlign w:val="center"/>
                </w:tcPr>
                <w:p>
                  <w:pPr>
                    <w:pStyle w:val="34"/>
                    <w:rPr>
                      <w:szCs w:val="21"/>
                    </w:rPr>
                  </w:pPr>
                  <w:r>
                    <w:rPr>
                      <w:szCs w:val="21"/>
                    </w:rPr>
                    <w:t>1.45</w:t>
                  </w:r>
                </w:p>
              </w:tc>
              <w:tc>
                <w:tcPr>
                  <w:tcW w:w="1944" w:type="dxa"/>
                  <w:vMerge w:val="restart"/>
                  <w:tcBorders>
                    <w:top w:val="single" w:color="auto" w:sz="4" w:space="0"/>
                    <w:left w:val="single" w:color="auto" w:sz="4" w:space="0"/>
                    <w:right w:val="single" w:color="auto" w:sz="4" w:space="0"/>
                  </w:tcBorders>
                  <w:vAlign w:val="center"/>
                </w:tcPr>
                <w:p>
                  <w:pPr>
                    <w:pStyle w:val="34"/>
                    <w:rPr>
                      <w:szCs w:val="21"/>
                    </w:rPr>
                  </w:pPr>
                  <w:r>
                    <w:rPr>
                      <w:szCs w:val="21"/>
                    </w:rPr>
                    <w:t>《大气污染物综合排放标准》（GB16297-1996）</w:t>
                  </w:r>
                </w:p>
              </w:tc>
              <w:tc>
                <w:tcPr>
                  <w:tcW w:w="1645"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1</w:t>
                  </w:r>
                  <w:r>
                    <w:rPr>
                      <w:szCs w:val="21"/>
                    </w:rPr>
                    <w:t>#</w:t>
                  </w:r>
                  <w:r>
                    <w:rPr>
                      <w:rFonts w:hint="eastAsia"/>
                      <w:szCs w:val="21"/>
                    </w:rPr>
                    <w:t>废弃电器拆解排气筒</w:t>
                  </w:r>
                </w:p>
              </w:tc>
              <w:tc>
                <w:tcPr>
                  <w:tcW w:w="802" w:type="dxa"/>
                  <w:vMerge w:val="restart"/>
                  <w:tcBorders>
                    <w:top w:val="single" w:color="auto" w:sz="4" w:space="0"/>
                    <w:left w:val="single" w:color="auto" w:sz="4" w:space="0"/>
                    <w:right w:val="single" w:color="auto" w:sz="4" w:space="0"/>
                  </w:tcBorders>
                  <w:vAlign w:val="center"/>
                </w:tcPr>
                <w:p>
                  <w:pPr>
                    <w:pStyle w:val="34"/>
                    <w:rPr>
                      <w:szCs w:val="21"/>
                    </w:rPr>
                  </w:pPr>
                  <w:r>
                    <w:rPr>
                      <w:rFonts w:hint="eastAsia"/>
                      <w:szCs w:val="21"/>
                    </w:rPr>
                    <w:t>1</w:t>
                  </w:r>
                  <w:r>
                    <w:rPr>
                      <w:szCs w:val="21"/>
                    </w:rPr>
                    <w:t>20</w:t>
                  </w:r>
                </w:p>
              </w:tc>
              <w:tc>
                <w:tcPr>
                  <w:tcW w:w="82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49" w:type="dxa"/>
                  <w:vMerge w:val="continue"/>
                  <w:tcBorders>
                    <w:left w:val="single" w:color="auto" w:sz="4" w:space="0"/>
                    <w:right w:val="single" w:color="auto" w:sz="4" w:space="0"/>
                  </w:tcBorders>
                  <w:vAlign w:val="center"/>
                </w:tcPr>
                <w:p>
                  <w:pPr>
                    <w:pStyle w:val="34"/>
                    <w:rPr>
                      <w:szCs w:val="21"/>
                    </w:rPr>
                  </w:pPr>
                </w:p>
              </w:tc>
              <w:tc>
                <w:tcPr>
                  <w:tcW w:w="754"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有组织</w:t>
                  </w:r>
                </w:p>
              </w:tc>
              <w:tc>
                <w:tcPr>
                  <w:tcW w:w="81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0</w:t>
                  </w:r>
                  <w:r>
                    <w:rPr>
                      <w:szCs w:val="21"/>
                    </w:rPr>
                    <w:t>.</w:t>
                  </w:r>
                  <w:r>
                    <w:rPr>
                      <w:rFonts w:hint="eastAsia"/>
                      <w:szCs w:val="21"/>
                    </w:rPr>
                    <w:t>00</w:t>
                  </w:r>
                  <w:r>
                    <w:rPr>
                      <w:szCs w:val="21"/>
                    </w:rPr>
                    <w:t>1</w:t>
                  </w:r>
                </w:p>
              </w:tc>
              <w:tc>
                <w:tcPr>
                  <w:tcW w:w="87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0</w:t>
                  </w:r>
                  <w:r>
                    <w:rPr>
                      <w:szCs w:val="21"/>
                    </w:rPr>
                    <w:t>.</w:t>
                  </w:r>
                  <w:r>
                    <w:rPr>
                      <w:rFonts w:hint="eastAsia"/>
                      <w:szCs w:val="21"/>
                    </w:rPr>
                    <w:t>13</w:t>
                  </w:r>
                </w:p>
              </w:tc>
              <w:tc>
                <w:tcPr>
                  <w:tcW w:w="1944" w:type="dxa"/>
                  <w:vMerge w:val="continue"/>
                  <w:tcBorders>
                    <w:left w:val="single" w:color="auto" w:sz="4" w:space="0"/>
                    <w:right w:val="single" w:color="auto" w:sz="4" w:space="0"/>
                  </w:tcBorders>
                  <w:vAlign w:val="center"/>
                </w:tcPr>
                <w:p>
                  <w:pPr>
                    <w:pStyle w:val="34"/>
                    <w:rPr>
                      <w:szCs w:val="21"/>
                    </w:rPr>
                  </w:pPr>
                </w:p>
              </w:tc>
              <w:tc>
                <w:tcPr>
                  <w:tcW w:w="1645" w:type="dxa"/>
                  <w:tcBorders>
                    <w:top w:val="single" w:color="auto" w:sz="4" w:space="0"/>
                    <w:left w:val="single" w:color="auto" w:sz="4" w:space="0"/>
                    <w:right w:val="single" w:color="auto" w:sz="4" w:space="0"/>
                  </w:tcBorders>
                  <w:vAlign w:val="center"/>
                </w:tcPr>
                <w:p>
                  <w:pPr>
                    <w:pStyle w:val="34"/>
                    <w:rPr>
                      <w:szCs w:val="21"/>
                    </w:rPr>
                  </w:pPr>
                  <w:r>
                    <w:rPr>
                      <w:szCs w:val="21"/>
                    </w:rPr>
                    <w:t>2#</w:t>
                  </w:r>
                  <w:r>
                    <w:rPr>
                      <w:rFonts w:hint="eastAsia"/>
                      <w:szCs w:val="21"/>
                    </w:rPr>
                    <w:t>电器拆解后加工排气筒</w:t>
                  </w:r>
                </w:p>
              </w:tc>
              <w:tc>
                <w:tcPr>
                  <w:tcW w:w="802" w:type="dxa"/>
                  <w:vMerge w:val="continue"/>
                  <w:tcBorders>
                    <w:left w:val="single" w:color="auto" w:sz="4" w:space="0"/>
                    <w:right w:val="single" w:color="auto" w:sz="4" w:space="0"/>
                  </w:tcBorders>
                  <w:vAlign w:val="center"/>
                </w:tcPr>
                <w:p>
                  <w:pPr>
                    <w:pStyle w:val="34"/>
                    <w:rPr>
                      <w:szCs w:val="21"/>
                    </w:rPr>
                  </w:pPr>
                </w:p>
              </w:tc>
              <w:tc>
                <w:tcPr>
                  <w:tcW w:w="82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49" w:type="dxa"/>
                  <w:vMerge w:val="continue"/>
                  <w:tcBorders>
                    <w:left w:val="single" w:color="auto" w:sz="4" w:space="0"/>
                    <w:right w:val="single" w:color="auto" w:sz="4" w:space="0"/>
                  </w:tcBorders>
                  <w:vAlign w:val="center"/>
                </w:tcPr>
                <w:p>
                  <w:pPr>
                    <w:pStyle w:val="34"/>
                    <w:rPr>
                      <w:szCs w:val="21"/>
                    </w:rPr>
                  </w:pPr>
                </w:p>
              </w:tc>
              <w:tc>
                <w:tcPr>
                  <w:tcW w:w="754"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有组织</w:t>
                  </w:r>
                </w:p>
              </w:tc>
              <w:tc>
                <w:tcPr>
                  <w:tcW w:w="81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0</w:t>
                  </w:r>
                  <w:r>
                    <w:rPr>
                      <w:szCs w:val="21"/>
                    </w:rPr>
                    <w:t>.1</w:t>
                  </w:r>
                  <w:r>
                    <w:rPr>
                      <w:rFonts w:hint="eastAsia"/>
                      <w:szCs w:val="21"/>
                    </w:rPr>
                    <w:t>3</w:t>
                  </w:r>
                </w:p>
              </w:tc>
              <w:tc>
                <w:tcPr>
                  <w:tcW w:w="87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25.33</w:t>
                  </w:r>
                </w:p>
              </w:tc>
              <w:tc>
                <w:tcPr>
                  <w:tcW w:w="1944" w:type="dxa"/>
                  <w:vMerge w:val="continue"/>
                  <w:tcBorders>
                    <w:left w:val="single" w:color="auto" w:sz="4" w:space="0"/>
                    <w:right w:val="single" w:color="auto" w:sz="4" w:space="0"/>
                  </w:tcBorders>
                  <w:vAlign w:val="center"/>
                </w:tcPr>
                <w:p>
                  <w:pPr>
                    <w:pStyle w:val="34"/>
                    <w:rPr>
                      <w:szCs w:val="21"/>
                    </w:rPr>
                  </w:pPr>
                </w:p>
              </w:tc>
              <w:tc>
                <w:tcPr>
                  <w:tcW w:w="1645"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3</w:t>
                  </w:r>
                  <w:r>
                    <w:rPr>
                      <w:szCs w:val="21"/>
                    </w:rPr>
                    <w:t>#</w:t>
                  </w:r>
                  <w:r>
                    <w:rPr>
                      <w:rFonts w:hint="eastAsia"/>
                      <w:szCs w:val="21"/>
                    </w:rPr>
                    <w:t>机动车拆解排气筒</w:t>
                  </w:r>
                </w:p>
              </w:tc>
              <w:tc>
                <w:tcPr>
                  <w:tcW w:w="802" w:type="dxa"/>
                  <w:vMerge w:val="continue"/>
                  <w:tcBorders>
                    <w:left w:val="single" w:color="auto" w:sz="4" w:space="0"/>
                    <w:right w:val="single" w:color="auto" w:sz="4" w:space="0"/>
                  </w:tcBorders>
                  <w:vAlign w:val="center"/>
                </w:tcPr>
                <w:p>
                  <w:pPr>
                    <w:pStyle w:val="34"/>
                    <w:rPr>
                      <w:szCs w:val="21"/>
                    </w:rPr>
                  </w:pPr>
                </w:p>
              </w:tc>
              <w:tc>
                <w:tcPr>
                  <w:tcW w:w="82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49" w:type="dxa"/>
                  <w:vMerge w:val="continue"/>
                  <w:tcBorders>
                    <w:left w:val="single" w:color="auto" w:sz="4" w:space="0"/>
                    <w:right w:val="single" w:color="auto" w:sz="4" w:space="0"/>
                  </w:tcBorders>
                  <w:vAlign w:val="center"/>
                </w:tcPr>
                <w:p>
                  <w:pPr>
                    <w:pStyle w:val="34"/>
                    <w:rPr>
                      <w:szCs w:val="21"/>
                    </w:rPr>
                  </w:pPr>
                </w:p>
              </w:tc>
              <w:tc>
                <w:tcPr>
                  <w:tcW w:w="754"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无组织</w:t>
                  </w:r>
                </w:p>
              </w:tc>
              <w:tc>
                <w:tcPr>
                  <w:tcW w:w="81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0.24</w:t>
                  </w:r>
                </w:p>
              </w:tc>
              <w:tc>
                <w:tcPr>
                  <w:tcW w:w="87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w:t>
                  </w:r>
                </w:p>
              </w:tc>
              <w:tc>
                <w:tcPr>
                  <w:tcW w:w="1944" w:type="dxa"/>
                  <w:vMerge w:val="continue"/>
                  <w:tcBorders>
                    <w:left w:val="single" w:color="auto" w:sz="4" w:space="0"/>
                    <w:right w:val="single" w:color="auto" w:sz="4" w:space="0"/>
                  </w:tcBorders>
                  <w:vAlign w:val="center"/>
                </w:tcPr>
                <w:p>
                  <w:pPr>
                    <w:pStyle w:val="34"/>
                    <w:rPr>
                      <w:szCs w:val="21"/>
                    </w:rPr>
                  </w:pPr>
                </w:p>
              </w:tc>
              <w:tc>
                <w:tcPr>
                  <w:tcW w:w="1645"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下风向</w:t>
                  </w:r>
                </w:p>
                <w:p>
                  <w:pPr>
                    <w:pStyle w:val="34"/>
                    <w:rPr>
                      <w:szCs w:val="21"/>
                    </w:rPr>
                  </w:pPr>
                  <w:r>
                    <w:rPr>
                      <w:rFonts w:hint="eastAsia"/>
                      <w:szCs w:val="21"/>
                    </w:rPr>
                    <w:t>厂界边界</w:t>
                  </w:r>
                </w:p>
              </w:tc>
              <w:tc>
                <w:tcPr>
                  <w:tcW w:w="80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1</w:t>
                  </w:r>
                  <w:r>
                    <w:rPr>
                      <w:szCs w:val="21"/>
                    </w:rPr>
                    <w:t>.0</w:t>
                  </w:r>
                </w:p>
              </w:tc>
              <w:tc>
                <w:tcPr>
                  <w:tcW w:w="82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49" w:type="dxa"/>
                  <w:vMerge w:val="restart"/>
                  <w:tcBorders>
                    <w:top w:val="single" w:color="auto" w:sz="4" w:space="0"/>
                    <w:left w:val="single" w:color="auto" w:sz="4" w:space="0"/>
                    <w:right w:val="single" w:color="auto" w:sz="4" w:space="0"/>
                  </w:tcBorders>
                  <w:vAlign w:val="center"/>
                </w:tcPr>
                <w:p>
                  <w:pPr>
                    <w:pStyle w:val="34"/>
                    <w:rPr>
                      <w:szCs w:val="21"/>
                    </w:rPr>
                  </w:pPr>
                  <w:r>
                    <w:rPr>
                      <w:rFonts w:hint="eastAsia"/>
                      <w:szCs w:val="21"/>
                    </w:rPr>
                    <w:t>非甲烷总烃</w:t>
                  </w:r>
                </w:p>
              </w:tc>
              <w:tc>
                <w:tcPr>
                  <w:tcW w:w="754" w:type="dxa"/>
                  <w:tcBorders>
                    <w:top w:val="single" w:color="auto" w:sz="4" w:space="0"/>
                    <w:left w:val="single" w:color="auto" w:sz="4" w:space="0"/>
                    <w:right w:val="single" w:color="auto" w:sz="4" w:space="0"/>
                  </w:tcBorders>
                  <w:vAlign w:val="center"/>
                </w:tcPr>
                <w:p>
                  <w:pPr>
                    <w:pStyle w:val="34"/>
                    <w:rPr>
                      <w:szCs w:val="21"/>
                    </w:rPr>
                  </w:pPr>
                  <w:r>
                    <w:rPr>
                      <w:szCs w:val="21"/>
                    </w:rPr>
                    <w:t>有组织</w:t>
                  </w:r>
                </w:p>
              </w:tc>
              <w:tc>
                <w:tcPr>
                  <w:tcW w:w="81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0</w:t>
                  </w:r>
                  <w:r>
                    <w:rPr>
                      <w:szCs w:val="21"/>
                    </w:rPr>
                    <w:t>.002</w:t>
                  </w:r>
                </w:p>
              </w:tc>
              <w:tc>
                <w:tcPr>
                  <w:tcW w:w="87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0</w:t>
                  </w:r>
                  <w:r>
                    <w:rPr>
                      <w:szCs w:val="21"/>
                    </w:rPr>
                    <w:t>.20</w:t>
                  </w:r>
                </w:p>
              </w:tc>
              <w:tc>
                <w:tcPr>
                  <w:tcW w:w="1944" w:type="dxa"/>
                  <w:vMerge w:val="restart"/>
                  <w:tcBorders>
                    <w:top w:val="single" w:color="auto" w:sz="4" w:space="0"/>
                    <w:left w:val="single" w:color="auto" w:sz="4" w:space="0"/>
                    <w:right w:val="single" w:color="auto" w:sz="4" w:space="0"/>
                  </w:tcBorders>
                  <w:vAlign w:val="center"/>
                </w:tcPr>
                <w:p>
                  <w:pPr>
                    <w:pStyle w:val="34"/>
                    <w:rPr>
                      <w:szCs w:val="21"/>
                    </w:rPr>
                  </w:pPr>
                  <w:r>
                    <w:rPr>
                      <w:szCs w:val="21"/>
                    </w:rPr>
                    <w:t>《大气污染物综合排放标准》（GB16297-1996）</w:t>
                  </w:r>
                </w:p>
              </w:tc>
              <w:tc>
                <w:tcPr>
                  <w:tcW w:w="1645" w:type="dxa"/>
                  <w:tcBorders>
                    <w:top w:val="single" w:color="auto" w:sz="4" w:space="0"/>
                    <w:left w:val="single" w:color="auto" w:sz="4" w:space="0"/>
                    <w:right w:val="single" w:color="auto" w:sz="4" w:space="0"/>
                  </w:tcBorders>
                  <w:vAlign w:val="center"/>
                </w:tcPr>
                <w:p>
                  <w:pPr>
                    <w:pStyle w:val="34"/>
                    <w:rPr>
                      <w:szCs w:val="21"/>
                    </w:rPr>
                  </w:pPr>
                  <w:r>
                    <w:rPr>
                      <w:szCs w:val="21"/>
                    </w:rPr>
                    <w:t>2#</w:t>
                  </w:r>
                  <w:r>
                    <w:rPr>
                      <w:rFonts w:hint="eastAsia"/>
                      <w:szCs w:val="21"/>
                    </w:rPr>
                    <w:t>电器拆解后加工排气筒</w:t>
                  </w:r>
                </w:p>
              </w:tc>
              <w:tc>
                <w:tcPr>
                  <w:tcW w:w="802" w:type="dxa"/>
                  <w:vMerge w:val="restart"/>
                  <w:tcBorders>
                    <w:top w:val="single" w:color="auto" w:sz="4" w:space="0"/>
                    <w:left w:val="single" w:color="auto" w:sz="4" w:space="0"/>
                    <w:right w:val="single" w:color="auto" w:sz="4" w:space="0"/>
                  </w:tcBorders>
                  <w:vAlign w:val="center"/>
                </w:tcPr>
                <w:p>
                  <w:pPr>
                    <w:pStyle w:val="34"/>
                    <w:rPr>
                      <w:szCs w:val="21"/>
                    </w:rPr>
                  </w:pPr>
                  <w:r>
                    <w:rPr>
                      <w:szCs w:val="21"/>
                    </w:rPr>
                    <w:t>120</w:t>
                  </w:r>
                </w:p>
              </w:tc>
              <w:tc>
                <w:tcPr>
                  <w:tcW w:w="822" w:type="dxa"/>
                  <w:tcBorders>
                    <w:top w:val="single" w:color="auto" w:sz="4" w:space="0"/>
                    <w:left w:val="single" w:color="auto" w:sz="4" w:space="0"/>
                    <w:right w:val="single" w:color="auto" w:sz="4" w:space="0"/>
                  </w:tcBorders>
                  <w:vAlign w:val="center"/>
                </w:tcPr>
                <w:p>
                  <w:pPr>
                    <w:pStyle w:val="34"/>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649" w:type="dxa"/>
                  <w:vMerge w:val="continue"/>
                  <w:tcBorders>
                    <w:top w:val="single" w:color="auto" w:sz="4" w:space="0"/>
                    <w:left w:val="single" w:color="auto" w:sz="4" w:space="0"/>
                    <w:right w:val="single" w:color="auto" w:sz="4" w:space="0"/>
                  </w:tcBorders>
                  <w:vAlign w:val="center"/>
                </w:tcPr>
                <w:p>
                  <w:pPr>
                    <w:pStyle w:val="34"/>
                    <w:rPr>
                      <w:szCs w:val="21"/>
                    </w:rPr>
                  </w:pPr>
                </w:p>
              </w:tc>
              <w:tc>
                <w:tcPr>
                  <w:tcW w:w="754" w:type="dxa"/>
                  <w:tcBorders>
                    <w:top w:val="single" w:color="auto" w:sz="4" w:space="0"/>
                    <w:left w:val="single" w:color="auto" w:sz="4" w:space="0"/>
                    <w:right w:val="single" w:color="auto" w:sz="4" w:space="0"/>
                  </w:tcBorders>
                  <w:vAlign w:val="center"/>
                </w:tcPr>
                <w:p>
                  <w:pPr>
                    <w:pStyle w:val="34"/>
                    <w:rPr>
                      <w:szCs w:val="21"/>
                    </w:rPr>
                  </w:pPr>
                  <w:r>
                    <w:rPr>
                      <w:szCs w:val="21"/>
                    </w:rPr>
                    <w:t>有组织</w:t>
                  </w:r>
                </w:p>
              </w:tc>
              <w:tc>
                <w:tcPr>
                  <w:tcW w:w="81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0</w:t>
                  </w:r>
                  <w:r>
                    <w:rPr>
                      <w:szCs w:val="21"/>
                    </w:rPr>
                    <w:t>.0065</w:t>
                  </w:r>
                </w:p>
              </w:tc>
              <w:tc>
                <w:tcPr>
                  <w:tcW w:w="87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1</w:t>
                  </w:r>
                  <w:r>
                    <w:rPr>
                      <w:szCs w:val="21"/>
                    </w:rPr>
                    <w:t>.29</w:t>
                  </w:r>
                </w:p>
              </w:tc>
              <w:tc>
                <w:tcPr>
                  <w:tcW w:w="1944" w:type="dxa"/>
                  <w:vMerge w:val="continue"/>
                  <w:tcBorders>
                    <w:left w:val="single" w:color="auto" w:sz="4" w:space="0"/>
                    <w:right w:val="single" w:color="auto" w:sz="4" w:space="0"/>
                  </w:tcBorders>
                  <w:vAlign w:val="center"/>
                </w:tcPr>
                <w:p>
                  <w:pPr>
                    <w:pStyle w:val="34"/>
                    <w:rPr>
                      <w:szCs w:val="21"/>
                    </w:rPr>
                  </w:pPr>
                </w:p>
              </w:tc>
              <w:tc>
                <w:tcPr>
                  <w:tcW w:w="1645"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3</w:t>
                  </w:r>
                  <w:r>
                    <w:rPr>
                      <w:szCs w:val="21"/>
                    </w:rPr>
                    <w:t>#</w:t>
                  </w:r>
                  <w:r>
                    <w:rPr>
                      <w:rFonts w:hint="eastAsia"/>
                      <w:szCs w:val="21"/>
                    </w:rPr>
                    <w:t>机动车拆解排气筒</w:t>
                  </w:r>
                </w:p>
              </w:tc>
              <w:tc>
                <w:tcPr>
                  <w:tcW w:w="802" w:type="dxa"/>
                  <w:vMerge w:val="continue"/>
                  <w:tcBorders>
                    <w:left w:val="single" w:color="auto" w:sz="4" w:space="0"/>
                    <w:right w:val="single" w:color="auto" w:sz="4" w:space="0"/>
                  </w:tcBorders>
                  <w:vAlign w:val="center"/>
                </w:tcPr>
                <w:p>
                  <w:pPr>
                    <w:pStyle w:val="34"/>
                    <w:rPr>
                      <w:szCs w:val="21"/>
                    </w:rPr>
                  </w:pPr>
                </w:p>
              </w:tc>
              <w:tc>
                <w:tcPr>
                  <w:tcW w:w="822" w:type="dxa"/>
                  <w:tcBorders>
                    <w:top w:val="single" w:color="auto" w:sz="4" w:space="0"/>
                    <w:left w:val="single" w:color="auto" w:sz="4" w:space="0"/>
                    <w:right w:val="single" w:color="auto" w:sz="4" w:space="0"/>
                  </w:tcBorders>
                  <w:vAlign w:val="center"/>
                </w:tcPr>
                <w:p>
                  <w:pPr>
                    <w:pStyle w:val="34"/>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9" w:type="dxa"/>
                  <w:vMerge w:val="continue"/>
                  <w:tcBorders>
                    <w:left w:val="single" w:color="auto" w:sz="4" w:space="0"/>
                    <w:right w:val="single" w:color="auto" w:sz="4" w:space="0"/>
                  </w:tcBorders>
                  <w:vAlign w:val="center"/>
                </w:tcPr>
                <w:p>
                  <w:pPr>
                    <w:pStyle w:val="34"/>
                    <w:rPr>
                      <w:szCs w:val="21"/>
                    </w:rPr>
                  </w:pPr>
                </w:p>
              </w:tc>
              <w:tc>
                <w:tcPr>
                  <w:tcW w:w="754" w:type="dxa"/>
                  <w:vMerge w:val="restart"/>
                  <w:tcBorders>
                    <w:left w:val="single" w:color="auto" w:sz="4" w:space="0"/>
                    <w:right w:val="single" w:color="auto" w:sz="4" w:space="0"/>
                  </w:tcBorders>
                  <w:vAlign w:val="center"/>
                </w:tcPr>
                <w:p>
                  <w:pPr>
                    <w:pStyle w:val="34"/>
                    <w:rPr>
                      <w:szCs w:val="21"/>
                    </w:rPr>
                  </w:pPr>
                  <w:r>
                    <w:rPr>
                      <w:szCs w:val="21"/>
                    </w:rPr>
                    <w:t>无组织</w:t>
                  </w:r>
                </w:p>
              </w:tc>
              <w:tc>
                <w:tcPr>
                  <w:tcW w:w="812" w:type="dxa"/>
                  <w:vMerge w:val="restart"/>
                  <w:tcBorders>
                    <w:top w:val="single" w:color="auto" w:sz="4" w:space="0"/>
                    <w:left w:val="single" w:color="auto" w:sz="4" w:space="0"/>
                    <w:right w:val="single" w:color="auto" w:sz="4" w:space="0"/>
                  </w:tcBorders>
                  <w:vAlign w:val="center"/>
                </w:tcPr>
                <w:p>
                  <w:pPr>
                    <w:pStyle w:val="34"/>
                    <w:rPr>
                      <w:szCs w:val="21"/>
                    </w:rPr>
                  </w:pPr>
                  <w:r>
                    <w:rPr>
                      <w:rFonts w:hint="eastAsia"/>
                      <w:szCs w:val="21"/>
                    </w:rPr>
                    <w:t>0</w:t>
                  </w:r>
                  <w:r>
                    <w:rPr>
                      <w:szCs w:val="21"/>
                    </w:rPr>
                    <w:t>.00</w:t>
                  </w:r>
                  <w:r>
                    <w:rPr>
                      <w:rFonts w:hint="eastAsia"/>
                      <w:szCs w:val="21"/>
                    </w:rPr>
                    <w:t>5</w:t>
                  </w:r>
                </w:p>
              </w:tc>
              <w:tc>
                <w:tcPr>
                  <w:tcW w:w="872"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w:t>
                  </w:r>
                </w:p>
              </w:tc>
              <w:tc>
                <w:tcPr>
                  <w:tcW w:w="1944" w:type="dxa"/>
                  <w:vMerge w:val="continue"/>
                  <w:tcBorders>
                    <w:left w:val="single" w:color="auto" w:sz="4" w:space="0"/>
                    <w:right w:val="single" w:color="auto" w:sz="4" w:space="0"/>
                  </w:tcBorders>
                  <w:vAlign w:val="center"/>
                </w:tcPr>
                <w:p>
                  <w:pPr>
                    <w:pStyle w:val="34"/>
                    <w:rPr>
                      <w:szCs w:val="21"/>
                    </w:rPr>
                  </w:pPr>
                </w:p>
              </w:tc>
              <w:tc>
                <w:tcPr>
                  <w:tcW w:w="1645" w:type="dxa"/>
                  <w:tcBorders>
                    <w:left w:val="single" w:color="auto" w:sz="4" w:space="0"/>
                    <w:right w:val="single" w:color="auto" w:sz="4" w:space="0"/>
                  </w:tcBorders>
                  <w:vAlign w:val="center"/>
                </w:tcPr>
                <w:p>
                  <w:pPr>
                    <w:pStyle w:val="34"/>
                    <w:rPr>
                      <w:szCs w:val="21"/>
                    </w:rPr>
                  </w:pPr>
                  <w:r>
                    <w:rPr>
                      <w:rFonts w:hint="eastAsia"/>
                      <w:szCs w:val="21"/>
                    </w:rPr>
                    <w:t>下风向</w:t>
                  </w:r>
                </w:p>
                <w:p>
                  <w:pPr>
                    <w:pStyle w:val="34"/>
                    <w:rPr>
                      <w:szCs w:val="21"/>
                    </w:rPr>
                  </w:pPr>
                  <w:r>
                    <w:rPr>
                      <w:rFonts w:hint="eastAsia"/>
                      <w:szCs w:val="21"/>
                    </w:rPr>
                    <w:t>厂界边界</w:t>
                  </w:r>
                </w:p>
              </w:tc>
              <w:tc>
                <w:tcPr>
                  <w:tcW w:w="802" w:type="dxa"/>
                  <w:tcBorders>
                    <w:left w:val="single" w:color="auto" w:sz="4" w:space="0"/>
                    <w:right w:val="single" w:color="auto" w:sz="4" w:space="0"/>
                  </w:tcBorders>
                  <w:vAlign w:val="center"/>
                </w:tcPr>
                <w:p>
                  <w:pPr>
                    <w:pStyle w:val="34"/>
                    <w:rPr>
                      <w:szCs w:val="21"/>
                    </w:rPr>
                  </w:pPr>
                  <w:r>
                    <w:rPr>
                      <w:szCs w:val="21"/>
                    </w:rPr>
                    <w:t>4</w:t>
                  </w:r>
                </w:p>
              </w:tc>
              <w:tc>
                <w:tcPr>
                  <w:tcW w:w="82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9" w:type="dxa"/>
                  <w:vMerge w:val="continue"/>
                  <w:tcBorders>
                    <w:left w:val="single" w:color="auto" w:sz="4" w:space="0"/>
                    <w:right w:val="single" w:color="auto" w:sz="4" w:space="0"/>
                  </w:tcBorders>
                  <w:vAlign w:val="center"/>
                </w:tcPr>
                <w:p>
                  <w:pPr>
                    <w:pStyle w:val="34"/>
                    <w:rPr>
                      <w:szCs w:val="21"/>
                    </w:rPr>
                  </w:pPr>
                </w:p>
              </w:tc>
              <w:tc>
                <w:tcPr>
                  <w:tcW w:w="754" w:type="dxa"/>
                  <w:vMerge w:val="continue"/>
                  <w:tcBorders>
                    <w:left w:val="single" w:color="auto" w:sz="4" w:space="0"/>
                    <w:right w:val="single" w:color="auto" w:sz="4" w:space="0"/>
                  </w:tcBorders>
                  <w:vAlign w:val="center"/>
                </w:tcPr>
                <w:p>
                  <w:pPr>
                    <w:pStyle w:val="34"/>
                    <w:rPr>
                      <w:szCs w:val="21"/>
                    </w:rPr>
                  </w:pPr>
                </w:p>
              </w:tc>
              <w:tc>
                <w:tcPr>
                  <w:tcW w:w="812" w:type="dxa"/>
                  <w:vMerge w:val="continue"/>
                  <w:tcBorders>
                    <w:left w:val="single" w:color="auto" w:sz="4" w:space="0"/>
                    <w:bottom w:val="single" w:color="auto" w:sz="4" w:space="0"/>
                    <w:right w:val="single" w:color="auto" w:sz="4" w:space="0"/>
                  </w:tcBorders>
                  <w:vAlign w:val="center"/>
                </w:tcPr>
                <w:p>
                  <w:pPr>
                    <w:pStyle w:val="34"/>
                    <w:rPr>
                      <w:szCs w:val="21"/>
                    </w:rPr>
                  </w:pPr>
                </w:p>
              </w:tc>
              <w:tc>
                <w:tcPr>
                  <w:tcW w:w="872"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w:t>
                  </w:r>
                </w:p>
              </w:tc>
              <w:tc>
                <w:tcPr>
                  <w:tcW w:w="1944" w:type="dxa"/>
                  <w:tcBorders>
                    <w:left w:val="single" w:color="auto" w:sz="4" w:space="0"/>
                    <w:right w:val="single" w:color="auto" w:sz="4" w:space="0"/>
                  </w:tcBorders>
                  <w:vAlign w:val="center"/>
                </w:tcPr>
                <w:p>
                  <w:pPr>
                    <w:pStyle w:val="34"/>
                    <w:rPr>
                      <w:szCs w:val="21"/>
                    </w:rPr>
                  </w:pPr>
                  <w:r>
                    <w:rPr>
                      <w:szCs w:val="21"/>
                    </w:rPr>
                    <w:t>《挥发性有机物无组织排放控制标准》（GB37822-2019）</w:t>
                  </w:r>
                </w:p>
              </w:tc>
              <w:tc>
                <w:tcPr>
                  <w:tcW w:w="1645" w:type="dxa"/>
                  <w:tcBorders>
                    <w:left w:val="single" w:color="auto" w:sz="4" w:space="0"/>
                    <w:right w:val="single" w:color="auto" w:sz="4" w:space="0"/>
                  </w:tcBorders>
                  <w:vAlign w:val="center"/>
                </w:tcPr>
                <w:p>
                  <w:pPr>
                    <w:pStyle w:val="34"/>
                    <w:rPr>
                      <w:szCs w:val="21"/>
                    </w:rPr>
                  </w:pPr>
                  <w:r>
                    <w:rPr>
                      <w:rFonts w:hint="eastAsia"/>
                      <w:szCs w:val="21"/>
                    </w:rPr>
                    <w:t>生产厂房</w:t>
                  </w:r>
                </w:p>
                <w:p>
                  <w:pPr>
                    <w:pStyle w:val="34"/>
                    <w:rPr>
                      <w:szCs w:val="21"/>
                    </w:rPr>
                  </w:pPr>
                  <w:r>
                    <w:rPr>
                      <w:rFonts w:hint="eastAsia"/>
                      <w:szCs w:val="21"/>
                    </w:rPr>
                    <w:t>窗口</w:t>
                  </w:r>
                </w:p>
              </w:tc>
              <w:tc>
                <w:tcPr>
                  <w:tcW w:w="802" w:type="dxa"/>
                  <w:tcBorders>
                    <w:left w:val="single" w:color="auto" w:sz="4" w:space="0"/>
                    <w:right w:val="single" w:color="auto" w:sz="4" w:space="0"/>
                  </w:tcBorders>
                  <w:vAlign w:val="center"/>
                </w:tcPr>
                <w:p>
                  <w:pPr>
                    <w:pStyle w:val="34"/>
                    <w:rPr>
                      <w:szCs w:val="21"/>
                    </w:rPr>
                  </w:pPr>
                  <w:r>
                    <w:rPr>
                      <w:szCs w:val="21"/>
                    </w:rPr>
                    <w:t>6</w:t>
                  </w:r>
                </w:p>
              </w:tc>
              <w:tc>
                <w:tcPr>
                  <w:tcW w:w="82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r>
            <w:bookmarkEnd w:id="6"/>
          </w:tbl>
          <w:p>
            <w:pPr>
              <w:ind w:firstLine="480"/>
              <w:rPr>
                <w:sz w:val="24"/>
                <w:szCs w:val="24"/>
              </w:rPr>
            </w:pPr>
            <w:r>
              <w:rPr>
                <w:rFonts w:hint="eastAsia"/>
                <w:sz w:val="24"/>
                <w:szCs w:val="24"/>
              </w:rPr>
              <w:t>由表4</w:t>
            </w:r>
            <w:r>
              <w:rPr>
                <w:sz w:val="24"/>
                <w:szCs w:val="24"/>
              </w:rPr>
              <w:t>-8</w:t>
            </w:r>
            <w:r>
              <w:rPr>
                <w:rFonts w:hint="eastAsia"/>
                <w:sz w:val="24"/>
                <w:szCs w:val="24"/>
              </w:rPr>
              <w:t>可知，本项目各产污环节在采取环评报告提出的环保措施后，大气污染物均可达标排放。</w:t>
            </w:r>
          </w:p>
          <w:p>
            <w:pPr>
              <w:ind w:firstLine="480"/>
              <w:rPr>
                <w:sz w:val="24"/>
                <w:szCs w:val="24"/>
              </w:rPr>
            </w:pPr>
            <w:r>
              <w:rPr>
                <w:rFonts w:hint="eastAsia"/>
                <w:sz w:val="24"/>
                <w:szCs w:val="24"/>
              </w:rPr>
              <w:t>（4）环保设施可行性分析</w:t>
            </w:r>
          </w:p>
          <w:p>
            <w:pPr>
              <w:ind w:firstLine="480"/>
              <w:rPr>
                <w:sz w:val="24"/>
                <w:szCs w:val="24"/>
              </w:rPr>
            </w:pPr>
            <w:r>
              <w:rPr>
                <w:rFonts w:hint="eastAsia"/>
                <w:sz w:val="24"/>
                <w:szCs w:val="24"/>
              </w:rPr>
              <w:t>①电器拆解生产线环保设施可行性分析</w:t>
            </w:r>
          </w:p>
          <w:p>
            <w:pPr>
              <w:ind w:firstLine="480"/>
              <w:rPr>
                <w:sz w:val="24"/>
                <w:szCs w:val="24"/>
              </w:rPr>
            </w:pPr>
            <w:r>
              <w:rPr>
                <w:rFonts w:hint="eastAsia"/>
                <w:sz w:val="24"/>
                <w:szCs w:val="24"/>
              </w:rPr>
              <w:t>电器拆解工序产生的主要污染物为颗粒物，采用布袋除尘器进行处置。布袋除尘器除尘原理如下：袋式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袋式除尘器除尘效率高，结构简单，维护操作方便，为现阶段较为成熟的除尘技术，用于本项目电器拆解工段可行。</w:t>
            </w:r>
          </w:p>
          <w:p>
            <w:pPr>
              <w:ind w:firstLine="480"/>
              <w:rPr>
                <w:sz w:val="24"/>
                <w:szCs w:val="24"/>
              </w:rPr>
            </w:pPr>
            <w:r>
              <w:rPr>
                <w:rFonts w:hint="eastAsia"/>
                <w:sz w:val="24"/>
                <w:szCs w:val="24"/>
              </w:rPr>
              <w:t>电器拆解后机械加工段产生的主要污染物为颗粒物和非甲烷总烃，采用旋风除尘+脉冲袋式除尘器+紫外光氧+活性炭吸附的方式进行处置。旋风除尘器可处置较大颗粒物，袋式除尘器可进一步处置更细小的颗粒物。将除尘器置于紫外光氧与活性炭吸附装置前可在废气进入有机污染物处置装置前有效降低其含尘率，减小活性炭吸附装置运行负荷。紫外光氧是利用特种紫外线波段</w:t>
            </w:r>
            <w:r>
              <w:rPr>
                <w:sz w:val="24"/>
                <w:szCs w:val="24"/>
              </w:rPr>
              <w:t>，将非甲烷总烃分子破碎并进一步氧化还原的一种特殊处理方式。非甲烷总烃气体先经过特殊波段紫外光波破碎有机分子，打断其分子链</w:t>
            </w:r>
            <w:r>
              <w:rPr>
                <w:rFonts w:hint="eastAsia"/>
                <w:sz w:val="24"/>
                <w:szCs w:val="24"/>
              </w:rPr>
              <w:t>；</w:t>
            </w:r>
            <w:r>
              <w:rPr>
                <w:sz w:val="24"/>
                <w:szCs w:val="24"/>
              </w:rPr>
              <w:t>同时，通过分解空气中的氧和水</w:t>
            </w:r>
            <w:r>
              <w:rPr>
                <w:rFonts w:hint="eastAsia"/>
                <w:sz w:val="24"/>
                <w:szCs w:val="24"/>
              </w:rPr>
              <w:t>，得到高浓度臭氧，臭氧进一步吸收能量，形成氧化性能更高的自由羟基，氧化废气分子。活性炭是一种多孔性的含炭物质，它具有高度发达的孔隙构造，活性炭的多孔结构为其提供了大量的表面积，能与气体（杂质）充分接触，从而赋予了活性炭所特有的吸附性能，使其非常容易达到吸收收集杂质的目的。废气经收集处置后由15m高排气筒达标排放，环保设施可行。</w:t>
            </w:r>
          </w:p>
          <w:p>
            <w:pPr>
              <w:ind w:firstLine="480"/>
              <w:rPr>
                <w:sz w:val="24"/>
                <w:szCs w:val="24"/>
              </w:rPr>
            </w:pPr>
            <w:r>
              <w:rPr>
                <w:rFonts w:hint="eastAsia"/>
                <w:sz w:val="24"/>
                <w:szCs w:val="24"/>
              </w:rPr>
              <w:t>②机动车拆解生产线环保设施可行性分析</w:t>
            </w:r>
          </w:p>
          <w:p>
            <w:pPr>
              <w:ind w:firstLine="480"/>
              <w:rPr>
                <w:sz w:val="24"/>
                <w:szCs w:val="24"/>
              </w:rPr>
            </w:pPr>
            <w:r>
              <w:rPr>
                <w:rFonts w:hint="eastAsia"/>
                <w:sz w:val="24"/>
                <w:szCs w:val="24"/>
              </w:rPr>
              <w:t>机动车拆解前清理废油液采用</w:t>
            </w:r>
            <w:r>
              <w:rPr>
                <w:sz w:val="24"/>
              </w:rPr>
              <w:t>密闭真空抽油机</w:t>
            </w:r>
            <w:r>
              <w:rPr>
                <w:rFonts w:hint="eastAsia"/>
                <w:sz w:val="24"/>
              </w:rPr>
              <w:t>，会产生少量非甲烷总烃。</w:t>
            </w:r>
          </w:p>
          <w:p>
            <w:pPr>
              <w:ind w:firstLine="480"/>
              <w:rPr>
                <w:sz w:val="24"/>
                <w:szCs w:val="24"/>
              </w:rPr>
            </w:pPr>
            <w:r>
              <w:rPr>
                <w:rFonts w:hint="eastAsia"/>
                <w:sz w:val="24"/>
                <w:szCs w:val="24"/>
              </w:rPr>
              <w:t>根据《挥发性有机物（NMHC）污染防治技术政策》（公告2013年第31号 2013-05-24实施），“对于含低浓度NMHC的废气，有回收价值时可采用吸附技术、吸收技术对有机溶剂回收后达标排放；不宜回收时，可采用吸附浓缩燃烧技术、生物技术、吸收技术、等离子体技术或紫外光高级氧化技术等净化后达标排放。”本项目产生低浓度NMHC的废气，无回收价值，采取活性炭吸附工艺进行处置，为保障处置效率，在活性炭吸附工艺前加装紫外光氧装置。污染物处置工艺符合挥发性有机物（NMHC）污染防治技术政策。废气经收集处置后由15m高排气筒排放，符合相关技术规范要求。</w:t>
            </w:r>
          </w:p>
          <w:p>
            <w:pPr>
              <w:ind w:firstLine="480"/>
              <w:rPr>
                <w:sz w:val="24"/>
                <w:szCs w:val="24"/>
              </w:rPr>
            </w:pPr>
            <w:r>
              <w:rPr>
                <w:rFonts w:hint="eastAsia"/>
                <w:sz w:val="24"/>
                <w:szCs w:val="24"/>
              </w:rPr>
              <w:t>机动车拆解后加工段会产生金属碎屑颗粒物，采取布袋除尘器进行处置。金属碎屑颗粒大、比重大，便于沉降，使用布袋除尘器可行。</w:t>
            </w:r>
          </w:p>
          <w:p>
            <w:pPr>
              <w:ind w:firstLine="480"/>
              <w:rPr>
                <w:sz w:val="24"/>
                <w:szCs w:val="24"/>
              </w:rPr>
            </w:pPr>
            <w:r>
              <w:rPr>
                <w:rFonts w:hint="eastAsia"/>
                <w:sz w:val="24"/>
                <w:szCs w:val="24"/>
              </w:rPr>
              <w:t>③活性炭使用量</w:t>
            </w:r>
          </w:p>
          <w:p>
            <w:pPr>
              <w:ind w:firstLine="480"/>
              <w:rPr>
                <w:sz w:val="24"/>
                <w:szCs w:val="24"/>
              </w:rPr>
            </w:pPr>
            <w:r>
              <w:rPr>
                <w:rFonts w:hint="eastAsia"/>
                <w:sz w:val="24"/>
                <w:szCs w:val="24"/>
              </w:rPr>
              <w:t>根据《2020年挥发性有机物治理攻坚方案》要求，“采用活性炭吸附技术的，应选择碘值不低于800毫克/</w:t>
            </w:r>
            <w:r>
              <w:rPr>
                <w:sz w:val="24"/>
                <w:szCs w:val="24"/>
              </w:rPr>
              <w:t>克的活性炭，并按设计要求足量添加、及时更换”。本项目选择碘值≥800mg/g</w:t>
            </w:r>
            <w:r>
              <w:rPr>
                <w:rFonts w:hint="eastAsia"/>
                <w:sz w:val="24"/>
                <w:szCs w:val="24"/>
              </w:rPr>
              <w:t>。</w:t>
            </w:r>
            <w:r>
              <w:rPr>
                <w:sz w:val="24"/>
                <w:szCs w:val="24"/>
              </w:rPr>
              <w:t>每吨活性炭可处置</w:t>
            </w:r>
            <w:r>
              <w:rPr>
                <w:rFonts w:hint="eastAsia"/>
                <w:sz w:val="24"/>
                <w:szCs w:val="24"/>
              </w:rPr>
              <w:t>250kg非甲烷总烃，项目年处置非甲烷总烃量为0.047t，则年活性炭使用量为0.19t，废活性炭产生量为0.24t。在日常运行过程中建设单位应定期更换活性炭，以确保运行效率。</w:t>
            </w:r>
          </w:p>
          <w:p>
            <w:pPr>
              <w:ind w:firstLine="480"/>
              <w:rPr>
                <w:sz w:val="24"/>
                <w:szCs w:val="24"/>
              </w:rPr>
            </w:pPr>
            <w:r>
              <w:rPr>
                <w:rFonts w:hint="eastAsia"/>
                <w:sz w:val="24"/>
                <w:szCs w:val="24"/>
              </w:rPr>
              <w:t>④监测计划</w:t>
            </w:r>
          </w:p>
          <w:p>
            <w:pPr>
              <w:ind w:firstLine="480"/>
              <w:rPr>
                <w:sz w:val="24"/>
                <w:szCs w:val="24"/>
              </w:rPr>
            </w:pPr>
            <w:r>
              <w:rPr>
                <w:rFonts w:hint="eastAsia"/>
                <w:sz w:val="24"/>
                <w:szCs w:val="24"/>
              </w:rPr>
              <w:t>根据《排污许可证申请与核发技术规范 废弃资源加工工业》H</w:t>
            </w:r>
            <w:r>
              <w:rPr>
                <w:sz w:val="24"/>
                <w:szCs w:val="24"/>
              </w:rPr>
              <w:t>J1034-2019</w:t>
            </w:r>
            <w:r>
              <w:rPr>
                <w:rFonts w:hint="eastAsia"/>
                <w:sz w:val="24"/>
                <w:szCs w:val="24"/>
              </w:rPr>
              <w:t>确定本项目运营期废气监测计划如下。</w:t>
            </w:r>
          </w:p>
          <w:p>
            <w:pPr>
              <w:pStyle w:val="34"/>
              <w:ind w:firstLine="482"/>
              <w:rPr>
                <w:b/>
                <w:sz w:val="24"/>
              </w:rPr>
            </w:pPr>
            <w:r>
              <w:rPr>
                <w:b/>
                <w:sz w:val="24"/>
              </w:rPr>
              <w:t>表4-9  废气监测信息表</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028"/>
              <w:gridCol w:w="3109"/>
              <w:gridCol w:w="1144"/>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8"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监测类别</w:t>
                  </w:r>
                </w:p>
              </w:tc>
              <w:tc>
                <w:tcPr>
                  <w:tcW w:w="1028"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w:t>
                  </w:r>
                </w:p>
                <w:p>
                  <w:pPr>
                    <w:pStyle w:val="34"/>
                    <w:rPr>
                      <w:b/>
                      <w:sz w:val="24"/>
                    </w:rPr>
                  </w:pPr>
                  <w:r>
                    <w:rPr>
                      <w:b/>
                      <w:sz w:val="24"/>
                    </w:rPr>
                    <w:t>项目</w:t>
                  </w:r>
                </w:p>
              </w:tc>
              <w:tc>
                <w:tcPr>
                  <w:tcW w:w="3109"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监测位置</w:t>
                  </w:r>
                </w:p>
              </w:tc>
              <w:tc>
                <w:tcPr>
                  <w:tcW w:w="1144"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监测</w:t>
                  </w:r>
                </w:p>
                <w:p>
                  <w:pPr>
                    <w:pStyle w:val="34"/>
                    <w:rPr>
                      <w:b/>
                      <w:sz w:val="24"/>
                    </w:rPr>
                  </w:pPr>
                  <w:r>
                    <w:rPr>
                      <w:b/>
                      <w:sz w:val="24"/>
                    </w:rPr>
                    <w:t>频次</w:t>
                  </w:r>
                </w:p>
              </w:tc>
              <w:tc>
                <w:tcPr>
                  <w:tcW w:w="2251"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 w:val="24"/>
                    </w:rPr>
                  </w:pPr>
                  <w:r>
                    <w:rPr>
                      <w:b/>
                      <w:sz w:val="24"/>
                    </w:rPr>
                    <w:t>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8" w:type="dxa"/>
                  <w:vMerge w:val="restart"/>
                  <w:tcBorders>
                    <w:top w:val="single" w:color="auto" w:sz="4" w:space="0"/>
                    <w:left w:val="single" w:color="auto" w:sz="4" w:space="0"/>
                    <w:right w:val="single" w:color="auto" w:sz="4" w:space="0"/>
                  </w:tcBorders>
                  <w:shd w:val="clear" w:color="auto" w:fill="auto"/>
                  <w:vAlign w:val="center"/>
                </w:tcPr>
                <w:p>
                  <w:pPr>
                    <w:pStyle w:val="34"/>
                    <w:rPr>
                      <w:sz w:val="24"/>
                    </w:rPr>
                  </w:pPr>
                  <w:r>
                    <w:rPr>
                      <w:sz w:val="24"/>
                    </w:rPr>
                    <w:t>废气</w:t>
                  </w:r>
                </w:p>
              </w:tc>
              <w:tc>
                <w:tcPr>
                  <w:tcW w:w="1028" w:type="dxa"/>
                  <w:vMerge w:val="restart"/>
                  <w:tcBorders>
                    <w:top w:val="single" w:color="auto" w:sz="4" w:space="0"/>
                    <w:left w:val="single" w:color="auto" w:sz="4" w:space="0"/>
                    <w:right w:val="single" w:color="auto" w:sz="4" w:space="0"/>
                  </w:tcBorders>
                  <w:shd w:val="clear" w:color="auto" w:fill="auto"/>
                  <w:vAlign w:val="center"/>
                </w:tcPr>
                <w:p>
                  <w:pPr>
                    <w:pStyle w:val="34"/>
                    <w:rPr>
                      <w:sz w:val="24"/>
                    </w:rPr>
                  </w:pPr>
                  <w:r>
                    <w:rPr>
                      <w:sz w:val="24"/>
                    </w:rPr>
                    <w:t>颗粒物</w:t>
                  </w:r>
                </w:p>
              </w:tc>
              <w:tc>
                <w:tcPr>
                  <w:tcW w:w="31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rPr>
                      <w:sz w:val="24"/>
                    </w:rPr>
                  </w:pPr>
                  <w:r>
                    <w:rPr>
                      <w:rFonts w:hint="eastAsia"/>
                      <w:sz w:val="24"/>
                    </w:rPr>
                    <w:t>1#废弃电器拆解排气筒</w:t>
                  </w:r>
                </w:p>
              </w:tc>
              <w:tc>
                <w:tcPr>
                  <w:tcW w:w="1144" w:type="dxa"/>
                  <w:vMerge w:val="restart"/>
                  <w:tcBorders>
                    <w:top w:val="single" w:color="auto" w:sz="4" w:space="0"/>
                    <w:left w:val="single" w:color="auto" w:sz="4" w:space="0"/>
                    <w:right w:val="single" w:color="auto" w:sz="4" w:space="0"/>
                  </w:tcBorders>
                  <w:vAlign w:val="center"/>
                </w:tcPr>
                <w:p>
                  <w:pPr>
                    <w:pStyle w:val="34"/>
                    <w:rPr>
                      <w:sz w:val="24"/>
                    </w:rPr>
                  </w:pPr>
                  <w:r>
                    <w:rPr>
                      <w:rFonts w:hint="eastAsia"/>
                      <w:sz w:val="24"/>
                    </w:rPr>
                    <w:t>半</w:t>
                  </w:r>
                  <w:r>
                    <w:rPr>
                      <w:sz w:val="24"/>
                    </w:rPr>
                    <w:t>年</w:t>
                  </w:r>
                  <w:r>
                    <w:rPr>
                      <w:rFonts w:hint="eastAsia"/>
                      <w:sz w:val="24"/>
                    </w:rPr>
                    <w:t>/次</w:t>
                  </w:r>
                </w:p>
              </w:tc>
              <w:tc>
                <w:tcPr>
                  <w:tcW w:w="2251" w:type="dxa"/>
                  <w:vMerge w:val="restart"/>
                  <w:tcBorders>
                    <w:top w:val="single" w:color="auto" w:sz="4" w:space="0"/>
                    <w:left w:val="single" w:color="auto" w:sz="4" w:space="0"/>
                    <w:right w:val="single" w:color="auto" w:sz="4" w:space="0"/>
                  </w:tcBorders>
                  <w:vAlign w:val="center"/>
                </w:tcPr>
                <w:p>
                  <w:pPr>
                    <w:pStyle w:val="34"/>
                    <w:rPr>
                      <w:sz w:val="24"/>
                    </w:rPr>
                  </w:pPr>
                  <w:r>
                    <w:rPr>
                      <w:rFonts w:hint="eastAsia"/>
                      <w:sz w:val="24"/>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8" w:type="dxa"/>
                  <w:vMerge w:val="continue"/>
                  <w:tcBorders>
                    <w:top w:val="single" w:color="auto" w:sz="4" w:space="0"/>
                    <w:left w:val="single" w:color="auto" w:sz="4" w:space="0"/>
                    <w:right w:val="single" w:color="auto" w:sz="4" w:space="0"/>
                  </w:tcBorders>
                  <w:shd w:val="clear" w:color="auto" w:fill="auto"/>
                  <w:vAlign w:val="center"/>
                </w:tcPr>
                <w:p>
                  <w:pPr>
                    <w:pStyle w:val="34"/>
                    <w:rPr>
                      <w:sz w:val="24"/>
                    </w:rPr>
                  </w:pPr>
                </w:p>
              </w:tc>
              <w:tc>
                <w:tcPr>
                  <w:tcW w:w="1028" w:type="dxa"/>
                  <w:vMerge w:val="continue"/>
                  <w:tcBorders>
                    <w:left w:val="single" w:color="auto" w:sz="4" w:space="0"/>
                    <w:right w:val="single" w:color="auto" w:sz="4" w:space="0"/>
                  </w:tcBorders>
                  <w:shd w:val="clear" w:color="auto" w:fill="auto"/>
                  <w:vAlign w:val="center"/>
                </w:tcPr>
                <w:p>
                  <w:pPr>
                    <w:pStyle w:val="34"/>
                    <w:rPr>
                      <w:sz w:val="24"/>
                    </w:rPr>
                  </w:pPr>
                </w:p>
              </w:tc>
              <w:tc>
                <w:tcPr>
                  <w:tcW w:w="31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rPr>
                      <w:sz w:val="24"/>
                    </w:rPr>
                  </w:pPr>
                  <w:r>
                    <w:rPr>
                      <w:rFonts w:hint="eastAsia"/>
                      <w:sz w:val="24"/>
                    </w:rPr>
                    <w:t>2#电器拆解后加工排气筒</w:t>
                  </w:r>
                </w:p>
              </w:tc>
              <w:tc>
                <w:tcPr>
                  <w:tcW w:w="1144" w:type="dxa"/>
                  <w:vMerge w:val="continue"/>
                  <w:tcBorders>
                    <w:left w:val="single" w:color="auto" w:sz="4" w:space="0"/>
                    <w:right w:val="single" w:color="auto" w:sz="4" w:space="0"/>
                  </w:tcBorders>
                  <w:vAlign w:val="center"/>
                </w:tcPr>
                <w:p>
                  <w:pPr>
                    <w:pStyle w:val="34"/>
                    <w:rPr>
                      <w:sz w:val="24"/>
                    </w:rPr>
                  </w:pPr>
                </w:p>
              </w:tc>
              <w:tc>
                <w:tcPr>
                  <w:tcW w:w="2251" w:type="dxa"/>
                  <w:vMerge w:val="continue"/>
                  <w:tcBorders>
                    <w:left w:val="single" w:color="auto" w:sz="4" w:space="0"/>
                    <w:right w:val="single" w:color="auto" w:sz="4" w:space="0"/>
                  </w:tcBorders>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8" w:type="dxa"/>
                  <w:vMerge w:val="continue"/>
                  <w:tcBorders>
                    <w:top w:val="single" w:color="auto" w:sz="4" w:space="0"/>
                    <w:left w:val="single" w:color="auto" w:sz="4" w:space="0"/>
                    <w:right w:val="single" w:color="auto" w:sz="4" w:space="0"/>
                  </w:tcBorders>
                  <w:shd w:val="clear" w:color="auto" w:fill="auto"/>
                  <w:vAlign w:val="center"/>
                </w:tcPr>
                <w:p>
                  <w:pPr>
                    <w:pStyle w:val="34"/>
                    <w:rPr>
                      <w:sz w:val="24"/>
                    </w:rPr>
                  </w:pPr>
                </w:p>
              </w:tc>
              <w:tc>
                <w:tcPr>
                  <w:tcW w:w="1028" w:type="dxa"/>
                  <w:vMerge w:val="continue"/>
                  <w:tcBorders>
                    <w:left w:val="single" w:color="auto" w:sz="4" w:space="0"/>
                    <w:right w:val="single" w:color="auto" w:sz="4" w:space="0"/>
                  </w:tcBorders>
                  <w:shd w:val="clear" w:color="auto" w:fill="auto"/>
                  <w:vAlign w:val="center"/>
                </w:tcPr>
                <w:p>
                  <w:pPr>
                    <w:pStyle w:val="34"/>
                    <w:rPr>
                      <w:sz w:val="24"/>
                    </w:rPr>
                  </w:pPr>
                </w:p>
              </w:tc>
              <w:tc>
                <w:tcPr>
                  <w:tcW w:w="31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rPr>
                      <w:sz w:val="24"/>
                    </w:rPr>
                  </w:pPr>
                  <w:r>
                    <w:rPr>
                      <w:rFonts w:hint="eastAsia"/>
                      <w:sz w:val="24"/>
                    </w:rPr>
                    <w:t>3#机动车拆解排气筒</w:t>
                  </w:r>
                </w:p>
              </w:tc>
              <w:tc>
                <w:tcPr>
                  <w:tcW w:w="1144" w:type="dxa"/>
                  <w:vMerge w:val="restart"/>
                  <w:tcBorders>
                    <w:left w:val="single" w:color="auto" w:sz="4" w:space="0"/>
                    <w:right w:val="single" w:color="auto" w:sz="4" w:space="0"/>
                  </w:tcBorders>
                  <w:vAlign w:val="center"/>
                </w:tcPr>
                <w:p>
                  <w:pPr>
                    <w:pStyle w:val="34"/>
                    <w:rPr>
                      <w:sz w:val="24"/>
                    </w:rPr>
                  </w:pPr>
                  <w:r>
                    <w:rPr>
                      <w:sz w:val="24"/>
                    </w:rPr>
                    <w:t>年</w:t>
                  </w:r>
                  <w:r>
                    <w:rPr>
                      <w:rFonts w:hint="eastAsia"/>
                      <w:sz w:val="24"/>
                    </w:rPr>
                    <w:t>/次</w:t>
                  </w:r>
                </w:p>
              </w:tc>
              <w:tc>
                <w:tcPr>
                  <w:tcW w:w="2251" w:type="dxa"/>
                  <w:vMerge w:val="continue"/>
                  <w:tcBorders>
                    <w:left w:val="single" w:color="auto" w:sz="4" w:space="0"/>
                    <w:right w:val="single" w:color="auto" w:sz="4" w:space="0"/>
                  </w:tcBorders>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8" w:type="dxa"/>
                  <w:vMerge w:val="continue"/>
                  <w:tcBorders>
                    <w:top w:val="single" w:color="auto" w:sz="4" w:space="0"/>
                    <w:left w:val="single" w:color="auto" w:sz="4" w:space="0"/>
                    <w:right w:val="single" w:color="auto" w:sz="4" w:space="0"/>
                  </w:tcBorders>
                  <w:shd w:val="clear" w:color="auto" w:fill="auto"/>
                  <w:vAlign w:val="center"/>
                </w:tcPr>
                <w:p>
                  <w:pPr>
                    <w:pStyle w:val="34"/>
                    <w:rPr>
                      <w:sz w:val="24"/>
                    </w:rPr>
                  </w:pPr>
                </w:p>
              </w:tc>
              <w:tc>
                <w:tcPr>
                  <w:tcW w:w="1028" w:type="dxa"/>
                  <w:vMerge w:val="continue"/>
                  <w:tcBorders>
                    <w:left w:val="single" w:color="auto" w:sz="4" w:space="0"/>
                    <w:bottom w:val="single" w:color="auto" w:sz="4" w:space="0"/>
                    <w:right w:val="single" w:color="auto" w:sz="4" w:space="0"/>
                  </w:tcBorders>
                  <w:shd w:val="clear" w:color="auto" w:fill="auto"/>
                  <w:vAlign w:val="center"/>
                </w:tcPr>
                <w:p>
                  <w:pPr>
                    <w:pStyle w:val="34"/>
                    <w:rPr>
                      <w:sz w:val="24"/>
                    </w:rPr>
                  </w:pPr>
                </w:p>
              </w:tc>
              <w:tc>
                <w:tcPr>
                  <w:tcW w:w="31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rPr>
                      <w:sz w:val="24"/>
                    </w:rPr>
                  </w:pPr>
                  <w:r>
                    <w:rPr>
                      <w:rFonts w:hint="eastAsia"/>
                      <w:sz w:val="24"/>
                    </w:rPr>
                    <w:t>下风向厂界边界</w:t>
                  </w:r>
                </w:p>
              </w:tc>
              <w:tc>
                <w:tcPr>
                  <w:tcW w:w="1144" w:type="dxa"/>
                  <w:vMerge w:val="continue"/>
                  <w:tcBorders>
                    <w:left w:val="single" w:color="auto" w:sz="4" w:space="0"/>
                    <w:right w:val="single" w:color="auto" w:sz="4" w:space="0"/>
                  </w:tcBorders>
                  <w:vAlign w:val="center"/>
                </w:tcPr>
                <w:p>
                  <w:pPr>
                    <w:pStyle w:val="34"/>
                    <w:rPr>
                      <w:sz w:val="24"/>
                    </w:rPr>
                  </w:pPr>
                </w:p>
              </w:tc>
              <w:tc>
                <w:tcPr>
                  <w:tcW w:w="2251" w:type="dxa"/>
                  <w:vMerge w:val="continue"/>
                  <w:tcBorders>
                    <w:left w:val="single" w:color="auto" w:sz="4" w:space="0"/>
                    <w:right w:val="single" w:color="auto" w:sz="4" w:space="0"/>
                  </w:tcBorders>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8" w:type="dxa"/>
                  <w:vMerge w:val="continue"/>
                  <w:tcBorders>
                    <w:left w:val="single" w:color="auto" w:sz="4" w:space="0"/>
                    <w:right w:val="single" w:color="auto" w:sz="4" w:space="0"/>
                  </w:tcBorders>
                  <w:shd w:val="clear" w:color="auto" w:fill="auto"/>
                  <w:vAlign w:val="center"/>
                </w:tcPr>
                <w:p>
                  <w:pPr>
                    <w:pStyle w:val="34"/>
                    <w:rPr>
                      <w:sz w:val="24"/>
                    </w:rPr>
                  </w:pPr>
                </w:p>
              </w:tc>
              <w:tc>
                <w:tcPr>
                  <w:tcW w:w="1028" w:type="dxa"/>
                  <w:vMerge w:val="restart"/>
                  <w:tcBorders>
                    <w:top w:val="single" w:color="auto" w:sz="4" w:space="0"/>
                    <w:left w:val="single" w:color="auto" w:sz="4" w:space="0"/>
                    <w:right w:val="single" w:color="auto" w:sz="4" w:space="0"/>
                  </w:tcBorders>
                  <w:shd w:val="clear" w:color="auto" w:fill="auto"/>
                  <w:vAlign w:val="center"/>
                </w:tcPr>
                <w:p>
                  <w:pPr>
                    <w:pStyle w:val="34"/>
                    <w:rPr>
                      <w:sz w:val="24"/>
                    </w:rPr>
                  </w:pPr>
                  <w:r>
                    <w:rPr>
                      <w:sz w:val="24"/>
                    </w:rPr>
                    <w:t>非甲烷总烃</w:t>
                  </w:r>
                </w:p>
              </w:tc>
              <w:tc>
                <w:tcPr>
                  <w:tcW w:w="31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rPr>
                      <w:sz w:val="24"/>
                    </w:rPr>
                  </w:pPr>
                  <w:r>
                    <w:rPr>
                      <w:rFonts w:hint="eastAsia"/>
                      <w:sz w:val="24"/>
                    </w:rPr>
                    <w:t>2#电器拆解后加工排气筒</w:t>
                  </w:r>
                </w:p>
              </w:tc>
              <w:tc>
                <w:tcPr>
                  <w:tcW w:w="1144" w:type="dxa"/>
                  <w:tcBorders>
                    <w:left w:val="single" w:color="auto" w:sz="4" w:space="0"/>
                    <w:right w:val="single" w:color="auto" w:sz="4" w:space="0"/>
                  </w:tcBorders>
                  <w:vAlign w:val="center"/>
                </w:tcPr>
                <w:p>
                  <w:pPr>
                    <w:pStyle w:val="34"/>
                    <w:rPr>
                      <w:sz w:val="24"/>
                    </w:rPr>
                  </w:pPr>
                  <w:r>
                    <w:rPr>
                      <w:rFonts w:hint="eastAsia"/>
                      <w:sz w:val="24"/>
                    </w:rPr>
                    <w:t>半</w:t>
                  </w:r>
                  <w:r>
                    <w:rPr>
                      <w:sz w:val="24"/>
                    </w:rPr>
                    <w:t>年</w:t>
                  </w:r>
                  <w:r>
                    <w:rPr>
                      <w:rFonts w:hint="eastAsia"/>
                      <w:sz w:val="24"/>
                    </w:rPr>
                    <w:t>/次</w:t>
                  </w:r>
                </w:p>
              </w:tc>
              <w:tc>
                <w:tcPr>
                  <w:tcW w:w="2251" w:type="dxa"/>
                  <w:vMerge w:val="continue"/>
                  <w:tcBorders>
                    <w:left w:val="single" w:color="auto" w:sz="4" w:space="0"/>
                    <w:right w:val="single" w:color="auto" w:sz="4" w:space="0"/>
                  </w:tcBorders>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8" w:type="dxa"/>
                  <w:vMerge w:val="continue"/>
                  <w:tcBorders>
                    <w:left w:val="single" w:color="auto" w:sz="4" w:space="0"/>
                    <w:right w:val="single" w:color="auto" w:sz="4" w:space="0"/>
                  </w:tcBorders>
                  <w:shd w:val="clear" w:color="auto" w:fill="auto"/>
                  <w:vAlign w:val="center"/>
                </w:tcPr>
                <w:p>
                  <w:pPr>
                    <w:pStyle w:val="34"/>
                    <w:rPr>
                      <w:sz w:val="24"/>
                    </w:rPr>
                  </w:pPr>
                </w:p>
              </w:tc>
              <w:tc>
                <w:tcPr>
                  <w:tcW w:w="1028" w:type="dxa"/>
                  <w:vMerge w:val="continue"/>
                  <w:tcBorders>
                    <w:top w:val="single" w:color="auto" w:sz="4" w:space="0"/>
                    <w:left w:val="single" w:color="auto" w:sz="4" w:space="0"/>
                    <w:right w:val="single" w:color="auto" w:sz="4" w:space="0"/>
                  </w:tcBorders>
                  <w:shd w:val="clear" w:color="auto" w:fill="auto"/>
                  <w:vAlign w:val="center"/>
                </w:tcPr>
                <w:p>
                  <w:pPr>
                    <w:pStyle w:val="34"/>
                    <w:rPr>
                      <w:sz w:val="24"/>
                    </w:rPr>
                  </w:pPr>
                </w:p>
              </w:tc>
              <w:tc>
                <w:tcPr>
                  <w:tcW w:w="31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rPr>
                      <w:sz w:val="24"/>
                    </w:rPr>
                  </w:pPr>
                  <w:r>
                    <w:rPr>
                      <w:rFonts w:hint="eastAsia"/>
                      <w:sz w:val="24"/>
                    </w:rPr>
                    <w:t>3#机动车拆解排气筒</w:t>
                  </w:r>
                </w:p>
              </w:tc>
              <w:tc>
                <w:tcPr>
                  <w:tcW w:w="1144" w:type="dxa"/>
                  <w:vMerge w:val="restart"/>
                  <w:tcBorders>
                    <w:left w:val="single" w:color="auto" w:sz="4" w:space="0"/>
                    <w:right w:val="single" w:color="auto" w:sz="4" w:space="0"/>
                  </w:tcBorders>
                  <w:vAlign w:val="center"/>
                </w:tcPr>
                <w:p>
                  <w:pPr>
                    <w:pStyle w:val="34"/>
                    <w:rPr>
                      <w:sz w:val="24"/>
                    </w:rPr>
                  </w:pPr>
                  <w:r>
                    <w:rPr>
                      <w:sz w:val="24"/>
                    </w:rPr>
                    <w:t>年</w:t>
                  </w:r>
                  <w:r>
                    <w:rPr>
                      <w:rFonts w:hint="eastAsia"/>
                      <w:sz w:val="24"/>
                    </w:rPr>
                    <w:t>/次</w:t>
                  </w:r>
                </w:p>
              </w:tc>
              <w:tc>
                <w:tcPr>
                  <w:tcW w:w="2251" w:type="dxa"/>
                  <w:vMerge w:val="continue"/>
                  <w:tcBorders>
                    <w:left w:val="single" w:color="auto" w:sz="4" w:space="0"/>
                    <w:right w:val="single" w:color="auto" w:sz="4" w:space="0"/>
                  </w:tcBorders>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8" w:type="dxa"/>
                  <w:vMerge w:val="continue"/>
                  <w:tcBorders>
                    <w:left w:val="single" w:color="auto" w:sz="4" w:space="0"/>
                    <w:right w:val="single" w:color="auto" w:sz="4" w:space="0"/>
                  </w:tcBorders>
                  <w:shd w:val="clear" w:color="auto" w:fill="auto"/>
                  <w:vAlign w:val="center"/>
                </w:tcPr>
                <w:p>
                  <w:pPr>
                    <w:pStyle w:val="34"/>
                    <w:rPr>
                      <w:sz w:val="24"/>
                    </w:rPr>
                  </w:pPr>
                </w:p>
              </w:tc>
              <w:tc>
                <w:tcPr>
                  <w:tcW w:w="1028" w:type="dxa"/>
                  <w:vMerge w:val="continue"/>
                  <w:tcBorders>
                    <w:left w:val="single" w:color="auto" w:sz="4" w:space="0"/>
                    <w:right w:val="single" w:color="auto" w:sz="4" w:space="0"/>
                  </w:tcBorders>
                  <w:shd w:val="clear" w:color="auto" w:fill="auto"/>
                  <w:vAlign w:val="center"/>
                </w:tcPr>
                <w:p>
                  <w:pPr>
                    <w:pStyle w:val="34"/>
                    <w:rPr>
                      <w:sz w:val="24"/>
                    </w:rPr>
                  </w:pPr>
                </w:p>
              </w:tc>
              <w:tc>
                <w:tcPr>
                  <w:tcW w:w="31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4"/>
                    <w:rPr>
                      <w:sz w:val="24"/>
                    </w:rPr>
                  </w:pPr>
                  <w:r>
                    <w:rPr>
                      <w:rFonts w:hint="eastAsia"/>
                      <w:sz w:val="24"/>
                    </w:rPr>
                    <w:t>下风向厂界边界</w:t>
                  </w:r>
                </w:p>
              </w:tc>
              <w:tc>
                <w:tcPr>
                  <w:tcW w:w="1144" w:type="dxa"/>
                  <w:vMerge w:val="continue"/>
                  <w:tcBorders>
                    <w:left w:val="single" w:color="auto" w:sz="4" w:space="0"/>
                    <w:right w:val="single" w:color="auto" w:sz="4" w:space="0"/>
                  </w:tcBorders>
                  <w:vAlign w:val="center"/>
                </w:tcPr>
                <w:p>
                  <w:pPr>
                    <w:pStyle w:val="34"/>
                    <w:rPr>
                      <w:sz w:val="24"/>
                    </w:rPr>
                  </w:pPr>
                </w:p>
              </w:tc>
              <w:tc>
                <w:tcPr>
                  <w:tcW w:w="2251" w:type="dxa"/>
                  <w:vMerge w:val="continue"/>
                  <w:tcBorders>
                    <w:left w:val="single" w:color="auto" w:sz="4" w:space="0"/>
                    <w:right w:val="single" w:color="auto" w:sz="4" w:space="0"/>
                  </w:tcBorders>
                  <w:vAlign w:val="center"/>
                </w:tcPr>
                <w:p>
                  <w:pPr>
                    <w:pStyle w:val="3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8" w:type="dxa"/>
                  <w:vMerge w:val="continue"/>
                  <w:tcBorders>
                    <w:left w:val="single" w:color="auto" w:sz="4" w:space="0"/>
                    <w:right w:val="single" w:color="auto" w:sz="4" w:space="0"/>
                  </w:tcBorders>
                  <w:shd w:val="clear" w:color="auto" w:fill="auto"/>
                  <w:vAlign w:val="center"/>
                </w:tcPr>
                <w:p>
                  <w:pPr>
                    <w:pStyle w:val="34"/>
                    <w:rPr>
                      <w:sz w:val="24"/>
                    </w:rPr>
                  </w:pPr>
                </w:p>
              </w:tc>
              <w:tc>
                <w:tcPr>
                  <w:tcW w:w="1028" w:type="dxa"/>
                  <w:vMerge w:val="continue"/>
                  <w:tcBorders>
                    <w:left w:val="single" w:color="auto" w:sz="4" w:space="0"/>
                    <w:right w:val="single" w:color="auto" w:sz="4" w:space="0"/>
                  </w:tcBorders>
                  <w:shd w:val="clear" w:color="auto" w:fill="auto"/>
                  <w:vAlign w:val="center"/>
                </w:tcPr>
                <w:p>
                  <w:pPr>
                    <w:pStyle w:val="34"/>
                    <w:rPr>
                      <w:sz w:val="24"/>
                    </w:rPr>
                  </w:pPr>
                </w:p>
              </w:tc>
              <w:tc>
                <w:tcPr>
                  <w:tcW w:w="3109" w:type="dxa"/>
                  <w:tcBorders>
                    <w:top w:val="single" w:color="auto" w:sz="4" w:space="0"/>
                    <w:left w:val="single" w:color="auto" w:sz="4" w:space="0"/>
                    <w:right w:val="single" w:color="auto" w:sz="4" w:space="0"/>
                  </w:tcBorders>
                  <w:shd w:val="clear" w:color="auto" w:fill="auto"/>
                  <w:vAlign w:val="center"/>
                </w:tcPr>
                <w:p>
                  <w:pPr>
                    <w:pStyle w:val="34"/>
                    <w:rPr>
                      <w:sz w:val="24"/>
                    </w:rPr>
                  </w:pPr>
                  <w:r>
                    <w:rPr>
                      <w:rFonts w:hint="eastAsia"/>
                      <w:sz w:val="24"/>
                    </w:rPr>
                    <w:t>生产厂房窗口</w:t>
                  </w:r>
                </w:p>
              </w:tc>
              <w:tc>
                <w:tcPr>
                  <w:tcW w:w="1144" w:type="dxa"/>
                  <w:vMerge w:val="continue"/>
                  <w:tcBorders>
                    <w:left w:val="single" w:color="auto" w:sz="4" w:space="0"/>
                    <w:right w:val="single" w:color="auto" w:sz="4" w:space="0"/>
                  </w:tcBorders>
                  <w:vAlign w:val="center"/>
                </w:tcPr>
                <w:p>
                  <w:pPr>
                    <w:pStyle w:val="34"/>
                    <w:rPr>
                      <w:sz w:val="24"/>
                    </w:rPr>
                  </w:pPr>
                </w:p>
              </w:tc>
              <w:tc>
                <w:tcPr>
                  <w:tcW w:w="2251" w:type="dxa"/>
                  <w:tcBorders>
                    <w:left w:val="single" w:color="auto" w:sz="4" w:space="0"/>
                    <w:right w:val="single" w:color="auto" w:sz="4" w:space="0"/>
                  </w:tcBorders>
                  <w:vAlign w:val="center"/>
                </w:tcPr>
                <w:p>
                  <w:pPr>
                    <w:pStyle w:val="34"/>
                    <w:rPr>
                      <w:sz w:val="24"/>
                    </w:rPr>
                  </w:pPr>
                  <w:r>
                    <w:rPr>
                      <w:sz w:val="24"/>
                    </w:rPr>
                    <w:t>《挥发性有机物无组织排放控制标准》GB37822-2019</w:t>
                  </w:r>
                </w:p>
              </w:tc>
            </w:tr>
          </w:tbl>
          <w:p>
            <w:pPr>
              <w:ind w:firstLine="480"/>
              <w:rPr>
                <w:sz w:val="24"/>
                <w:szCs w:val="24"/>
              </w:rPr>
            </w:pPr>
            <w:r>
              <w:rPr>
                <w:rFonts w:hint="eastAsia"/>
                <w:sz w:val="24"/>
                <w:szCs w:val="24"/>
              </w:rPr>
              <w:t>⑤本项目对安康及时雨食品有限公司的影响</w:t>
            </w:r>
          </w:p>
          <w:p>
            <w:pPr>
              <w:ind w:firstLine="480"/>
              <w:rPr>
                <w:sz w:val="24"/>
                <w:szCs w:val="24"/>
              </w:rPr>
            </w:pPr>
            <w:r>
              <w:rPr>
                <w:rFonts w:hint="eastAsia"/>
                <w:sz w:val="24"/>
                <w:szCs w:val="24"/>
              </w:rPr>
              <w:t>本项目位于石泉县城关镇，根据资料收集，当地主导风向为东南风，安康及时雨食品有限公司位于本项目上风向位置。</w:t>
            </w:r>
          </w:p>
          <w:p>
            <w:pPr>
              <w:ind w:firstLine="480"/>
              <w:rPr>
                <w:sz w:val="24"/>
                <w:szCs w:val="24"/>
              </w:rPr>
            </w:pPr>
            <w:r>
              <w:rPr>
                <w:rFonts w:hint="eastAsia"/>
                <w:sz w:val="24"/>
                <w:szCs w:val="24"/>
              </w:rPr>
              <w:t>根据污染源强核算，本项目在采取本环评提出的各项环保措施后，各类污染物均可达标排放。采用《环境影响评价技术导则大气环境》（HJ2.2-2018）中推荐模型AERSREEN对污染物的最大落地浓度进行预测。</w:t>
            </w:r>
          </w:p>
          <w:p>
            <w:pPr>
              <w:spacing w:line="240" w:lineRule="auto"/>
              <w:ind w:firstLine="482"/>
              <w:jc w:val="center"/>
              <w:rPr>
                <w:b/>
                <w:sz w:val="24"/>
                <w:szCs w:val="24"/>
              </w:rPr>
            </w:pPr>
            <w:r>
              <w:rPr>
                <w:rFonts w:hint="eastAsia"/>
                <w:b/>
                <w:sz w:val="24"/>
                <w:szCs w:val="24"/>
              </w:rPr>
              <w:t>表4-10  源强参数</w:t>
            </w:r>
          </w:p>
          <w:tbl>
            <w:tblPr>
              <w:tblStyle w:val="21"/>
              <w:tblW w:w="82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203"/>
              <w:gridCol w:w="1166"/>
              <w:gridCol w:w="1168"/>
              <w:gridCol w:w="1166"/>
              <w:gridCol w:w="1168"/>
              <w:gridCol w:w="841"/>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4" w:type="dxa"/>
                  <w:vMerge w:val="restart"/>
                  <w:shd w:val="pct10" w:color="auto" w:fill="auto"/>
                  <w:vAlign w:val="center"/>
                </w:tcPr>
                <w:p>
                  <w:pPr>
                    <w:pStyle w:val="39"/>
                    <w:jc w:val="center"/>
                    <w:rPr>
                      <w:rFonts w:cs="Times New Roman"/>
                      <w:szCs w:val="21"/>
                    </w:rPr>
                  </w:pPr>
                  <w:r>
                    <w:rPr>
                      <w:rFonts w:cs="Times New Roman"/>
                      <w:szCs w:val="21"/>
                    </w:rPr>
                    <w:t>类型</w:t>
                  </w:r>
                </w:p>
              </w:tc>
              <w:tc>
                <w:tcPr>
                  <w:tcW w:w="1203" w:type="dxa"/>
                  <w:vMerge w:val="restart"/>
                  <w:shd w:val="pct10" w:color="auto" w:fill="auto"/>
                  <w:vAlign w:val="center"/>
                </w:tcPr>
                <w:p>
                  <w:pPr>
                    <w:pStyle w:val="39"/>
                    <w:jc w:val="center"/>
                    <w:rPr>
                      <w:rFonts w:cs="Times New Roman"/>
                      <w:szCs w:val="21"/>
                    </w:rPr>
                  </w:pPr>
                  <w:r>
                    <w:rPr>
                      <w:rFonts w:cs="Times New Roman"/>
                      <w:szCs w:val="21"/>
                    </w:rPr>
                    <w:t>污染源</w:t>
                  </w:r>
                </w:p>
                <w:p>
                  <w:pPr>
                    <w:pStyle w:val="39"/>
                    <w:jc w:val="center"/>
                    <w:rPr>
                      <w:rFonts w:cs="Times New Roman"/>
                      <w:szCs w:val="21"/>
                    </w:rPr>
                  </w:pPr>
                  <w:r>
                    <w:rPr>
                      <w:rFonts w:cs="Times New Roman"/>
                      <w:szCs w:val="21"/>
                    </w:rPr>
                    <w:t>名称</w:t>
                  </w:r>
                </w:p>
              </w:tc>
              <w:tc>
                <w:tcPr>
                  <w:tcW w:w="4668" w:type="dxa"/>
                  <w:gridSpan w:val="4"/>
                  <w:shd w:val="pct10" w:color="auto" w:fill="auto"/>
                  <w:vAlign w:val="center"/>
                </w:tcPr>
                <w:p>
                  <w:pPr>
                    <w:pStyle w:val="39"/>
                    <w:jc w:val="center"/>
                    <w:rPr>
                      <w:rFonts w:cs="Times New Roman"/>
                      <w:szCs w:val="21"/>
                    </w:rPr>
                  </w:pPr>
                  <w:r>
                    <w:rPr>
                      <w:rFonts w:cs="Times New Roman"/>
                      <w:szCs w:val="21"/>
                    </w:rPr>
                    <w:t>排放参数</w:t>
                  </w:r>
                </w:p>
              </w:tc>
              <w:tc>
                <w:tcPr>
                  <w:tcW w:w="1737" w:type="dxa"/>
                  <w:gridSpan w:val="2"/>
                  <w:shd w:val="pct10" w:color="auto" w:fill="auto"/>
                  <w:vAlign w:val="center"/>
                </w:tcPr>
                <w:p>
                  <w:pPr>
                    <w:pStyle w:val="39"/>
                    <w:jc w:val="center"/>
                    <w:rPr>
                      <w:rFonts w:cs="Times New Roman"/>
                      <w:szCs w:val="21"/>
                    </w:rPr>
                  </w:pPr>
                  <w:r>
                    <w:rPr>
                      <w:rFonts w:cs="Times New Roman"/>
                      <w:szCs w:val="21"/>
                    </w:rPr>
                    <w:t>源强（kg/h）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4" w:type="dxa"/>
                  <w:vMerge w:val="continue"/>
                  <w:shd w:val="pct10" w:color="auto" w:fill="auto"/>
                  <w:vAlign w:val="center"/>
                </w:tcPr>
                <w:p>
                  <w:pPr>
                    <w:pStyle w:val="39"/>
                    <w:jc w:val="center"/>
                    <w:rPr>
                      <w:rFonts w:cs="Times New Roman"/>
                      <w:szCs w:val="21"/>
                    </w:rPr>
                  </w:pPr>
                </w:p>
              </w:tc>
              <w:tc>
                <w:tcPr>
                  <w:tcW w:w="1203" w:type="dxa"/>
                  <w:vMerge w:val="continue"/>
                  <w:shd w:val="pct10" w:color="auto" w:fill="auto"/>
                  <w:vAlign w:val="center"/>
                </w:tcPr>
                <w:p>
                  <w:pPr>
                    <w:pStyle w:val="39"/>
                    <w:jc w:val="center"/>
                    <w:rPr>
                      <w:rFonts w:cs="Times New Roman"/>
                      <w:szCs w:val="21"/>
                    </w:rPr>
                  </w:pPr>
                </w:p>
              </w:tc>
              <w:tc>
                <w:tcPr>
                  <w:tcW w:w="1166" w:type="dxa"/>
                  <w:shd w:val="pct10" w:color="auto" w:fill="auto"/>
                  <w:vAlign w:val="center"/>
                </w:tcPr>
                <w:p>
                  <w:pPr>
                    <w:pStyle w:val="39"/>
                    <w:jc w:val="center"/>
                    <w:rPr>
                      <w:rFonts w:cs="Times New Roman"/>
                      <w:szCs w:val="21"/>
                    </w:rPr>
                  </w:pPr>
                  <w:r>
                    <w:rPr>
                      <w:rFonts w:cs="Times New Roman"/>
                      <w:szCs w:val="21"/>
                    </w:rPr>
                    <w:t>烟气量</w:t>
                  </w:r>
                  <w:r>
                    <w:rPr>
                      <w:rFonts w:hint="eastAsia" w:cs="Times New Roman"/>
                      <w:szCs w:val="21"/>
                    </w:rPr>
                    <w:t>m</w:t>
                  </w:r>
                  <w:r>
                    <w:rPr>
                      <w:rFonts w:hint="eastAsia" w:cs="Times New Roman"/>
                      <w:szCs w:val="21"/>
                      <w:vertAlign w:val="superscript"/>
                    </w:rPr>
                    <w:t>3</w:t>
                  </w:r>
                  <w:r>
                    <w:rPr>
                      <w:rFonts w:hint="eastAsia" w:cs="Times New Roman"/>
                      <w:szCs w:val="21"/>
                    </w:rPr>
                    <w:t>/h</w:t>
                  </w:r>
                </w:p>
              </w:tc>
              <w:tc>
                <w:tcPr>
                  <w:tcW w:w="1168" w:type="dxa"/>
                  <w:shd w:val="pct10" w:color="auto" w:fill="auto"/>
                  <w:vAlign w:val="center"/>
                </w:tcPr>
                <w:p>
                  <w:pPr>
                    <w:pStyle w:val="39"/>
                    <w:jc w:val="center"/>
                    <w:rPr>
                      <w:rFonts w:cs="Times New Roman"/>
                      <w:szCs w:val="21"/>
                    </w:rPr>
                  </w:pPr>
                  <w:r>
                    <w:rPr>
                      <w:rFonts w:cs="Times New Roman"/>
                      <w:szCs w:val="21"/>
                    </w:rPr>
                    <w:t>烟气</w:t>
                  </w:r>
                </w:p>
                <w:p>
                  <w:pPr>
                    <w:pStyle w:val="39"/>
                    <w:jc w:val="center"/>
                    <w:rPr>
                      <w:rFonts w:cs="Times New Roman"/>
                      <w:szCs w:val="21"/>
                    </w:rPr>
                  </w:pPr>
                  <w:r>
                    <w:rPr>
                      <w:rFonts w:cs="Times New Roman"/>
                      <w:szCs w:val="21"/>
                    </w:rPr>
                    <w:t>温度</w:t>
                  </w:r>
                  <w:r>
                    <w:rPr>
                      <w:rFonts w:hint="eastAsia" w:cs="Times New Roman"/>
                      <w:szCs w:val="21"/>
                    </w:rPr>
                    <w:t>℃</w:t>
                  </w:r>
                </w:p>
              </w:tc>
              <w:tc>
                <w:tcPr>
                  <w:tcW w:w="1166" w:type="dxa"/>
                  <w:tcBorders>
                    <w:bottom w:val="single" w:color="auto" w:sz="4" w:space="0"/>
                  </w:tcBorders>
                  <w:shd w:val="pct10" w:color="auto" w:fill="auto"/>
                  <w:vAlign w:val="center"/>
                </w:tcPr>
                <w:p>
                  <w:pPr>
                    <w:pStyle w:val="39"/>
                    <w:jc w:val="center"/>
                    <w:rPr>
                      <w:rFonts w:cs="Times New Roman"/>
                      <w:szCs w:val="21"/>
                    </w:rPr>
                  </w:pPr>
                  <w:r>
                    <w:rPr>
                      <w:rFonts w:cs="Times New Roman"/>
                      <w:szCs w:val="21"/>
                    </w:rPr>
                    <w:t>烟囱</w:t>
                  </w:r>
                </w:p>
                <w:p>
                  <w:pPr>
                    <w:pStyle w:val="39"/>
                    <w:jc w:val="center"/>
                    <w:rPr>
                      <w:rFonts w:cs="Times New Roman"/>
                      <w:szCs w:val="21"/>
                    </w:rPr>
                  </w:pPr>
                  <w:r>
                    <w:rPr>
                      <w:rFonts w:cs="Times New Roman"/>
                      <w:szCs w:val="21"/>
                    </w:rPr>
                    <w:t>高度</w:t>
                  </w:r>
                  <w:r>
                    <w:rPr>
                      <w:rFonts w:hint="eastAsia" w:cs="Times New Roman"/>
                      <w:szCs w:val="21"/>
                    </w:rPr>
                    <w:t>m</w:t>
                  </w:r>
                </w:p>
              </w:tc>
              <w:tc>
                <w:tcPr>
                  <w:tcW w:w="1168" w:type="dxa"/>
                  <w:tcBorders>
                    <w:bottom w:val="single" w:color="auto" w:sz="4" w:space="0"/>
                  </w:tcBorders>
                  <w:shd w:val="pct10" w:color="auto" w:fill="auto"/>
                  <w:vAlign w:val="center"/>
                </w:tcPr>
                <w:p>
                  <w:pPr>
                    <w:pStyle w:val="39"/>
                    <w:jc w:val="center"/>
                    <w:rPr>
                      <w:rFonts w:cs="Times New Roman"/>
                      <w:szCs w:val="21"/>
                    </w:rPr>
                  </w:pPr>
                  <w:r>
                    <w:rPr>
                      <w:rFonts w:hint="eastAsia" w:cs="Times New Roman"/>
                      <w:szCs w:val="21"/>
                    </w:rPr>
                    <w:t>烟囱内径m</w:t>
                  </w:r>
                </w:p>
              </w:tc>
              <w:tc>
                <w:tcPr>
                  <w:tcW w:w="841" w:type="dxa"/>
                  <w:shd w:val="pct10" w:color="auto" w:fill="auto"/>
                  <w:vAlign w:val="center"/>
                </w:tcPr>
                <w:p>
                  <w:pPr>
                    <w:pStyle w:val="39"/>
                    <w:jc w:val="center"/>
                    <w:rPr>
                      <w:rFonts w:cs="Times New Roman"/>
                      <w:szCs w:val="21"/>
                    </w:rPr>
                  </w:pPr>
                  <w:r>
                    <w:rPr>
                      <w:rFonts w:cs="Times New Roman"/>
                      <w:szCs w:val="21"/>
                    </w:rPr>
                    <w:t>颗粒物</w:t>
                  </w:r>
                </w:p>
              </w:tc>
              <w:tc>
                <w:tcPr>
                  <w:tcW w:w="896" w:type="dxa"/>
                  <w:shd w:val="pct10" w:color="auto" w:fill="auto"/>
                  <w:vAlign w:val="center"/>
                </w:tcPr>
                <w:p>
                  <w:pPr>
                    <w:pStyle w:val="39"/>
                    <w:jc w:val="center"/>
                    <w:rPr>
                      <w:rFonts w:cs="Times New Roman"/>
                      <w:szCs w:val="21"/>
                    </w:rPr>
                  </w:pPr>
                  <w:r>
                    <w:rPr>
                      <w:rFonts w:cs="Times New Roman"/>
                      <w:szCs w:val="21"/>
                    </w:rPr>
                    <w:t>非甲烷</w:t>
                  </w:r>
                </w:p>
                <w:p>
                  <w:pPr>
                    <w:pStyle w:val="39"/>
                    <w:jc w:val="center"/>
                    <w:rPr>
                      <w:rFonts w:cs="Times New Roman"/>
                      <w:szCs w:val="21"/>
                    </w:rPr>
                  </w:pPr>
                  <w:r>
                    <w:rPr>
                      <w:rFonts w:cs="Times New Roman"/>
                      <w:szCs w:val="21"/>
                    </w:rPr>
                    <w:t>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4" w:type="dxa"/>
                  <w:vAlign w:val="center"/>
                </w:tcPr>
                <w:p>
                  <w:pPr>
                    <w:pStyle w:val="39"/>
                    <w:jc w:val="center"/>
                    <w:rPr>
                      <w:rFonts w:cs="Times New Roman"/>
                      <w:b w:val="0"/>
                      <w:szCs w:val="21"/>
                    </w:rPr>
                  </w:pPr>
                  <w:r>
                    <w:rPr>
                      <w:rFonts w:hint="eastAsia" w:cs="Times New Roman"/>
                      <w:b w:val="0"/>
                      <w:szCs w:val="21"/>
                    </w:rPr>
                    <w:t>点源</w:t>
                  </w:r>
                </w:p>
              </w:tc>
              <w:tc>
                <w:tcPr>
                  <w:tcW w:w="1203" w:type="dxa"/>
                  <w:vAlign w:val="center"/>
                </w:tcPr>
                <w:p>
                  <w:pPr>
                    <w:pStyle w:val="39"/>
                    <w:jc w:val="center"/>
                    <w:rPr>
                      <w:rFonts w:cs="Times New Roman"/>
                      <w:b w:val="0"/>
                      <w:szCs w:val="21"/>
                    </w:rPr>
                  </w:pPr>
                  <w:r>
                    <w:rPr>
                      <w:rFonts w:hint="eastAsia" w:cs="Times New Roman"/>
                      <w:b w:val="0"/>
                      <w:szCs w:val="21"/>
                    </w:rPr>
                    <w:t>1#排气筒</w:t>
                  </w:r>
                </w:p>
              </w:tc>
              <w:tc>
                <w:tcPr>
                  <w:tcW w:w="1166" w:type="dxa"/>
                  <w:vAlign w:val="center"/>
                </w:tcPr>
                <w:p>
                  <w:pPr>
                    <w:pStyle w:val="39"/>
                    <w:jc w:val="center"/>
                    <w:rPr>
                      <w:rFonts w:cs="Times New Roman"/>
                      <w:b w:val="0"/>
                      <w:szCs w:val="21"/>
                    </w:rPr>
                  </w:pPr>
                  <w:r>
                    <w:rPr>
                      <w:rFonts w:hint="eastAsia" w:cs="Times New Roman"/>
                      <w:b w:val="0"/>
                      <w:szCs w:val="21"/>
                    </w:rPr>
                    <w:t>10000</w:t>
                  </w:r>
                </w:p>
              </w:tc>
              <w:tc>
                <w:tcPr>
                  <w:tcW w:w="1168" w:type="dxa"/>
                  <w:vAlign w:val="center"/>
                </w:tcPr>
                <w:p>
                  <w:pPr>
                    <w:pStyle w:val="39"/>
                    <w:jc w:val="center"/>
                    <w:rPr>
                      <w:rFonts w:cs="Times New Roman"/>
                      <w:b w:val="0"/>
                      <w:szCs w:val="21"/>
                    </w:rPr>
                  </w:pPr>
                  <w:r>
                    <w:rPr>
                      <w:rFonts w:hint="eastAsia" w:cs="Times New Roman"/>
                      <w:b w:val="0"/>
                      <w:szCs w:val="21"/>
                    </w:rPr>
                    <w:t>20</w:t>
                  </w:r>
                </w:p>
              </w:tc>
              <w:tc>
                <w:tcPr>
                  <w:tcW w:w="1166" w:type="dxa"/>
                  <w:vAlign w:val="center"/>
                </w:tcPr>
                <w:p>
                  <w:pPr>
                    <w:pStyle w:val="39"/>
                    <w:jc w:val="center"/>
                    <w:rPr>
                      <w:rFonts w:cs="Times New Roman"/>
                      <w:b w:val="0"/>
                      <w:szCs w:val="21"/>
                    </w:rPr>
                  </w:pPr>
                  <w:r>
                    <w:rPr>
                      <w:rFonts w:hint="eastAsia" w:cs="Times New Roman"/>
                      <w:b w:val="0"/>
                      <w:szCs w:val="21"/>
                    </w:rPr>
                    <w:t>15</w:t>
                  </w:r>
                </w:p>
              </w:tc>
              <w:tc>
                <w:tcPr>
                  <w:tcW w:w="1168" w:type="dxa"/>
                  <w:vAlign w:val="center"/>
                </w:tcPr>
                <w:p>
                  <w:pPr>
                    <w:pStyle w:val="39"/>
                    <w:jc w:val="center"/>
                    <w:rPr>
                      <w:rFonts w:cs="Times New Roman"/>
                      <w:b w:val="0"/>
                      <w:szCs w:val="21"/>
                    </w:rPr>
                  </w:pPr>
                  <w:r>
                    <w:rPr>
                      <w:rFonts w:hint="eastAsia" w:cs="Times New Roman"/>
                      <w:b w:val="0"/>
                      <w:szCs w:val="21"/>
                    </w:rPr>
                    <w:t>0.6</w:t>
                  </w:r>
                </w:p>
              </w:tc>
              <w:tc>
                <w:tcPr>
                  <w:tcW w:w="841" w:type="dxa"/>
                  <w:vAlign w:val="center"/>
                </w:tcPr>
                <w:p>
                  <w:pPr>
                    <w:pStyle w:val="39"/>
                    <w:jc w:val="center"/>
                    <w:rPr>
                      <w:b w:val="0"/>
                      <w:szCs w:val="21"/>
                    </w:rPr>
                  </w:pPr>
                  <w:r>
                    <w:rPr>
                      <w:rFonts w:hint="eastAsia"/>
                      <w:b w:val="0"/>
                      <w:szCs w:val="21"/>
                    </w:rPr>
                    <w:t>0.01</w:t>
                  </w:r>
                </w:p>
              </w:tc>
              <w:tc>
                <w:tcPr>
                  <w:tcW w:w="896" w:type="dxa"/>
                  <w:vAlign w:val="center"/>
                </w:tcPr>
                <w:p>
                  <w:pPr>
                    <w:pStyle w:val="39"/>
                    <w:jc w:val="center"/>
                    <w:rPr>
                      <w:rFonts w:cs="Times New Roman"/>
                      <w:b w:val="0"/>
                      <w:szCs w:val="21"/>
                    </w:rPr>
                  </w:pPr>
                  <w:r>
                    <w:rPr>
                      <w:rFonts w:hint="eastAsia" w:cs="Times New Roman"/>
                      <w:b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4" w:type="dxa"/>
                  <w:vAlign w:val="center"/>
                </w:tcPr>
                <w:p>
                  <w:pPr>
                    <w:pStyle w:val="39"/>
                    <w:jc w:val="center"/>
                    <w:rPr>
                      <w:rFonts w:cs="Times New Roman"/>
                      <w:b w:val="0"/>
                      <w:szCs w:val="21"/>
                    </w:rPr>
                  </w:pPr>
                  <w:r>
                    <w:rPr>
                      <w:rFonts w:hint="eastAsia" w:cs="Times New Roman"/>
                      <w:b w:val="0"/>
                      <w:szCs w:val="21"/>
                    </w:rPr>
                    <w:t>点源</w:t>
                  </w:r>
                </w:p>
              </w:tc>
              <w:tc>
                <w:tcPr>
                  <w:tcW w:w="1203" w:type="dxa"/>
                  <w:vAlign w:val="center"/>
                </w:tcPr>
                <w:p>
                  <w:pPr>
                    <w:pStyle w:val="39"/>
                    <w:jc w:val="center"/>
                    <w:rPr>
                      <w:rFonts w:cs="Times New Roman"/>
                      <w:b w:val="0"/>
                      <w:szCs w:val="21"/>
                    </w:rPr>
                  </w:pPr>
                  <w:r>
                    <w:rPr>
                      <w:rFonts w:hint="eastAsia" w:cs="Times New Roman"/>
                      <w:b w:val="0"/>
                      <w:szCs w:val="21"/>
                    </w:rPr>
                    <w:t>2#排气筒</w:t>
                  </w:r>
                </w:p>
              </w:tc>
              <w:tc>
                <w:tcPr>
                  <w:tcW w:w="1166" w:type="dxa"/>
                  <w:vAlign w:val="center"/>
                </w:tcPr>
                <w:p>
                  <w:pPr>
                    <w:pStyle w:val="39"/>
                    <w:jc w:val="center"/>
                    <w:rPr>
                      <w:rFonts w:cs="Times New Roman"/>
                      <w:b w:val="0"/>
                      <w:szCs w:val="21"/>
                    </w:rPr>
                  </w:pPr>
                  <w:r>
                    <w:rPr>
                      <w:rFonts w:hint="eastAsia" w:cs="Times New Roman"/>
                      <w:b w:val="0"/>
                      <w:szCs w:val="21"/>
                    </w:rPr>
                    <w:t>10000</w:t>
                  </w:r>
                </w:p>
              </w:tc>
              <w:tc>
                <w:tcPr>
                  <w:tcW w:w="1168" w:type="dxa"/>
                  <w:vAlign w:val="center"/>
                </w:tcPr>
                <w:p>
                  <w:pPr>
                    <w:pStyle w:val="39"/>
                    <w:jc w:val="center"/>
                    <w:rPr>
                      <w:rFonts w:cs="Times New Roman"/>
                      <w:b w:val="0"/>
                      <w:szCs w:val="21"/>
                    </w:rPr>
                  </w:pPr>
                  <w:r>
                    <w:rPr>
                      <w:rFonts w:hint="eastAsia" w:cs="Times New Roman"/>
                      <w:b w:val="0"/>
                      <w:szCs w:val="21"/>
                    </w:rPr>
                    <w:t>20</w:t>
                  </w:r>
                </w:p>
              </w:tc>
              <w:tc>
                <w:tcPr>
                  <w:tcW w:w="1166" w:type="dxa"/>
                  <w:vAlign w:val="center"/>
                </w:tcPr>
                <w:p>
                  <w:pPr>
                    <w:pStyle w:val="39"/>
                    <w:jc w:val="center"/>
                    <w:rPr>
                      <w:rFonts w:cs="Times New Roman"/>
                      <w:b w:val="0"/>
                      <w:szCs w:val="21"/>
                    </w:rPr>
                  </w:pPr>
                  <w:r>
                    <w:rPr>
                      <w:rFonts w:hint="eastAsia" w:cs="Times New Roman"/>
                      <w:b w:val="0"/>
                      <w:szCs w:val="21"/>
                    </w:rPr>
                    <w:t>15</w:t>
                  </w:r>
                </w:p>
              </w:tc>
              <w:tc>
                <w:tcPr>
                  <w:tcW w:w="1168" w:type="dxa"/>
                  <w:vAlign w:val="center"/>
                </w:tcPr>
                <w:p>
                  <w:pPr>
                    <w:pStyle w:val="39"/>
                    <w:jc w:val="center"/>
                    <w:rPr>
                      <w:rFonts w:cs="Times New Roman"/>
                      <w:b w:val="0"/>
                      <w:szCs w:val="21"/>
                    </w:rPr>
                  </w:pPr>
                  <w:r>
                    <w:rPr>
                      <w:rFonts w:hint="eastAsia" w:cs="Times New Roman"/>
                      <w:b w:val="0"/>
                      <w:szCs w:val="21"/>
                    </w:rPr>
                    <w:t>0.6</w:t>
                  </w:r>
                </w:p>
              </w:tc>
              <w:tc>
                <w:tcPr>
                  <w:tcW w:w="841" w:type="dxa"/>
                  <w:vAlign w:val="center"/>
                </w:tcPr>
                <w:p>
                  <w:pPr>
                    <w:pStyle w:val="39"/>
                    <w:jc w:val="center"/>
                    <w:rPr>
                      <w:rFonts w:cs="Times New Roman"/>
                      <w:b w:val="0"/>
                      <w:szCs w:val="21"/>
                    </w:rPr>
                  </w:pPr>
                  <w:r>
                    <w:rPr>
                      <w:rFonts w:hint="eastAsia" w:cs="Times New Roman"/>
                      <w:b w:val="0"/>
                      <w:szCs w:val="21"/>
                    </w:rPr>
                    <w:t>0.001</w:t>
                  </w:r>
                </w:p>
              </w:tc>
              <w:tc>
                <w:tcPr>
                  <w:tcW w:w="896" w:type="dxa"/>
                  <w:vAlign w:val="center"/>
                </w:tcPr>
                <w:p>
                  <w:pPr>
                    <w:pStyle w:val="39"/>
                    <w:jc w:val="center"/>
                    <w:rPr>
                      <w:rFonts w:cs="Times New Roman"/>
                      <w:b w:val="0"/>
                      <w:szCs w:val="21"/>
                    </w:rPr>
                  </w:pPr>
                  <w:r>
                    <w:rPr>
                      <w:rFonts w:hint="eastAsia" w:cs="Times New Roman"/>
                      <w:b w:val="0"/>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4" w:type="dxa"/>
                  <w:vAlign w:val="center"/>
                </w:tcPr>
                <w:p>
                  <w:pPr>
                    <w:pStyle w:val="39"/>
                    <w:jc w:val="center"/>
                    <w:rPr>
                      <w:rFonts w:cs="Times New Roman"/>
                      <w:b w:val="0"/>
                      <w:szCs w:val="21"/>
                    </w:rPr>
                  </w:pPr>
                  <w:r>
                    <w:rPr>
                      <w:rFonts w:hint="eastAsia" w:cs="Times New Roman"/>
                      <w:b w:val="0"/>
                      <w:szCs w:val="21"/>
                    </w:rPr>
                    <w:t>点源</w:t>
                  </w:r>
                </w:p>
              </w:tc>
              <w:tc>
                <w:tcPr>
                  <w:tcW w:w="1203" w:type="dxa"/>
                  <w:vAlign w:val="center"/>
                </w:tcPr>
                <w:p>
                  <w:pPr>
                    <w:pStyle w:val="39"/>
                    <w:jc w:val="center"/>
                    <w:rPr>
                      <w:rFonts w:cs="Times New Roman"/>
                      <w:b w:val="0"/>
                      <w:szCs w:val="21"/>
                    </w:rPr>
                  </w:pPr>
                  <w:r>
                    <w:rPr>
                      <w:rFonts w:hint="eastAsia" w:cs="Times New Roman"/>
                      <w:b w:val="0"/>
                      <w:szCs w:val="21"/>
                    </w:rPr>
                    <w:t>3#排气筒</w:t>
                  </w:r>
                </w:p>
              </w:tc>
              <w:tc>
                <w:tcPr>
                  <w:tcW w:w="1166" w:type="dxa"/>
                  <w:vAlign w:val="center"/>
                </w:tcPr>
                <w:p>
                  <w:pPr>
                    <w:pStyle w:val="39"/>
                    <w:jc w:val="center"/>
                    <w:rPr>
                      <w:rFonts w:cs="Times New Roman"/>
                      <w:b w:val="0"/>
                      <w:szCs w:val="21"/>
                    </w:rPr>
                  </w:pPr>
                  <w:r>
                    <w:rPr>
                      <w:rFonts w:hint="eastAsia" w:cs="Times New Roman"/>
                      <w:b w:val="0"/>
                      <w:szCs w:val="21"/>
                    </w:rPr>
                    <w:t>5000</w:t>
                  </w:r>
                </w:p>
              </w:tc>
              <w:tc>
                <w:tcPr>
                  <w:tcW w:w="1168" w:type="dxa"/>
                  <w:vAlign w:val="center"/>
                </w:tcPr>
                <w:p>
                  <w:pPr>
                    <w:pStyle w:val="39"/>
                    <w:jc w:val="center"/>
                    <w:rPr>
                      <w:rFonts w:cs="Times New Roman"/>
                      <w:b w:val="0"/>
                      <w:szCs w:val="21"/>
                    </w:rPr>
                  </w:pPr>
                  <w:r>
                    <w:rPr>
                      <w:rFonts w:hint="eastAsia" w:cs="Times New Roman"/>
                      <w:b w:val="0"/>
                      <w:szCs w:val="21"/>
                    </w:rPr>
                    <w:t>20</w:t>
                  </w:r>
                </w:p>
              </w:tc>
              <w:tc>
                <w:tcPr>
                  <w:tcW w:w="1166" w:type="dxa"/>
                  <w:vAlign w:val="center"/>
                </w:tcPr>
                <w:p>
                  <w:pPr>
                    <w:pStyle w:val="39"/>
                    <w:jc w:val="center"/>
                    <w:rPr>
                      <w:rFonts w:cs="Times New Roman"/>
                      <w:b w:val="0"/>
                      <w:szCs w:val="21"/>
                    </w:rPr>
                  </w:pPr>
                  <w:r>
                    <w:rPr>
                      <w:rFonts w:hint="eastAsia" w:cs="Times New Roman"/>
                      <w:b w:val="0"/>
                      <w:szCs w:val="21"/>
                    </w:rPr>
                    <w:t>15</w:t>
                  </w:r>
                </w:p>
              </w:tc>
              <w:tc>
                <w:tcPr>
                  <w:tcW w:w="1168" w:type="dxa"/>
                  <w:vAlign w:val="center"/>
                </w:tcPr>
                <w:p>
                  <w:pPr>
                    <w:pStyle w:val="39"/>
                    <w:jc w:val="center"/>
                    <w:rPr>
                      <w:rFonts w:cs="Times New Roman"/>
                      <w:b w:val="0"/>
                      <w:szCs w:val="21"/>
                    </w:rPr>
                  </w:pPr>
                  <w:r>
                    <w:rPr>
                      <w:rFonts w:hint="eastAsia" w:cs="Times New Roman"/>
                      <w:b w:val="0"/>
                      <w:szCs w:val="21"/>
                    </w:rPr>
                    <w:t>0.4</w:t>
                  </w:r>
                </w:p>
              </w:tc>
              <w:tc>
                <w:tcPr>
                  <w:tcW w:w="841" w:type="dxa"/>
                  <w:vAlign w:val="center"/>
                </w:tcPr>
                <w:p>
                  <w:pPr>
                    <w:pStyle w:val="39"/>
                    <w:jc w:val="center"/>
                    <w:rPr>
                      <w:rFonts w:cs="Times New Roman"/>
                      <w:b w:val="0"/>
                      <w:szCs w:val="21"/>
                    </w:rPr>
                  </w:pPr>
                  <w:r>
                    <w:rPr>
                      <w:rFonts w:hint="eastAsia" w:cs="Times New Roman"/>
                      <w:b w:val="0"/>
                      <w:szCs w:val="21"/>
                    </w:rPr>
                    <w:t>0.13</w:t>
                  </w:r>
                </w:p>
              </w:tc>
              <w:tc>
                <w:tcPr>
                  <w:tcW w:w="896" w:type="dxa"/>
                  <w:vAlign w:val="center"/>
                </w:tcPr>
                <w:p>
                  <w:pPr>
                    <w:pStyle w:val="39"/>
                    <w:jc w:val="center"/>
                    <w:rPr>
                      <w:rFonts w:cs="Times New Roman"/>
                      <w:b w:val="0"/>
                      <w:szCs w:val="21"/>
                    </w:rPr>
                  </w:pPr>
                  <w:r>
                    <w:rPr>
                      <w:rFonts w:hint="eastAsia" w:cs="Times New Roman"/>
                      <w:b w:val="0"/>
                      <w:szCs w:val="21"/>
                    </w:rPr>
                    <w:t>0.0065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4" w:type="dxa"/>
                  <w:vAlign w:val="center"/>
                </w:tcPr>
                <w:p>
                  <w:pPr>
                    <w:pStyle w:val="39"/>
                    <w:jc w:val="center"/>
                    <w:rPr>
                      <w:rFonts w:cs="Times New Roman"/>
                      <w:b w:val="0"/>
                      <w:szCs w:val="21"/>
                    </w:rPr>
                  </w:pPr>
                  <w:r>
                    <w:rPr>
                      <w:rFonts w:hint="eastAsia" w:cs="Times New Roman"/>
                      <w:b w:val="0"/>
                      <w:szCs w:val="21"/>
                    </w:rPr>
                    <w:t>面源</w:t>
                  </w:r>
                </w:p>
              </w:tc>
              <w:tc>
                <w:tcPr>
                  <w:tcW w:w="1203" w:type="dxa"/>
                  <w:vAlign w:val="center"/>
                </w:tcPr>
                <w:p>
                  <w:pPr>
                    <w:pStyle w:val="39"/>
                    <w:jc w:val="center"/>
                    <w:rPr>
                      <w:rFonts w:cs="Times New Roman"/>
                      <w:b w:val="0"/>
                      <w:szCs w:val="21"/>
                    </w:rPr>
                  </w:pPr>
                  <w:r>
                    <w:rPr>
                      <w:rFonts w:hint="eastAsia" w:cs="Times New Roman"/>
                      <w:b w:val="0"/>
                      <w:szCs w:val="21"/>
                    </w:rPr>
                    <w:t>废弃家电拆解加工车间</w:t>
                  </w:r>
                </w:p>
              </w:tc>
              <w:tc>
                <w:tcPr>
                  <w:tcW w:w="4668" w:type="dxa"/>
                  <w:gridSpan w:val="4"/>
                  <w:vAlign w:val="center"/>
                </w:tcPr>
                <w:p>
                  <w:pPr>
                    <w:pStyle w:val="39"/>
                    <w:jc w:val="center"/>
                    <w:rPr>
                      <w:rFonts w:cs="Times New Roman"/>
                      <w:b w:val="0"/>
                      <w:szCs w:val="21"/>
                    </w:rPr>
                  </w:pPr>
                  <w:r>
                    <w:rPr>
                      <w:rFonts w:hint="eastAsia" w:cs="Times New Roman"/>
                      <w:b w:val="0"/>
                      <w:szCs w:val="21"/>
                    </w:rPr>
                    <w:t>S=200m×50m，He=8m</w:t>
                  </w:r>
                </w:p>
              </w:tc>
              <w:tc>
                <w:tcPr>
                  <w:tcW w:w="841" w:type="dxa"/>
                  <w:vAlign w:val="center"/>
                </w:tcPr>
                <w:p>
                  <w:pPr>
                    <w:pStyle w:val="39"/>
                    <w:jc w:val="center"/>
                    <w:rPr>
                      <w:rFonts w:cs="Times New Roman"/>
                      <w:b w:val="0"/>
                      <w:szCs w:val="21"/>
                    </w:rPr>
                  </w:pPr>
                  <w:r>
                    <w:rPr>
                      <w:rFonts w:hint="eastAsia" w:cs="Times New Roman"/>
                      <w:b w:val="0"/>
                      <w:szCs w:val="21"/>
                    </w:rPr>
                    <w:t>0.04</w:t>
                  </w:r>
                </w:p>
              </w:tc>
              <w:tc>
                <w:tcPr>
                  <w:tcW w:w="896" w:type="dxa"/>
                  <w:vAlign w:val="center"/>
                </w:tcPr>
                <w:p>
                  <w:pPr>
                    <w:pStyle w:val="39"/>
                    <w:jc w:val="center"/>
                    <w:rPr>
                      <w:rFonts w:cs="Times New Roman"/>
                      <w:b w:val="0"/>
                      <w:szCs w:val="21"/>
                    </w:rPr>
                  </w:pPr>
                  <w:r>
                    <w:rPr>
                      <w:rFonts w:hint="eastAsia" w:cs="Times New Roman"/>
                      <w:b w:val="0"/>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4" w:type="dxa"/>
                  <w:vAlign w:val="center"/>
                </w:tcPr>
                <w:p>
                  <w:pPr>
                    <w:pStyle w:val="39"/>
                    <w:jc w:val="center"/>
                    <w:rPr>
                      <w:rFonts w:cs="Times New Roman"/>
                      <w:b w:val="0"/>
                      <w:szCs w:val="21"/>
                    </w:rPr>
                  </w:pPr>
                  <w:r>
                    <w:rPr>
                      <w:rFonts w:hint="eastAsia" w:cs="Times New Roman"/>
                      <w:b w:val="0"/>
                      <w:szCs w:val="21"/>
                    </w:rPr>
                    <w:t>面源</w:t>
                  </w:r>
                </w:p>
              </w:tc>
              <w:tc>
                <w:tcPr>
                  <w:tcW w:w="1203" w:type="dxa"/>
                  <w:vAlign w:val="center"/>
                </w:tcPr>
                <w:p>
                  <w:pPr>
                    <w:pStyle w:val="39"/>
                    <w:jc w:val="center"/>
                    <w:rPr>
                      <w:rFonts w:cs="Times New Roman"/>
                      <w:b w:val="0"/>
                      <w:szCs w:val="21"/>
                    </w:rPr>
                  </w:pPr>
                  <w:r>
                    <w:rPr>
                      <w:rFonts w:hint="eastAsia" w:cs="Times New Roman"/>
                      <w:b w:val="0"/>
                      <w:szCs w:val="21"/>
                    </w:rPr>
                    <w:t>机动车拆解</w:t>
                  </w:r>
                </w:p>
                <w:p>
                  <w:pPr>
                    <w:pStyle w:val="39"/>
                    <w:jc w:val="center"/>
                    <w:rPr>
                      <w:rFonts w:cs="Times New Roman"/>
                      <w:b w:val="0"/>
                      <w:szCs w:val="21"/>
                    </w:rPr>
                  </w:pPr>
                  <w:r>
                    <w:rPr>
                      <w:rFonts w:hint="eastAsia" w:cs="Times New Roman"/>
                      <w:b w:val="0"/>
                      <w:szCs w:val="21"/>
                    </w:rPr>
                    <w:t>加工车间</w:t>
                  </w:r>
                </w:p>
              </w:tc>
              <w:tc>
                <w:tcPr>
                  <w:tcW w:w="4668" w:type="dxa"/>
                  <w:gridSpan w:val="4"/>
                  <w:vAlign w:val="center"/>
                </w:tcPr>
                <w:p>
                  <w:pPr>
                    <w:pStyle w:val="39"/>
                    <w:jc w:val="center"/>
                    <w:rPr>
                      <w:rFonts w:cs="Times New Roman"/>
                      <w:b w:val="0"/>
                      <w:szCs w:val="21"/>
                    </w:rPr>
                  </w:pPr>
                  <w:r>
                    <w:rPr>
                      <w:rFonts w:hint="eastAsia" w:cs="Times New Roman"/>
                      <w:b w:val="0"/>
                      <w:szCs w:val="21"/>
                    </w:rPr>
                    <w:t>S=200m×50m，He=8m</w:t>
                  </w:r>
                </w:p>
              </w:tc>
              <w:tc>
                <w:tcPr>
                  <w:tcW w:w="841" w:type="dxa"/>
                  <w:vAlign w:val="center"/>
                </w:tcPr>
                <w:p>
                  <w:pPr>
                    <w:pStyle w:val="39"/>
                    <w:jc w:val="center"/>
                    <w:rPr>
                      <w:rFonts w:cs="Times New Roman"/>
                      <w:b w:val="0"/>
                      <w:szCs w:val="21"/>
                    </w:rPr>
                  </w:pPr>
                  <w:r>
                    <w:rPr>
                      <w:rFonts w:hint="eastAsia" w:cs="Times New Roman"/>
                      <w:b w:val="0"/>
                      <w:szCs w:val="21"/>
                    </w:rPr>
                    <w:t>0.20</w:t>
                  </w:r>
                </w:p>
              </w:tc>
              <w:tc>
                <w:tcPr>
                  <w:tcW w:w="896" w:type="dxa"/>
                  <w:vAlign w:val="center"/>
                </w:tcPr>
                <w:p>
                  <w:pPr>
                    <w:pStyle w:val="39"/>
                    <w:jc w:val="center"/>
                    <w:rPr>
                      <w:rFonts w:cs="Times New Roman"/>
                      <w:b w:val="0"/>
                      <w:szCs w:val="21"/>
                    </w:rPr>
                  </w:pPr>
                  <w:r>
                    <w:rPr>
                      <w:rFonts w:hint="eastAsia" w:cs="Times New Roman"/>
                      <w:b w:val="0"/>
                      <w:szCs w:val="21"/>
                    </w:rPr>
                    <w:t>0.003</w:t>
                  </w:r>
                </w:p>
              </w:tc>
            </w:tr>
          </w:tbl>
          <w:p>
            <w:pPr>
              <w:spacing w:line="240" w:lineRule="auto"/>
              <w:ind w:firstLine="482"/>
              <w:jc w:val="center"/>
              <w:rPr>
                <w:b/>
                <w:sz w:val="24"/>
                <w:szCs w:val="24"/>
              </w:rPr>
            </w:pPr>
            <w:r>
              <w:rPr>
                <w:rFonts w:hint="eastAsia"/>
                <w:b/>
                <w:sz w:val="24"/>
                <w:szCs w:val="24"/>
              </w:rPr>
              <w:t>表4-11  大气污染物最大落地浓度预测</w:t>
            </w:r>
          </w:p>
          <w:tbl>
            <w:tblPr>
              <w:tblStyle w:val="21"/>
              <w:tblW w:w="82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814"/>
              <w:gridCol w:w="1644"/>
              <w:gridCol w:w="1465"/>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0" w:type="dxa"/>
                  <w:shd w:val="pct10" w:color="auto" w:fill="auto"/>
                  <w:vAlign w:val="center"/>
                </w:tcPr>
                <w:p>
                  <w:pPr>
                    <w:spacing w:line="240" w:lineRule="auto"/>
                    <w:ind w:firstLine="0" w:firstLineChars="0"/>
                    <w:jc w:val="center"/>
                    <w:rPr>
                      <w:b/>
                      <w:bCs/>
                      <w:szCs w:val="21"/>
                    </w:rPr>
                  </w:pPr>
                  <w:r>
                    <w:rPr>
                      <w:b/>
                      <w:bCs/>
                      <w:szCs w:val="21"/>
                    </w:rPr>
                    <w:t>污染源名称</w:t>
                  </w:r>
                </w:p>
              </w:tc>
              <w:tc>
                <w:tcPr>
                  <w:tcW w:w="1814" w:type="dxa"/>
                  <w:shd w:val="pct10" w:color="auto" w:fill="auto"/>
                  <w:vAlign w:val="center"/>
                </w:tcPr>
                <w:p>
                  <w:pPr>
                    <w:spacing w:line="240" w:lineRule="auto"/>
                    <w:ind w:firstLine="0" w:firstLineChars="0"/>
                    <w:jc w:val="center"/>
                    <w:rPr>
                      <w:b/>
                      <w:bCs/>
                      <w:szCs w:val="21"/>
                    </w:rPr>
                  </w:pPr>
                  <w:r>
                    <w:rPr>
                      <w:rFonts w:hint="eastAsia"/>
                      <w:b/>
                      <w:bCs/>
                      <w:szCs w:val="21"/>
                    </w:rPr>
                    <w:t>预测</w:t>
                  </w:r>
                  <w:r>
                    <w:rPr>
                      <w:b/>
                      <w:bCs/>
                      <w:szCs w:val="21"/>
                    </w:rPr>
                    <w:t>因子</w:t>
                  </w:r>
                </w:p>
              </w:tc>
              <w:tc>
                <w:tcPr>
                  <w:tcW w:w="1644" w:type="dxa"/>
                  <w:shd w:val="pct10" w:color="auto" w:fill="auto"/>
                  <w:vAlign w:val="center"/>
                </w:tcPr>
                <w:p>
                  <w:pPr>
                    <w:autoSpaceDE w:val="0"/>
                    <w:autoSpaceDN w:val="0"/>
                    <w:spacing w:line="240" w:lineRule="auto"/>
                    <w:ind w:firstLine="0" w:firstLineChars="0"/>
                    <w:jc w:val="center"/>
                    <w:rPr>
                      <w:b/>
                      <w:bCs/>
                      <w:szCs w:val="21"/>
                      <w:lang w:val="ru-RU"/>
                    </w:rPr>
                  </w:pPr>
                  <w:r>
                    <w:rPr>
                      <w:b/>
                      <w:bCs/>
                      <w:szCs w:val="21"/>
                      <w:lang w:val="ru-RU"/>
                    </w:rPr>
                    <w:t>Cmax(</w:t>
                  </w:r>
                  <w:r>
                    <w:rPr>
                      <w:rFonts w:hint="eastAsia"/>
                      <w:b/>
                      <w:bCs/>
                      <w:szCs w:val="21"/>
                    </w:rPr>
                    <w:t>m</w:t>
                  </w:r>
                  <w:r>
                    <w:rPr>
                      <w:b/>
                      <w:bCs/>
                      <w:szCs w:val="21"/>
                      <w:lang w:val="ru-RU"/>
                    </w:rPr>
                    <w:t>g/m³</w:t>
                  </w:r>
                  <w:r>
                    <w:rPr>
                      <w:rFonts w:hint="eastAsia"/>
                      <w:b/>
                      <w:bCs/>
                      <w:szCs w:val="21"/>
                      <w:lang w:val="ru-RU"/>
                    </w:rPr>
                    <w:t>)</w:t>
                  </w:r>
                </w:p>
              </w:tc>
              <w:tc>
                <w:tcPr>
                  <w:tcW w:w="1465" w:type="dxa"/>
                  <w:shd w:val="pct10" w:color="auto" w:fill="auto"/>
                  <w:vAlign w:val="center"/>
                </w:tcPr>
                <w:p>
                  <w:pPr>
                    <w:autoSpaceDE w:val="0"/>
                    <w:autoSpaceDN w:val="0"/>
                    <w:spacing w:line="240" w:lineRule="auto"/>
                    <w:ind w:firstLine="0" w:firstLineChars="0"/>
                    <w:jc w:val="center"/>
                    <w:rPr>
                      <w:b/>
                      <w:bCs/>
                      <w:szCs w:val="21"/>
                    </w:rPr>
                  </w:pPr>
                  <w:r>
                    <w:rPr>
                      <w:b/>
                      <w:bCs/>
                      <w:szCs w:val="21"/>
                      <w:lang w:val="ru-RU"/>
                    </w:rPr>
                    <w:t>Pmax(%)</w:t>
                  </w:r>
                </w:p>
              </w:tc>
              <w:tc>
                <w:tcPr>
                  <w:tcW w:w="1644" w:type="dxa"/>
                  <w:shd w:val="pct10" w:color="auto" w:fill="auto"/>
                  <w:vAlign w:val="center"/>
                </w:tcPr>
                <w:p>
                  <w:pPr>
                    <w:autoSpaceDE w:val="0"/>
                    <w:autoSpaceDN w:val="0"/>
                    <w:spacing w:line="240" w:lineRule="auto"/>
                    <w:ind w:firstLine="0" w:firstLineChars="0"/>
                    <w:jc w:val="center"/>
                    <w:rPr>
                      <w:b/>
                      <w:bCs/>
                      <w:szCs w:val="21"/>
                    </w:rPr>
                  </w:pPr>
                  <w:r>
                    <w:rPr>
                      <w:b/>
                      <w:bCs/>
                      <w:szCs w:val="21"/>
                      <w:lang w:val="ru-RU"/>
                    </w:rPr>
                    <w:t>D10%(m)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0" w:type="dxa"/>
                  <w:vAlign w:val="center"/>
                </w:tcPr>
                <w:p>
                  <w:pPr>
                    <w:pStyle w:val="39"/>
                    <w:jc w:val="center"/>
                    <w:rPr>
                      <w:rFonts w:cs="Times New Roman"/>
                      <w:b w:val="0"/>
                      <w:szCs w:val="21"/>
                    </w:rPr>
                  </w:pPr>
                  <w:r>
                    <w:rPr>
                      <w:rFonts w:hint="eastAsia" w:cs="Times New Roman"/>
                      <w:b w:val="0"/>
                      <w:szCs w:val="21"/>
                    </w:rPr>
                    <w:t>1#排气筒</w:t>
                  </w:r>
                </w:p>
              </w:tc>
              <w:tc>
                <w:tcPr>
                  <w:tcW w:w="1814" w:type="dxa"/>
                  <w:vAlign w:val="center"/>
                </w:tcPr>
                <w:p>
                  <w:pPr>
                    <w:spacing w:line="240" w:lineRule="auto"/>
                    <w:ind w:firstLine="0" w:firstLineChars="0"/>
                    <w:jc w:val="center"/>
                    <w:rPr>
                      <w:szCs w:val="21"/>
                    </w:rPr>
                  </w:pPr>
                  <w:r>
                    <w:rPr>
                      <w:rFonts w:hint="eastAsia"/>
                      <w:szCs w:val="21"/>
                    </w:rPr>
                    <w:t>颗粒物</w:t>
                  </w:r>
                </w:p>
              </w:tc>
              <w:tc>
                <w:tcPr>
                  <w:tcW w:w="1644" w:type="dxa"/>
                  <w:vAlign w:val="center"/>
                </w:tcPr>
                <w:p>
                  <w:pPr>
                    <w:spacing w:line="240" w:lineRule="auto"/>
                    <w:ind w:firstLine="0" w:firstLineChars="0"/>
                    <w:jc w:val="center"/>
                    <w:rPr>
                      <w:szCs w:val="21"/>
                    </w:rPr>
                  </w:pPr>
                  <w:r>
                    <w:rPr>
                      <w:rFonts w:hint="eastAsia"/>
                      <w:szCs w:val="21"/>
                    </w:rPr>
                    <w:t>7.92E-04</w:t>
                  </w:r>
                </w:p>
              </w:tc>
              <w:tc>
                <w:tcPr>
                  <w:tcW w:w="1465" w:type="dxa"/>
                  <w:vAlign w:val="center"/>
                </w:tcPr>
                <w:p>
                  <w:pPr>
                    <w:spacing w:line="240" w:lineRule="auto"/>
                    <w:ind w:firstLine="0" w:firstLineChars="0"/>
                    <w:jc w:val="center"/>
                    <w:rPr>
                      <w:szCs w:val="21"/>
                    </w:rPr>
                  </w:pPr>
                  <w:r>
                    <w:rPr>
                      <w:rFonts w:hint="eastAsia"/>
                      <w:szCs w:val="21"/>
                    </w:rPr>
                    <w:t>0.09</w:t>
                  </w:r>
                </w:p>
              </w:tc>
              <w:tc>
                <w:tcPr>
                  <w:tcW w:w="1644" w:type="dxa"/>
                  <w:vAlign w:val="center"/>
                </w:tcPr>
                <w:p>
                  <w:pPr>
                    <w:spacing w:line="240" w:lineRule="auto"/>
                    <w:ind w:firstLine="0" w:firstLineChars="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0" w:type="dxa"/>
                  <w:vMerge w:val="restart"/>
                  <w:vAlign w:val="center"/>
                </w:tcPr>
                <w:p>
                  <w:pPr>
                    <w:pStyle w:val="39"/>
                    <w:jc w:val="center"/>
                    <w:rPr>
                      <w:rFonts w:cs="Times New Roman"/>
                      <w:b w:val="0"/>
                      <w:szCs w:val="21"/>
                    </w:rPr>
                  </w:pPr>
                  <w:r>
                    <w:rPr>
                      <w:rFonts w:hint="eastAsia" w:cs="Times New Roman"/>
                      <w:b w:val="0"/>
                      <w:szCs w:val="21"/>
                    </w:rPr>
                    <w:t>2#排气筒</w:t>
                  </w:r>
                </w:p>
              </w:tc>
              <w:tc>
                <w:tcPr>
                  <w:tcW w:w="1814" w:type="dxa"/>
                  <w:vAlign w:val="center"/>
                </w:tcPr>
                <w:p>
                  <w:pPr>
                    <w:spacing w:line="240" w:lineRule="auto"/>
                    <w:ind w:firstLine="0" w:firstLineChars="0"/>
                    <w:jc w:val="center"/>
                    <w:rPr>
                      <w:szCs w:val="21"/>
                    </w:rPr>
                  </w:pPr>
                  <w:r>
                    <w:rPr>
                      <w:rFonts w:hint="eastAsia"/>
                      <w:szCs w:val="21"/>
                    </w:rPr>
                    <w:t>颗粒物</w:t>
                  </w:r>
                </w:p>
              </w:tc>
              <w:tc>
                <w:tcPr>
                  <w:tcW w:w="1644" w:type="dxa"/>
                  <w:vAlign w:val="center"/>
                </w:tcPr>
                <w:p>
                  <w:pPr>
                    <w:spacing w:line="240" w:lineRule="auto"/>
                    <w:ind w:firstLine="0" w:firstLineChars="0"/>
                    <w:jc w:val="center"/>
                    <w:rPr>
                      <w:szCs w:val="21"/>
                    </w:rPr>
                  </w:pPr>
                  <w:r>
                    <w:rPr>
                      <w:rFonts w:hint="eastAsia"/>
                      <w:szCs w:val="21"/>
                    </w:rPr>
                    <w:t>7.92E-05</w:t>
                  </w:r>
                </w:p>
              </w:tc>
              <w:tc>
                <w:tcPr>
                  <w:tcW w:w="1465" w:type="dxa"/>
                  <w:vAlign w:val="center"/>
                </w:tcPr>
                <w:p>
                  <w:pPr>
                    <w:spacing w:line="240" w:lineRule="auto"/>
                    <w:ind w:firstLine="0" w:firstLineChars="0"/>
                    <w:jc w:val="center"/>
                    <w:rPr>
                      <w:szCs w:val="21"/>
                    </w:rPr>
                  </w:pPr>
                  <w:r>
                    <w:rPr>
                      <w:rFonts w:hint="eastAsia"/>
                      <w:szCs w:val="21"/>
                    </w:rPr>
                    <w:t>0.01</w:t>
                  </w:r>
                </w:p>
              </w:tc>
              <w:tc>
                <w:tcPr>
                  <w:tcW w:w="1644" w:type="dxa"/>
                  <w:vAlign w:val="center"/>
                </w:tcPr>
                <w:p>
                  <w:pPr>
                    <w:spacing w:line="240" w:lineRule="auto"/>
                    <w:ind w:firstLine="0" w:firstLineChars="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0" w:type="dxa"/>
                  <w:vMerge w:val="continue"/>
                  <w:vAlign w:val="center"/>
                </w:tcPr>
                <w:p>
                  <w:pPr>
                    <w:pStyle w:val="39"/>
                    <w:jc w:val="center"/>
                    <w:rPr>
                      <w:rFonts w:cs="Times New Roman"/>
                      <w:b w:val="0"/>
                      <w:szCs w:val="21"/>
                    </w:rPr>
                  </w:pPr>
                </w:p>
              </w:tc>
              <w:tc>
                <w:tcPr>
                  <w:tcW w:w="1814" w:type="dxa"/>
                  <w:vAlign w:val="center"/>
                </w:tcPr>
                <w:p>
                  <w:pPr>
                    <w:spacing w:line="240" w:lineRule="auto"/>
                    <w:ind w:firstLine="0" w:firstLineChars="0"/>
                    <w:jc w:val="center"/>
                    <w:rPr>
                      <w:szCs w:val="21"/>
                    </w:rPr>
                  </w:pPr>
                  <w:r>
                    <w:rPr>
                      <w:rFonts w:hint="eastAsia"/>
                      <w:szCs w:val="21"/>
                    </w:rPr>
                    <w:t>非甲烷总烃</w:t>
                  </w:r>
                </w:p>
              </w:tc>
              <w:tc>
                <w:tcPr>
                  <w:tcW w:w="1644" w:type="dxa"/>
                  <w:vAlign w:val="center"/>
                </w:tcPr>
                <w:p>
                  <w:pPr>
                    <w:spacing w:line="240" w:lineRule="auto"/>
                    <w:ind w:firstLine="0" w:firstLineChars="0"/>
                    <w:jc w:val="center"/>
                    <w:rPr>
                      <w:szCs w:val="21"/>
                    </w:rPr>
                  </w:pPr>
                  <w:r>
                    <w:rPr>
                      <w:rFonts w:hint="eastAsia"/>
                      <w:szCs w:val="21"/>
                    </w:rPr>
                    <w:t>1.58E-04</w:t>
                  </w:r>
                </w:p>
              </w:tc>
              <w:tc>
                <w:tcPr>
                  <w:tcW w:w="1465" w:type="dxa"/>
                  <w:vAlign w:val="center"/>
                </w:tcPr>
                <w:p>
                  <w:pPr>
                    <w:spacing w:line="240" w:lineRule="auto"/>
                    <w:ind w:firstLine="0" w:firstLineChars="0"/>
                    <w:jc w:val="center"/>
                    <w:rPr>
                      <w:szCs w:val="21"/>
                    </w:rPr>
                  </w:pPr>
                  <w:r>
                    <w:rPr>
                      <w:rFonts w:hint="eastAsia"/>
                      <w:szCs w:val="21"/>
                    </w:rPr>
                    <w:t>0.01</w:t>
                  </w:r>
                </w:p>
              </w:tc>
              <w:tc>
                <w:tcPr>
                  <w:tcW w:w="1644" w:type="dxa"/>
                  <w:vAlign w:val="center"/>
                </w:tcPr>
                <w:p>
                  <w:pPr>
                    <w:spacing w:line="240" w:lineRule="auto"/>
                    <w:ind w:firstLine="0" w:firstLineChars="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0" w:type="dxa"/>
                  <w:vMerge w:val="restart"/>
                  <w:vAlign w:val="center"/>
                </w:tcPr>
                <w:p>
                  <w:pPr>
                    <w:spacing w:line="240" w:lineRule="auto"/>
                    <w:ind w:firstLine="0" w:firstLineChars="0"/>
                    <w:jc w:val="center"/>
                    <w:rPr>
                      <w:szCs w:val="21"/>
                    </w:rPr>
                  </w:pPr>
                  <w:r>
                    <w:rPr>
                      <w:rFonts w:hint="eastAsia"/>
                      <w:szCs w:val="21"/>
                    </w:rPr>
                    <w:t>3#排气筒</w:t>
                  </w:r>
                </w:p>
              </w:tc>
              <w:tc>
                <w:tcPr>
                  <w:tcW w:w="1814" w:type="dxa"/>
                  <w:vAlign w:val="center"/>
                </w:tcPr>
                <w:p>
                  <w:pPr>
                    <w:spacing w:line="240" w:lineRule="auto"/>
                    <w:ind w:firstLine="0" w:firstLineChars="0"/>
                    <w:jc w:val="center"/>
                    <w:rPr>
                      <w:szCs w:val="21"/>
                    </w:rPr>
                  </w:pPr>
                  <w:r>
                    <w:rPr>
                      <w:rFonts w:hint="eastAsia"/>
                      <w:szCs w:val="21"/>
                    </w:rPr>
                    <w:t>颗粒物</w:t>
                  </w:r>
                </w:p>
              </w:tc>
              <w:tc>
                <w:tcPr>
                  <w:tcW w:w="1644" w:type="dxa"/>
                  <w:vAlign w:val="center"/>
                </w:tcPr>
                <w:p>
                  <w:pPr>
                    <w:spacing w:line="240" w:lineRule="auto"/>
                    <w:ind w:firstLine="0" w:firstLineChars="0"/>
                    <w:jc w:val="center"/>
                    <w:rPr>
                      <w:szCs w:val="21"/>
                    </w:rPr>
                  </w:pPr>
                  <w:r>
                    <w:rPr>
                      <w:rFonts w:hint="eastAsia"/>
                      <w:szCs w:val="21"/>
                    </w:rPr>
                    <w:t>1.18E-02</w:t>
                  </w:r>
                </w:p>
              </w:tc>
              <w:tc>
                <w:tcPr>
                  <w:tcW w:w="1465" w:type="dxa"/>
                  <w:vAlign w:val="center"/>
                </w:tcPr>
                <w:p>
                  <w:pPr>
                    <w:spacing w:line="240" w:lineRule="auto"/>
                    <w:ind w:firstLine="0" w:firstLineChars="0"/>
                    <w:jc w:val="center"/>
                    <w:rPr>
                      <w:szCs w:val="21"/>
                    </w:rPr>
                  </w:pPr>
                  <w:r>
                    <w:rPr>
                      <w:rFonts w:hint="eastAsia"/>
                      <w:szCs w:val="21"/>
                    </w:rPr>
                    <w:t>1.31</w:t>
                  </w:r>
                </w:p>
              </w:tc>
              <w:tc>
                <w:tcPr>
                  <w:tcW w:w="1644" w:type="dxa"/>
                  <w:vAlign w:val="center"/>
                </w:tcPr>
                <w:p>
                  <w:pPr>
                    <w:spacing w:line="240" w:lineRule="auto"/>
                    <w:ind w:firstLine="0" w:firstLineChars="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0" w:type="dxa"/>
                  <w:vMerge w:val="continue"/>
                  <w:vAlign w:val="center"/>
                </w:tcPr>
                <w:p>
                  <w:pPr>
                    <w:spacing w:line="240" w:lineRule="auto"/>
                    <w:ind w:firstLine="0" w:firstLineChars="0"/>
                    <w:jc w:val="center"/>
                    <w:rPr>
                      <w:szCs w:val="21"/>
                    </w:rPr>
                  </w:pPr>
                </w:p>
              </w:tc>
              <w:tc>
                <w:tcPr>
                  <w:tcW w:w="1814" w:type="dxa"/>
                  <w:vAlign w:val="center"/>
                </w:tcPr>
                <w:p>
                  <w:pPr>
                    <w:spacing w:line="240" w:lineRule="auto"/>
                    <w:ind w:firstLine="0" w:firstLineChars="0"/>
                    <w:jc w:val="center"/>
                    <w:rPr>
                      <w:szCs w:val="21"/>
                    </w:rPr>
                  </w:pPr>
                  <w:r>
                    <w:rPr>
                      <w:rFonts w:hint="eastAsia"/>
                      <w:szCs w:val="21"/>
                    </w:rPr>
                    <w:t>非甲烷总烃</w:t>
                  </w:r>
                </w:p>
              </w:tc>
              <w:tc>
                <w:tcPr>
                  <w:tcW w:w="1644" w:type="dxa"/>
                  <w:vAlign w:val="center"/>
                </w:tcPr>
                <w:p>
                  <w:pPr>
                    <w:spacing w:line="240" w:lineRule="auto"/>
                    <w:ind w:firstLine="0" w:firstLineChars="0"/>
                    <w:jc w:val="center"/>
                    <w:rPr>
                      <w:szCs w:val="21"/>
                    </w:rPr>
                  </w:pPr>
                  <w:r>
                    <w:rPr>
                      <w:rFonts w:hint="eastAsia"/>
                      <w:szCs w:val="21"/>
                    </w:rPr>
                    <w:t>5.88E-04</w:t>
                  </w:r>
                </w:p>
              </w:tc>
              <w:tc>
                <w:tcPr>
                  <w:tcW w:w="1465" w:type="dxa"/>
                  <w:vAlign w:val="center"/>
                </w:tcPr>
                <w:p>
                  <w:pPr>
                    <w:spacing w:line="240" w:lineRule="auto"/>
                    <w:ind w:firstLine="0" w:firstLineChars="0"/>
                    <w:jc w:val="center"/>
                    <w:rPr>
                      <w:szCs w:val="21"/>
                    </w:rPr>
                  </w:pPr>
                  <w:r>
                    <w:rPr>
                      <w:rFonts w:hint="eastAsia"/>
                      <w:szCs w:val="21"/>
                    </w:rPr>
                    <w:t>0.05</w:t>
                  </w:r>
                </w:p>
              </w:tc>
              <w:tc>
                <w:tcPr>
                  <w:tcW w:w="1644" w:type="dxa"/>
                  <w:vAlign w:val="center"/>
                </w:tcPr>
                <w:p>
                  <w:pPr>
                    <w:spacing w:line="240" w:lineRule="auto"/>
                    <w:ind w:firstLine="0" w:firstLineChars="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0" w:type="dxa"/>
                  <w:vMerge w:val="restart"/>
                  <w:vAlign w:val="center"/>
                </w:tcPr>
                <w:p>
                  <w:pPr>
                    <w:pStyle w:val="39"/>
                    <w:jc w:val="center"/>
                    <w:rPr>
                      <w:rFonts w:cs="Times New Roman"/>
                      <w:b w:val="0"/>
                      <w:szCs w:val="21"/>
                    </w:rPr>
                  </w:pPr>
                  <w:r>
                    <w:rPr>
                      <w:rFonts w:hint="eastAsia" w:cs="Times New Roman"/>
                      <w:b w:val="0"/>
                      <w:szCs w:val="21"/>
                    </w:rPr>
                    <w:t>废弃家电拆解加工车间</w:t>
                  </w:r>
                </w:p>
              </w:tc>
              <w:tc>
                <w:tcPr>
                  <w:tcW w:w="1814" w:type="dxa"/>
                  <w:vAlign w:val="center"/>
                </w:tcPr>
                <w:p>
                  <w:pPr>
                    <w:spacing w:line="240" w:lineRule="auto"/>
                    <w:ind w:firstLine="0" w:firstLineChars="0"/>
                    <w:jc w:val="center"/>
                    <w:rPr>
                      <w:szCs w:val="21"/>
                    </w:rPr>
                  </w:pPr>
                  <w:r>
                    <w:rPr>
                      <w:rFonts w:hint="eastAsia"/>
                      <w:szCs w:val="21"/>
                    </w:rPr>
                    <w:t>颗粒物</w:t>
                  </w:r>
                </w:p>
              </w:tc>
              <w:tc>
                <w:tcPr>
                  <w:tcW w:w="1644" w:type="dxa"/>
                  <w:vAlign w:val="center"/>
                </w:tcPr>
                <w:p>
                  <w:pPr>
                    <w:spacing w:line="240" w:lineRule="auto"/>
                    <w:ind w:firstLine="0" w:firstLineChars="0"/>
                    <w:jc w:val="center"/>
                    <w:rPr>
                      <w:szCs w:val="21"/>
                    </w:rPr>
                  </w:pPr>
                  <w:r>
                    <w:rPr>
                      <w:rFonts w:hint="eastAsia"/>
                      <w:szCs w:val="21"/>
                    </w:rPr>
                    <w:t>1.86E-01</w:t>
                  </w:r>
                </w:p>
              </w:tc>
              <w:tc>
                <w:tcPr>
                  <w:tcW w:w="1465" w:type="dxa"/>
                  <w:vAlign w:val="center"/>
                </w:tcPr>
                <w:p>
                  <w:pPr>
                    <w:spacing w:line="240" w:lineRule="auto"/>
                    <w:ind w:firstLine="0" w:firstLineChars="0"/>
                    <w:jc w:val="center"/>
                    <w:rPr>
                      <w:szCs w:val="21"/>
                    </w:rPr>
                  </w:pPr>
                  <w:r>
                    <w:rPr>
                      <w:rFonts w:hint="eastAsia"/>
                      <w:szCs w:val="21"/>
                    </w:rPr>
                    <w:t>1.92</w:t>
                  </w:r>
                </w:p>
              </w:tc>
              <w:tc>
                <w:tcPr>
                  <w:tcW w:w="1644" w:type="dxa"/>
                  <w:vAlign w:val="center"/>
                </w:tcPr>
                <w:p>
                  <w:pPr>
                    <w:spacing w:line="240" w:lineRule="auto"/>
                    <w:ind w:firstLine="0" w:firstLineChars="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0" w:type="dxa"/>
                  <w:vMerge w:val="continue"/>
                  <w:vAlign w:val="center"/>
                </w:tcPr>
                <w:p>
                  <w:pPr>
                    <w:spacing w:line="240" w:lineRule="auto"/>
                    <w:ind w:firstLine="0" w:firstLineChars="0"/>
                    <w:jc w:val="center"/>
                    <w:rPr>
                      <w:szCs w:val="21"/>
                    </w:rPr>
                  </w:pPr>
                </w:p>
              </w:tc>
              <w:tc>
                <w:tcPr>
                  <w:tcW w:w="1814" w:type="dxa"/>
                  <w:vAlign w:val="center"/>
                </w:tcPr>
                <w:p>
                  <w:pPr>
                    <w:spacing w:line="240" w:lineRule="auto"/>
                    <w:ind w:firstLine="0" w:firstLineChars="0"/>
                    <w:jc w:val="center"/>
                    <w:rPr>
                      <w:szCs w:val="21"/>
                    </w:rPr>
                  </w:pPr>
                  <w:r>
                    <w:rPr>
                      <w:rFonts w:hint="eastAsia"/>
                      <w:szCs w:val="21"/>
                    </w:rPr>
                    <w:t>非甲烷总烃</w:t>
                  </w:r>
                </w:p>
              </w:tc>
              <w:tc>
                <w:tcPr>
                  <w:tcW w:w="1644" w:type="dxa"/>
                  <w:vAlign w:val="center"/>
                </w:tcPr>
                <w:p>
                  <w:pPr>
                    <w:spacing w:line="240" w:lineRule="auto"/>
                    <w:ind w:firstLine="0" w:firstLineChars="0"/>
                    <w:jc w:val="center"/>
                    <w:rPr>
                      <w:szCs w:val="21"/>
                    </w:rPr>
                  </w:pPr>
                  <w:r>
                    <w:rPr>
                      <w:rFonts w:hint="eastAsia"/>
                      <w:szCs w:val="21"/>
                    </w:rPr>
                    <w:t>8.64E-04</w:t>
                  </w:r>
                </w:p>
              </w:tc>
              <w:tc>
                <w:tcPr>
                  <w:tcW w:w="1465" w:type="dxa"/>
                  <w:vAlign w:val="center"/>
                </w:tcPr>
                <w:p>
                  <w:pPr>
                    <w:spacing w:line="240" w:lineRule="auto"/>
                    <w:ind w:firstLine="0" w:firstLineChars="0"/>
                    <w:jc w:val="center"/>
                    <w:rPr>
                      <w:szCs w:val="21"/>
                    </w:rPr>
                  </w:pPr>
                  <w:r>
                    <w:rPr>
                      <w:rFonts w:hint="eastAsia"/>
                      <w:szCs w:val="21"/>
                    </w:rPr>
                    <w:t>0.07</w:t>
                  </w:r>
                </w:p>
              </w:tc>
              <w:tc>
                <w:tcPr>
                  <w:tcW w:w="1644" w:type="dxa"/>
                  <w:vAlign w:val="center"/>
                </w:tcPr>
                <w:p>
                  <w:pPr>
                    <w:spacing w:line="240" w:lineRule="auto"/>
                    <w:ind w:firstLine="0" w:firstLineChars="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0" w:type="dxa"/>
                  <w:vMerge w:val="restart"/>
                  <w:vAlign w:val="center"/>
                </w:tcPr>
                <w:p>
                  <w:pPr>
                    <w:pStyle w:val="39"/>
                    <w:jc w:val="center"/>
                    <w:rPr>
                      <w:rFonts w:cs="Times New Roman"/>
                      <w:b w:val="0"/>
                      <w:szCs w:val="21"/>
                    </w:rPr>
                  </w:pPr>
                  <w:r>
                    <w:rPr>
                      <w:rFonts w:hint="eastAsia" w:cs="Times New Roman"/>
                      <w:b w:val="0"/>
                      <w:szCs w:val="21"/>
                    </w:rPr>
                    <w:t>机动车拆解</w:t>
                  </w:r>
                </w:p>
                <w:p>
                  <w:pPr>
                    <w:spacing w:line="240" w:lineRule="auto"/>
                    <w:ind w:firstLine="0" w:firstLineChars="0"/>
                    <w:jc w:val="center"/>
                    <w:rPr>
                      <w:szCs w:val="21"/>
                    </w:rPr>
                  </w:pPr>
                  <w:r>
                    <w:rPr>
                      <w:rFonts w:hint="eastAsia"/>
                      <w:szCs w:val="21"/>
                    </w:rPr>
                    <w:t>加工车间</w:t>
                  </w:r>
                </w:p>
              </w:tc>
              <w:tc>
                <w:tcPr>
                  <w:tcW w:w="1814" w:type="dxa"/>
                  <w:vAlign w:val="center"/>
                </w:tcPr>
                <w:p>
                  <w:pPr>
                    <w:spacing w:line="240" w:lineRule="auto"/>
                    <w:ind w:firstLine="0" w:firstLineChars="0"/>
                    <w:jc w:val="center"/>
                    <w:rPr>
                      <w:szCs w:val="21"/>
                    </w:rPr>
                  </w:pPr>
                  <w:r>
                    <w:rPr>
                      <w:rFonts w:hint="eastAsia"/>
                      <w:szCs w:val="21"/>
                    </w:rPr>
                    <w:t>颗粒物</w:t>
                  </w:r>
                </w:p>
              </w:tc>
              <w:tc>
                <w:tcPr>
                  <w:tcW w:w="1644" w:type="dxa"/>
                  <w:vAlign w:val="center"/>
                </w:tcPr>
                <w:p>
                  <w:pPr>
                    <w:spacing w:line="240" w:lineRule="auto"/>
                    <w:ind w:firstLine="0" w:firstLineChars="0"/>
                    <w:jc w:val="center"/>
                    <w:rPr>
                      <w:szCs w:val="21"/>
                    </w:rPr>
                  </w:pPr>
                  <w:r>
                    <w:rPr>
                      <w:rFonts w:hint="eastAsia"/>
                      <w:szCs w:val="21"/>
                    </w:rPr>
                    <w:t>4.41E-01</w:t>
                  </w:r>
                </w:p>
              </w:tc>
              <w:tc>
                <w:tcPr>
                  <w:tcW w:w="1465" w:type="dxa"/>
                  <w:vAlign w:val="center"/>
                </w:tcPr>
                <w:p>
                  <w:pPr>
                    <w:spacing w:line="240" w:lineRule="auto"/>
                    <w:ind w:firstLine="0" w:firstLineChars="0"/>
                    <w:jc w:val="center"/>
                    <w:rPr>
                      <w:szCs w:val="21"/>
                    </w:rPr>
                  </w:pPr>
                  <w:r>
                    <w:rPr>
                      <w:rFonts w:hint="eastAsia"/>
                      <w:szCs w:val="21"/>
                    </w:rPr>
                    <w:t>9.61</w:t>
                  </w:r>
                </w:p>
              </w:tc>
              <w:tc>
                <w:tcPr>
                  <w:tcW w:w="1644" w:type="dxa"/>
                  <w:vAlign w:val="center"/>
                </w:tcPr>
                <w:p>
                  <w:pPr>
                    <w:spacing w:line="240" w:lineRule="auto"/>
                    <w:ind w:firstLine="0" w:firstLineChars="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0" w:type="dxa"/>
                  <w:vMerge w:val="continue"/>
                  <w:vAlign w:val="center"/>
                </w:tcPr>
                <w:p>
                  <w:pPr>
                    <w:spacing w:line="240" w:lineRule="auto"/>
                    <w:ind w:firstLine="0" w:firstLineChars="0"/>
                    <w:jc w:val="center"/>
                    <w:rPr>
                      <w:szCs w:val="21"/>
                    </w:rPr>
                  </w:pPr>
                </w:p>
              </w:tc>
              <w:tc>
                <w:tcPr>
                  <w:tcW w:w="1814" w:type="dxa"/>
                  <w:vAlign w:val="center"/>
                </w:tcPr>
                <w:p>
                  <w:pPr>
                    <w:spacing w:line="240" w:lineRule="auto"/>
                    <w:ind w:firstLine="0" w:firstLineChars="0"/>
                    <w:jc w:val="center"/>
                    <w:rPr>
                      <w:szCs w:val="21"/>
                    </w:rPr>
                  </w:pPr>
                  <w:r>
                    <w:rPr>
                      <w:rFonts w:hint="eastAsia"/>
                      <w:szCs w:val="21"/>
                    </w:rPr>
                    <w:t>非甲烷总烃</w:t>
                  </w:r>
                </w:p>
              </w:tc>
              <w:tc>
                <w:tcPr>
                  <w:tcW w:w="1644" w:type="dxa"/>
                  <w:vAlign w:val="center"/>
                </w:tcPr>
                <w:p>
                  <w:pPr>
                    <w:spacing w:line="240" w:lineRule="auto"/>
                    <w:ind w:firstLine="0" w:firstLineChars="0"/>
                    <w:jc w:val="center"/>
                    <w:rPr>
                      <w:szCs w:val="21"/>
                    </w:rPr>
                  </w:pPr>
                  <w:r>
                    <w:rPr>
                      <w:rFonts w:hint="eastAsia"/>
                      <w:szCs w:val="21"/>
                    </w:rPr>
                    <w:t>3.03E-02</w:t>
                  </w:r>
                </w:p>
              </w:tc>
              <w:tc>
                <w:tcPr>
                  <w:tcW w:w="1465" w:type="dxa"/>
                  <w:vAlign w:val="center"/>
                </w:tcPr>
                <w:p>
                  <w:pPr>
                    <w:spacing w:line="240" w:lineRule="auto"/>
                    <w:ind w:firstLine="0" w:firstLineChars="0"/>
                    <w:jc w:val="center"/>
                    <w:rPr>
                      <w:szCs w:val="21"/>
                    </w:rPr>
                  </w:pPr>
                  <w:r>
                    <w:rPr>
                      <w:rFonts w:hint="eastAsia"/>
                      <w:szCs w:val="21"/>
                    </w:rPr>
                    <w:t>0.11</w:t>
                  </w:r>
                </w:p>
              </w:tc>
              <w:tc>
                <w:tcPr>
                  <w:tcW w:w="1644" w:type="dxa"/>
                  <w:vAlign w:val="center"/>
                </w:tcPr>
                <w:p>
                  <w:pPr>
                    <w:spacing w:line="240" w:lineRule="auto"/>
                    <w:ind w:firstLine="0" w:firstLineChars="0"/>
                    <w:jc w:val="center"/>
                    <w:rPr>
                      <w:szCs w:val="21"/>
                    </w:rPr>
                  </w:pPr>
                  <w:r>
                    <w:rPr>
                      <w:rFonts w:hint="eastAsia"/>
                      <w:szCs w:val="21"/>
                    </w:rPr>
                    <w:t>/</w:t>
                  </w:r>
                </w:p>
              </w:tc>
            </w:tr>
          </w:tbl>
          <w:p>
            <w:pPr>
              <w:pStyle w:val="39"/>
              <w:ind w:firstLine="360"/>
              <w:jc w:val="center"/>
              <w:rPr>
                <w:rFonts w:cs="Times New Roman"/>
                <w:sz w:val="24"/>
              </w:rPr>
            </w:pPr>
            <w:r>
              <w:rPr>
                <w:rFonts w:cs="Times New Roman"/>
                <w:sz w:val="24"/>
              </w:rPr>
              <w:t>表</w:t>
            </w:r>
            <w:r>
              <w:rPr>
                <w:rFonts w:hint="eastAsia" w:cs="Times New Roman"/>
                <w:sz w:val="24"/>
              </w:rPr>
              <w:t>4-12  大气污染物</w:t>
            </w:r>
            <w:r>
              <w:rPr>
                <w:rFonts w:cs="Times New Roman"/>
                <w:sz w:val="24"/>
              </w:rPr>
              <w:t>废气</w:t>
            </w:r>
            <w:r>
              <w:rPr>
                <w:rFonts w:hint="eastAsia" w:cs="Times New Roman"/>
                <w:sz w:val="24"/>
              </w:rPr>
              <w:t>排放</w:t>
            </w:r>
            <w:r>
              <w:rPr>
                <w:rFonts w:cs="Times New Roman"/>
                <w:sz w:val="24"/>
              </w:rPr>
              <w:t>预测结果一览表</w:t>
            </w:r>
          </w:p>
          <w:tbl>
            <w:tblPr>
              <w:tblStyle w:val="22"/>
              <w:tblW w:w="82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23"/>
              <w:gridCol w:w="747"/>
              <w:gridCol w:w="1033"/>
              <w:gridCol w:w="1033"/>
              <w:gridCol w:w="1033"/>
              <w:gridCol w:w="1033"/>
              <w:gridCol w:w="103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97" w:type="dxa"/>
                  <w:gridSpan w:val="3"/>
                  <w:shd w:val="pct10" w:color="auto" w:fill="auto"/>
                  <w:vAlign w:val="center"/>
                </w:tcPr>
                <w:p>
                  <w:pPr>
                    <w:pStyle w:val="39"/>
                    <w:jc w:val="center"/>
                    <w:rPr>
                      <w:rFonts w:cs="Times New Roman"/>
                      <w:szCs w:val="21"/>
                    </w:rPr>
                  </w:pPr>
                  <w:r>
                    <w:rPr>
                      <w:rFonts w:cs="Times New Roman"/>
                      <w:szCs w:val="21"/>
                    </w:rPr>
                    <w:t>距源中心距离m</w:t>
                  </w:r>
                </w:p>
              </w:tc>
              <w:tc>
                <w:tcPr>
                  <w:tcW w:w="1033" w:type="dxa"/>
                  <w:shd w:val="clear" w:color="auto" w:fill="auto"/>
                  <w:vAlign w:val="center"/>
                </w:tcPr>
                <w:p>
                  <w:pPr>
                    <w:spacing w:line="240" w:lineRule="auto"/>
                    <w:ind w:firstLine="0" w:firstLineChars="0"/>
                    <w:jc w:val="center"/>
                    <w:rPr>
                      <w:szCs w:val="21"/>
                    </w:rPr>
                  </w:pPr>
                  <w:r>
                    <w:rPr>
                      <w:rFonts w:hint="eastAsia"/>
                      <w:szCs w:val="21"/>
                    </w:rPr>
                    <w:t>10</w:t>
                  </w:r>
                </w:p>
              </w:tc>
              <w:tc>
                <w:tcPr>
                  <w:tcW w:w="1033" w:type="dxa"/>
                  <w:shd w:val="clear" w:color="auto" w:fill="auto"/>
                  <w:vAlign w:val="center"/>
                </w:tcPr>
                <w:p>
                  <w:pPr>
                    <w:pStyle w:val="39"/>
                    <w:jc w:val="center"/>
                    <w:rPr>
                      <w:rFonts w:cs="Times New Roman"/>
                      <w:b w:val="0"/>
                      <w:szCs w:val="21"/>
                    </w:rPr>
                  </w:pPr>
                  <w:r>
                    <w:rPr>
                      <w:rFonts w:hint="eastAsia" w:cs="Times New Roman"/>
                      <w:b w:val="0"/>
                      <w:szCs w:val="21"/>
                    </w:rPr>
                    <w:t>25</w:t>
                  </w:r>
                </w:p>
              </w:tc>
              <w:tc>
                <w:tcPr>
                  <w:tcW w:w="1033" w:type="dxa"/>
                  <w:shd w:val="clear" w:color="auto" w:fill="auto"/>
                  <w:vAlign w:val="center"/>
                </w:tcPr>
                <w:p>
                  <w:pPr>
                    <w:pStyle w:val="39"/>
                    <w:jc w:val="center"/>
                    <w:rPr>
                      <w:rFonts w:cs="Times New Roman"/>
                      <w:b w:val="0"/>
                      <w:szCs w:val="21"/>
                    </w:rPr>
                  </w:pPr>
                  <w:r>
                    <w:rPr>
                      <w:rFonts w:hint="eastAsia" w:cs="Times New Roman"/>
                      <w:b w:val="0"/>
                      <w:szCs w:val="21"/>
                    </w:rPr>
                    <w:t>50</w:t>
                  </w:r>
                </w:p>
              </w:tc>
              <w:tc>
                <w:tcPr>
                  <w:tcW w:w="1033" w:type="dxa"/>
                  <w:shd w:val="clear" w:color="auto" w:fill="auto"/>
                  <w:vAlign w:val="center"/>
                </w:tcPr>
                <w:p>
                  <w:pPr>
                    <w:pStyle w:val="39"/>
                    <w:jc w:val="center"/>
                    <w:rPr>
                      <w:rFonts w:cs="Times New Roman"/>
                      <w:b w:val="0"/>
                      <w:szCs w:val="21"/>
                    </w:rPr>
                  </w:pPr>
                  <w:r>
                    <w:rPr>
                      <w:rFonts w:hint="eastAsia" w:cs="Times New Roman"/>
                      <w:b w:val="0"/>
                      <w:szCs w:val="21"/>
                    </w:rPr>
                    <w:t>75</w:t>
                  </w:r>
                </w:p>
              </w:tc>
              <w:tc>
                <w:tcPr>
                  <w:tcW w:w="1034" w:type="dxa"/>
                  <w:shd w:val="clear" w:color="auto" w:fill="auto"/>
                  <w:vAlign w:val="center"/>
                </w:tcPr>
                <w:p>
                  <w:pPr>
                    <w:pStyle w:val="39"/>
                    <w:jc w:val="center"/>
                    <w:rPr>
                      <w:rFonts w:cs="Times New Roman"/>
                      <w:b w:val="0"/>
                      <w:szCs w:val="21"/>
                    </w:rPr>
                  </w:pPr>
                  <w:r>
                    <w:rPr>
                      <w:rFonts w:hint="eastAsia" w:cs="Times New Roman"/>
                      <w:b w:val="0"/>
                      <w:szCs w:val="21"/>
                    </w:rPr>
                    <w:t>100</w:t>
                  </w:r>
                </w:p>
              </w:tc>
              <w:tc>
                <w:tcPr>
                  <w:tcW w:w="1034" w:type="dxa"/>
                  <w:shd w:val="clear" w:color="auto" w:fill="auto"/>
                  <w:vAlign w:val="center"/>
                </w:tcPr>
                <w:p>
                  <w:pPr>
                    <w:pStyle w:val="39"/>
                    <w:jc w:val="center"/>
                    <w:rPr>
                      <w:rFonts w:cs="Times New Roman"/>
                      <w:b w:val="0"/>
                      <w:szCs w:val="21"/>
                    </w:rPr>
                  </w:pPr>
                  <w:r>
                    <w:rPr>
                      <w:rFonts w:hint="eastAsia" w:cs="Times New Roman"/>
                      <w:b w:val="0"/>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restart"/>
                  <w:shd w:val="pct10" w:color="auto" w:fill="auto"/>
                  <w:vAlign w:val="center"/>
                </w:tcPr>
                <w:p>
                  <w:pPr>
                    <w:pStyle w:val="39"/>
                    <w:jc w:val="center"/>
                    <w:rPr>
                      <w:rFonts w:cs="Times New Roman"/>
                      <w:szCs w:val="21"/>
                    </w:rPr>
                  </w:pPr>
                  <w:r>
                    <w:rPr>
                      <w:rFonts w:hint="eastAsia" w:cs="Times New Roman"/>
                      <w:szCs w:val="21"/>
                    </w:rPr>
                    <w:t>颗粒物</w:t>
                  </w:r>
                </w:p>
              </w:tc>
              <w:tc>
                <w:tcPr>
                  <w:tcW w:w="923" w:type="dxa"/>
                  <w:vMerge w:val="restart"/>
                  <w:shd w:val="pct10" w:color="auto" w:fill="auto"/>
                  <w:vAlign w:val="center"/>
                </w:tcPr>
                <w:p>
                  <w:pPr>
                    <w:pStyle w:val="39"/>
                    <w:jc w:val="center"/>
                    <w:rPr>
                      <w:rFonts w:cs="Times New Roman"/>
                      <w:szCs w:val="21"/>
                    </w:rPr>
                  </w:pPr>
                  <w:r>
                    <w:rPr>
                      <w:rFonts w:hint="eastAsia" w:cs="Times New Roman"/>
                      <w:szCs w:val="21"/>
                    </w:rPr>
                    <w:t>1#</w:t>
                  </w:r>
                </w:p>
                <w:p>
                  <w:pPr>
                    <w:pStyle w:val="39"/>
                    <w:jc w:val="center"/>
                    <w:rPr>
                      <w:rFonts w:cs="Times New Roman"/>
                      <w:szCs w:val="21"/>
                    </w:rPr>
                  </w:pPr>
                  <w:r>
                    <w:rPr>
                      <w:rFonts w:hint="eastAsia" w:cs="Times New Roman"/>
                      <w:szCs w:val="21"/>
                    </w:rPr>
                    <w:t>排气筒</w:t>
                  </w:r>
                </w:p>
              </w:tc>
              <w:tc>
                <w:tcPr>
                  <w:tcW w:w="747" w:type="dxa"/>
                  <w:shd w:val="pct10" w:color="auto" w:fill="auto"/>
                  <w:vAlign w:val="center"/>
                </w:tcPr>
                <w:p>
                  <w:pPr>
                    <w:pStyle w:val="39"/>
                    <w:jc w:val="center"/>
                    <w:rPr>
                      <w:rFonts w:cs="Times New Roman"/>
                      <w:szCs w:val="21"/>
                    </w:rPr>
                  </w:pPr>
                  <w:r>
                    <w:rPr>
                      <w:rFonts w:hint="eastAsia" w:cs="Times New Roman"/>
                      <w:szCs w:val="21"/>
                    </w:rPr>
                    <w:t>浓度</w:t>
                  </w:r>
                  <w:r>
                    <w:rPr>
                      <w:rFonts w:hint="eastAsia" w:cs="Times New Roman"/>
                      <w:sz w:val="18"/>
                      <w:szCs w:val="18"/>
                    </w:rPr>
                    <w:t>mg/m</w:t>
                  </w:r>
                  <w:r>
                    <w:rPr>
                      <w:rFonts w:hint="eastAsia" w:cs="Times New Roman"/>
                      <w:sz w:val="18"/>
                      <w:szCs w:val="18"/>
                      <w:vertAlign w:val="superscript"/>
                    </w:rPr>
                    <w:t>3</w:t>
                  </w:r>
                </w:p>
              </w:tc>
              <w:tc>
                <w:tcPr>
                  <w:tcW w:w="1033" w:type="dxa"/>
                  <w:vAlign w:val="center"/>
                </w:tcPr>
                <w:p>
                  <w:pPr>
                    <w:pStyle w:val="39"/>
                    <w:jc w:val="center"/>
                    <w:rPr>
                      <w:rFonts w:cs="Times New Roman"/>
                      <w:b w:val="0"/>
                      <w:szCs w:val="21"/>
                    </w:rPr>
                  </w:pPr>
                  <w:r>
                    <w:rPr>
                      <w:rFonts w:hint="eastAsia" w:cs="Times New Roman"/>
                      <w:b w:val="0"/>
                      <w:szCs w:val="21"/>
                    </w:rPr>
                    <w:t>2.63E-06</w:t>
                  </w:r>
                </w:p>
              </w:tc>
              <w:tc>
                <w:tcPr>
                  <w:tcW w:w="1033" w:type="dxa"/>
                  <w:vAlign w:val="center"/>
                </w:tcPr>
                <w:p>
                  <w:pPr>
                    <w:pStyle w:val="39"/>
                    <w:jc w:val="center"/>
                    <w:rPr>
                      <w:rFonts w:cs="Times New Roman"/>
                      <w:b w:val="0"/>
                      <w:szCs w:val="21"/>
                    </w:rPr>
                  </w:pPr>
                  <w:r>
                    <w:rPr>
                      <w:rFonts w:hint="eastAsia" w:cs="Times New Roman"/>
                      <w:b w:val="0"/>
                      <w:szCs w:val="21"/>
                    </w:rPr>
                    <w:t>8.77E-05</w:t>
                  </w:r>
                </w:p>
              </w:tc>
              <w:tc>
                <w:tcPr>
                  <w:tcW w:w="1033" w:type="dxa"/>
                  <w:vAlign w:val="center"/>
                </w:tcPr>
                <w:p>
                  <w:pPr>
                    <w:pStyle w:val="39"/>
                    <w:jc w:val="center"/>
                    <w:rPr>
                      <w:rFonts w:cs="Times New Roman"/>
                      <w:b w:val="0"/>
                      <w:szCs w:val="21"/>
                    </w:rPr>
                  </w:pPr>
                  <w:r>
                    <w:rPr>
                      <w:rFonts w:hint="eastAsia" w:cs="Times New Roman"/>
                      <w:b w:val="0"/>
                      <w:szCs w:val="21"/>
                    </w:rPr>
                    <w:t>4.17E-04</w:t>
                  </w:r>
                </w:p>
              </w:tc>
              <w:tc>
                <w:tcPr>
                  <w:tcW w:w="1033" w:type="dxa"/>
                  <w:vAlign w:val="center"/>
                </w:tcPr>
                <w:p>
                  <w:pPr>
                    <w:pStyle w:val="39"/>
                    <w:jc w:val="center"/>
                    <w:rPr>
                      <w:rFonts w:cs="Times New Roman"/>
                      <w:b w:val="0"/>
                      <w:szCs w:val="21"/>
                    </w:rPr>
                  </w:pPr>
                  <w:r>
                    <w:rPr>
                      <w:rFonts w:hint="eastAsia" w:cs="Times New Roman"/>
                      <w:b w:val="0"/>
                      <w:szCs w:val="21"/>
                    </w:rPr>
                    <w:t>7.50E-04</w:t>
                  </w:r>
                </w:p>
              </w:tc>
              <w:tc>
                <w:tcPr>
                  <w:tcW w:w="1034" w:type="dxa"/>
                  <w:vAlign w:val="center"/>
                </w:tcPr>
                <w:p>
                  <w:pPr>
                    <w:pStyle w:val="39"/>
                    <w:jc w:val="center"/>
                    <w:rPr>
                      <w:rFonts w:cs="Times New Roman"/>
                      <w:b w:val="0"/>
                      <w:szCs w:val="21"/>
                    </w:rPr>
                  </w:pPr>
                  <w:r>
                    <w:rPr>
                      <w:rFonts w:hint="eastAsia" w:cs="Times New Roman"/>
                      <w:b w:val="0"/>
                      <w:szCs w:val="21"/>
                    </w:rPr>
                    <w:t>7.84E-04</w:t>
                  </w:r>
                </w:p>
              </w:tc>
              <w:tc>
                <w:tcPr>
                  <w:tcW w:w="1034" w:type="dxa"/>
                  <w:vAlign w:val="center"/>
                </w:tcPr>
                <w:p>
                  <w:pPr>
                    <w:pStyle w:val="39"/>
                    <w:jc w:val="center"/>
                    <w:rPr>
                      <w:rFonts w:cs="Times New Roman"/>
                      <w:b w:val="0"/>
                      <w:szCs w:val="21"/>
                    </w:rPr>
                  </w:pPr>
                  <w:r>
                    <w:rPr>
                      <w:rFonts w:hint="eastAsia" w:cs="Times New Roman"/>
                      <w:b w:val="0"/>
                      <w:szCs w:val="21"/>
                    </w:rPr>
                    <w:t>6.47E-04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continue"/>
                  <w:shd w:val="pct10" w:color="auto" w:fill="auto"/>
                  <w:vAlign w:val="center"/>
                </w:tcPr>
                <w:p>
                  <w:pPr>
                    <w:pStyle w:val="39"/>
                    <w:jc w:val="center"/>
                    <w:rPr>
                      <w:rFonts w:cs="Times New Roman"/>
                      <w:szCs w:val="21"/>
                    </w:rPr>
                  </w:pPr>
                </w:p>
              </w:tc>
              <w:tc>
                <w:tcPr>
                  <w:tcW w:w="747" w:type="dxa"/>
                  <w:shd w:val="pct10" w:color="auto" w:fill="auto"/>
                  <w:vAlign w:val="center"/>
                </w:tcPr>
                <w:p>
                  <w:pPr>
                    <w:pStyle w:val="39"/>
                    <w:jc w:val="center"/>
                    <w:rPr>
                      <w:rFonts w:cs="Times New Roman"/>
                      <w:szCs w:val="21"/>
                    </w:rPr>
                  </w:pPr>
                  <w:r>
                    <w:rPr>
                      <w:rFonts w:hint="eastAsia" w:cs="Times New Roman"/>
                      <w:szCs w:val="21"/>
                    </w:rPr>
                    <w:t>占标率%</w:t>
                  </w:r>
                </w:p>
              </w:tc>
              <w:tc>
                <w:tcPr>
                  <w:tcW w:w="1033" w:type="dxa"/>
                  <w:vAlign w:val="center"/>
                </w:tcPr>
                <w:p>
                  <w:pPr>
                    <w:pStyle w:val="39"/>
                    <w:jc w:val="center"/>
                    <w:rPr>
                      <w:rFonts w:cs="Times New Roman"/>
                      <w:b w:val="0"/>
                      <w:szCs w:val="21"/>
                    </w:rPr>
                  </w:pPr>
                  <w:r>
                    <w:rPr>
                      <w:rFonts w:hint="eastAsia" w:cs="Times New Roman"/>
                      <w:b w:val="0"/>
                      <w:szCs w:val="21"/>
                    </w:rPr>
                    <w:t>0.00</w:t>
                  </w:r>
                </w:p>
              </w:tc>
              <w:tc>
                <w:tcPr>
                  <w:tcW w:w="1033" w:type="dxa"/>
                  <w:vAlign w:val="center"/>
                </w:tcPr>
                <w:p>
                  <w:pPr>
                    <w:pStyle w:val="39"/>
                    <w:jc w:val="center"/>
                    <w:rPr>
                      <w:rFonts w:cs="Times New Roman"/>
                      <w:b w:val="0"/>
                      <w:szCs w:val="21"/>
                    </w:rPr>
                  </w:pPr>
                  <w:r>
                    <w:rPr>
                      <w:rFonts w:hint="eastAsia" w:cs="Times New Roman"/>
                      <w:b w:val="0"/>
                      <w:szCs w:val="21"/>
                    </w:rPr>
                    <w:t>0.01</w:t>
                  </w:r>
                </w:p>
              </w:tc>
              <w:tc>
                <w:tcPr>
                  <w:tcW w:w="1033" w:type="dxa"/>
                  <w:vAlign w:val="center"/>
                </w:tcPr>
                <w:p>
                  <w:pPr>
                    <w:pStyle w:val="39"/>
                    <w:jc w:val="center"/>
                    <w:rPr>
                      <w:rFonts w:cs="Times New Roman"/>
                      <w:b w:val="0"/>
                      <w:szCs w:val="21"/>
                    </w:rPr>
                  </w:pPr>
                  <w:r>
                    <w:rPr>
                      <w:rFonts w:hint="eastAsia" w:cs="Times New Roman"/>
                      <w:b w:val="0"/>
                      <w:szCs w:val="21"/>
                    </w:rPr>
                    <w:t>0.05</w:t>
                  </w:r>
                </w:p>
              </w:tc>
              <w:tc>
                <w:tcPr>
                  <w:tcW w:w="1033" w:type="dxa"/>
                  <w:vAlign w:val="center"/>
                </w:tcPr>
                <w:p>
                  <w:pPr>
                    <w:pStyle w:val="39"/>
                    <w:jc w:val="center"/>
                    <w:rPr>
                      <w:rFonts w:cs="Times New Roman"/>
                      <w:b w:val="0"/>
                      <w:szCs w:val="21"/>
                    </w:rPr>
                  </w:pPr>
                  <w:r>
                    <w:rPr>
                      <w:rFonts w:hint="eastAsia" w:cs="Times New Roman"/>
                      <w:b w:val="0"/>
                      <w:szCs w:val="21"/>
                    </w:rPr>
                    <w:t>0.08</w:t>
                  </w:r>
                </w:p>
              </w:tc>
              <w:tc>
                <w:tcPr>
                  <w:tcW w:w="1034" w:type="dxa"/>
                  <w:vAlign w:val="center"/>
                </w:tcPr>
                <w:p>
                  <w:pPr>
                    <w:pStyle w:val="39"/>
                    <w:jc w:val="center"/>
                    <w:rPr>
                      <w:rFonts w:cs="Times New Roman"/>
                      <w:b w:val="0"/>
                      <w:szCs w:val="21"/>
                    </w:rPr>
                  </w:pPr>
                  <w:r>
                    <w:rPr>
                      <w:rFonts w:hint="eastAsia" w:cs="Times New Roman"/>
                      <w:b w:val="0"/>
                      <w:szCs w:val="21"/>
                    </w:rPr>
                    <w:t>0.09</w:t>
                  </w:r>
                </w:p>
              </w:tc>
              <w:tc>
                <w:tcPr>
                  <w:tcW w:w="1034" w:type="dxa"/>
                  <w:vAlign w:val="center"/>
                </w:tcPr>
                <w:p>
                  <w:pPr>
                    <w:pStyle w:val="39"/>
                    <w:jc w:val="center"/>
                    <w:rPr>
                      <w:rFonts w:cs="Times New Roman"/>
                      <w:b w:val="0"/>
                      <w:szCs w:val="21"/>
                    </w:rPr>
                  </w:pPr>
                  <w:r>
                    <w:rPr>
                      <w:rFonts w:hint="eastAsia" w:cs="Times New Roman"/>
                      <w:b w:val="0"/>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restart"/>
                  <w:shd w:val="pct10" w:color="auto" w:fill="auto"/>
                  <w:vAlign w:val="center"/>
                </w:tcPr>
                <w:p>
                  <w:pPr>
                    <w:pStyle w:val="39"/>
                    <w:jc w:val="center"/>
                    <w:rPr>
                      <w:rFonts w:cs="Times New Roman"/>
                      <w:szCs w:val="21"/>
                    </w:rPr>
                  </w:pPr>
                  <w:r>
                    <w:rPr>
                      <w:rFonts w:hint="eastAsia" w:cs="Times New Roman"/>
                      <w:szCs w:val="21"/>
                    </w:rPr>
                    <w:t>2#</w:t>
                  </w:r>
                </w:p>
                <w:p>
                  <w:pPr>
                    <w:pStyle w:val="39"/>
                    <w:jc w:val="center"/>
                    <w:rPr>
                      <w:rFonts w:cs="Times New Roman"/>
                      <w:szCs w:val="21"/>
                    </w:rPr>
                  </w:pPr>
                  <w:r>
                    <w:rPr>
                      <w:rFonts w:hint="eastAsia" w:cs="Times New Roman"/>
                      <w:szCs w:val="21"/>
                    </w:rPr>
                    <w:t>排气筒</w:t>
                  </w:r>
                </w:p>
              </w:tc>
              <w:tc>
                <w:tcPr>
                  <w:tcW w:w="747" w:type="dxa"/>
                  <w:shd w:val="pct10" w:color="auto" w:fill="auto"/>
                  <w:vAlign w:val="center"/>
                </w:tcPr>
                <w:p>
                  <w:pPr>
                    <w:pStyle w:val="39"/>
                    <w:jc w:val="center"/>
                    <w:rPr>
                      <w:rFonts w:cs="Times New Roman"/>
                      <w:szCs w:val="21"/>
                    </w:rPr>
                  </w:pPr>
                  <w:r>
                    <w:rPr>
                      <w:rFonts w:hint="eastAsia" w:cs="Times New Roman"/>
                      <w:szCs w:val="21"/>
                    </w:rPr>
                    <w:t>浓度</w:t>
                  </w:r>
                  <w:r>
                    <w:rPr>
                      <w:rFonts w:hint="eastAsia" w:cs="Times New Roman"/>
                      <w:sz w:val="18"/>
                      <w:szCs w:val="18"/>
                    </w:rPr>
                    <w:t>mg/m</w:t>
                  </w:r>
                  <w:r>
                    <w:rPr>
                      <w:rFonts w:hint="eastAsia" w:cs="Times New Roman"/>
                      <w:sz w:val="18"/>
                      <w:szCs w:val="18"/>
                      <w:vertAlign w:val="superscript"/>
                    </w:rPr>
                    <w:t>3</w:t>
                  </w:r>
                </w:p>
              </w:tc>
              <w:tc>
                <w:tcPr>
                  <w:tcW w:w="1033" w:type="dxa"/>
                  <w:vAlign w:val="center"/>
                </w:tcPr>
                <w:p>
                  <w:pPr>
                    <w:pStyle w:val="39"/>
                    <w:jc w:val="center"/>
                    <w:rPr>
                      <w:rFonts w:cs="Times New Roman"/>
                      <w:b w:val="0"/>
                      <w:szCs w:val="21"/>
                    </w:rPr>
                  </w:pPr>
                  <w:r>
                    <w:rPr>
                      <w:rFonts w:hint="eastAsia" w:cs="Times New Roman"/>
                      <w:b w:val="0"/>
                      <w:szCs w:val="21"/>
                    </w:rPr>
                    <w:t>2.63E-07</w:t>
                  </w:r>
                </w:p>
              </w:tc>
              <w:tc>
                <w:tcPr>
                  <w:tcW w:w="1033" w:type="dxa"/>
                  <w:vAlign w:val="center"/>
                </w:tcPr>
                <w:p>
                  <w:pPr>
                    <w:pStyle w:val="39"/>
                    <w:jc w:val="center"/>
                    <w:rPr>
                      <w:rFonts w:cs="Times New Roman"/>
                      <w:b w:val="0"/>
                      <w:szCs w:val="21"/>
                    </w:rPr>
                  </w:pPr>
                  <w:r>
                    <w:rPr>
                      <w:rFonts w:hint="eastAsia" w:cs="Times New Roman"/>
                      <w:b w:val="0"/>
                      <w:szCs w:val="21"/>
                    </w:rPr>
                    <w:t>8.77E-06</w:t>
                  </w:r>
                </w:p>
              </w:tc>
              <w:tc>
                <w:tcPr>
                  <w:tcW w:w="1033" w:type="dxa"/>
                  <w:vAlign w:val="center"/>
                </w:tcPr>
                <w:p>
                  <w:pPr>
                    <w:pStyle w:val="39"/>
                    <w:jc w:val="center"/>
                    <w:rPr>
                      <w:rFonts w:cs="Times New Roman"/>
                      <w:b w:val="0"/>
                      <w:szCs w:val="21"/>
                    </w:rPr>
                  </w:pPr>
                  <w:r>
                    <w:rPr>
                      <w:rFonts w:hint="eastAsia" w:cs="Times New Roman"/>
                      <w:b w:val="0"/>
                      <w:szCs w:val="21"/>
                    </w:rPr>
                    <w:t>4.17E-05</w:t>
                  </w:r>
                </w:p>
              </w:tc>
              <w:tc>
                <w:tcPr>
                  <w:tcW w:w="1033" w:type="dxa"/>
                  <w:vAlign w:val="center"/>
                </w:tcPr>
                <w:p>
                  <w:pPr>
                    <w:pStyle w:val="39"/>
                    <w:jc w:val="center"/>
                    <w:rPr>
                      <w:rFonts w:cs="Times New Roman"/>
                      <w:b w:val="0"/>
                      <w:szCs w:val="21"/>
                    </w:rPr>
                  </w:pPr>
                  <w:r>
                    <w:rPr>
                      <w:rFonts w:hint="eastAsia" w:cs="Times New Roman"/>
                      <w:b w:val="0"/>
                      <w:szCs w:val="21"/>
                    </w:rPr>
                    <w:t>7.50E-05</w:t>
                  </w:r>
                </w:p>
              </w:tc>
              <w:tc>
                <w:tcPr>
                  <w:tcW w:w="1034" w:type="dxa"/>
                  <w:vAlign w:val="center"/>
                </w:tcPr>
                <w:p>
                  <w:pPr>
                    <w:pStyle w:val="39"/>
                    <w:jc w:val="center"/>
                    <w:rPr>
                      <w:rFonts w:cs="Times New Roman"/>
                      <w:b w:val="0"/>
                      <w:szCs w:val="21"/>
                    </w:rPr>
                  </w:pPr>
                  <w:r>
                    <w:rPr>
                      <w:rFonts w:hint="eastAsia" w:cs="Times New Roman"/>
                      <w:b w:val="0"/>
                      <w:szCs w:val="21"/>
                    </w:rPr>
                    <w:t>7.84E-05</w:t>
                  </w:r>
                </w:p>
              </w:tc>
              <w:tc>
                <w:tcPr>
                  <w:tcW w:w="1034" w:type="dxa"/>
                  <w:vAlign w:val="center"/>
                </w:tcPr>
                <w:p>
                  <w:pPr>
                    <w:pStyle w:val="39"/>
                    <w:jc w:val="center"/>
                    <w:rPr>
                      <w:rFonts w:cs="Times New Roman"/>
                      <w:b w:val="0"/>
                      <w:szCs w:val="21"/>
                    </w:rPr>
                  </w:pPr>
                  <w:r>
                    <w:rPr>
                      <w:rFonts w:hint="eastAsia" w:cs="Times New Roman"/>
                      <w:b w:val="0"/>
                      <w:szCs w:val="21"/>
                    </w:rPr>
                    <w:t>6.47E-05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continue"/>
                  <w:shd w:val="pct10" w:color="auto" w:fill="auto"/>
                  <w:vAlign w:val="center"/>
                </w:tcPr>
                <w:p>
                  <w:pPr>
                    <w:pStyle w:val="39"/>
                    <w:jc w:val="center"/>
                    <w:rPr>
                      <w:rFonts w:cs="Times New Roman"/>
                      <w:szCs w:val="21"/>
                    </w:rPr>
                  </w:pPr>
                </w:p>
              </w:tc>
              <w:tc>
                <w:tcPr>
                  <w:tcW w:w="747" w:type="dxa"/>
                  <w:shd w:val="pct10" w:color="auto" w:fill="auto"/>
                  <w:vAlign w:val="center"/>
                </w:tcPr>
                <w:p>
                  <w:pPr>
                    <w:pStyle w:val="39"/>
                    <w:jc w:val="center"/>
                    <w:rPr>
                      <w:rFonts w:cs="Times New Roman"/>
                      <w:szCs w:val="21"/>
                    </w:rPr>
                  </w:pPr>
                  <w:r>
                    <w:rPr>
                      <w:rFonts w:hint="eastAsia" w:cs="Times New Roman"/>
                      <w:szCs w:val="21"/>
                    </w:rPr>
                    <w:t>占标率%</w:t>
                  </w:r>
                </w:p>
              </w:tc>
              <w:tc>
                <w:tcPr>
                  <w:tcW w:w="1033" w:type="dxa"/>
                  <w:vAlign w:val="center"/>
                </w:tcPr>
                <w:p>
                  <w:pPr>
                    <w:pStyle w:val="39"/>
                    <w:jc w:val="center"/>
                    <w:rPr>
                      <w:rFonts w:cs="Times New Roman"/>
                      <w:b w:val="0"/>
                      <w:szCs w:val="21"/>
                    </w:rPr>
                  </w:pPr>
                  <w:r>
                    <w:rPr>
                      <w:rFonts w:hint="eastAsia" w:cs="Times New Roman"/>
                      <w:b w:val="0"/>
                      <w:szCs w:val="21"/>
                    </w:rPr>
                    <w:t>0.00</w:t>
                  </w:r>
                </w:p>
              </w:tc>
              <w:tc>
                <w:tcPr>
                  <w:tcW w:w="1033" w:type="dxa"/>
                  <w:vAlign w:val="center"/>
                </w:tcPr>
                <w:p>
                  <w:pPr>
                    <w:pStyle w:val="39"/>
                    <w:jc w:val="center"/>
                    <w:rPr>
                      <w:rFonts w:cs="Times New Roman"/>
                      <w:b w:val="0"/>
                      <w:szCs w:val="21"/>
                    </w:rPr>
                  </w:pPr>
                  <w:r>
                    <w:rPr>
                      <w:rFonts w:hint="eastAsia" w:cs="Times New Roman"/>
                      <w:b w:val="0"/>
                      <w:szCs w:val="21"/>
                    </w:rPr>
                    <w:t>0.00</w:t>
                  </w:r>
                </w:p>
              </w:tc>
              <w:tc>
                <w:tcPr>
                  <w:tcW w:w="1033" w:type="dxa"/>
                  <w:vAlign w:val="center"/>
                </w:tcPr>
                <w:p>
                  <w:pPr>
                    <w:pStyle w:val="39"/>
                    <w:jc w:val="center"/>
                    <w:rPr>
                      <w:rFonts w:cs="Times New Roman"/>
                      <w:b w:val="0"/>
                      <w:szCs w:val="21"/>
                    </w:rPr>
                  </w:pPr>
                  <w:r>
                    <w:rPr>
                      <w:rFonts w:hint="eastAsia" w:cs="Times New Roman"/>
                      <w:b w:val="0"/>
                      <w:szCs w:val="21"/>
                    </w:rPr>
                    <w:t>0.00</w:t>
                  </w:r>
                </w:p>
              </w:tc>
              <w:tc>
                <w:tcPr>
                  <w:tcW w:w="1033" w:type="dxa"/>
                  <w:vAlign w:val="center"/>
                </w:tcPr>
                <w:p>
                  <w:pPr>
                    <w:pStyle w:val="39"/>
                    <w:jc w:val="center"/>
                    <w:rPr>
                      <w:rFonts w:cs="Times New Roman"/>
                      <w:b w:val="0"/>
                      <w:szCs w:val="21"/>
                    </w:rPr>
                  </w:pPr>
                  <w:r>
                    <w:rPr>
                      <w:rFonts w:hint="eastAsia" w:cs="Times New Roman"/>
                      <w:b w:val="0"/>
                      <w:szCs w:val="21"/>
                    </w:rPr>
                    <w:t>0.01</w:t>
                  </w:r>
                </w:p>
              </w:tc>
              <w:tc>
                <w:tcPr>
                  <w:tcW w:w="1034" w:type="dxa"/>
                  <w:vAlign w:val="center"/>
                </w:tcPr>
                <w:p>
                  <w:pPr>
                    <w:pStyle w:val="39"/>
                    <w:jc w:val="center"/>
                    <w:rPr>
                      <w:rFonts w:cs="Times New Roman"/>
                      <w:b w:val="0"/>
                      <w:szCs w:val="21"/>
                    </w:rPr>
                  </w:pPr>
                  <w:r>
                    <w:rPr>
                      <w:rFonts w:hint="eastAsia" w:cs="Times New Roman"/>
                      <w:b w:val="0"/>
                      <w:szCs w:val="21"/>
                    </w:rPr>
                    <w:t>0.01</w:t>
                  </w:r>
                </w:p>
              </w:tc>
              <w:tc>
                <w:tcPr>
                  <w:tcW w:w="1034" w:type="dxa"/>
                  <w:vAlign w:val="center"/>
                </w:tcPr>
                <w:p>
                  <w:pPr>
                    <w:pStyle w:val="39"/>
                    <w:jc w:val="center"/>
                    <w:rPr>
                      <w:rFonts w:cs="Times New Roman"/>
                      <w:b w:val="0"/>
                      <w:szCs w:val="21"/>
                    </w:rPr>
                  </w:pPr>
                  <w:r>
                    <w:rPr>
                      <w:rFonts w:hint="eastAsia" w:cs="Times New Roman"/>
                      <w:b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restart"/>
                  <w:shd w:val="pct10" w:color="auto" w:fill="auto"/>
                  <w:vAlign w:val="center"/>
                </w:tcPr>
                <w:p>
                  <w:pPr>
                    <w:pStyle w:val="39"/>
                    <w:jc w:val="center"/>
                    <w:rPr>
                      <w:rFonts w:cs="Times New Roman"/>
                      <w:szCs w:val="21"/>
                    </w:rPr>
                  </w:pPr>
                  <w:r>
                    <w:rPr>
                      <w:rFonts w:hint="eastAsia" w:cs="Times New Roman"/>
                      <w:szCs w:val="21"/>
                    </w:rPr>
                    <w:t>3#</w:t>
                  </w:r>
                </w:p>
                <w:p>
                  <w:pPr>
                    <w:pStyle w:val="39"/>
                    <w:jc w:val="center"/>
                    <w:rPr>
                      <w:rFonts w:cs="Times New Roman"/>
                      <w:szCs w:val="21"/>
                    </w:rPr>
                  </w:pPr>
                  <w:r>
                    <w:rPr>
                      <w:rFonts w:hint="eastAsia" w:cs="Times New Roman"/>
                      <w:szCs w:val="21"/>
                    </w:rPr>
                    <w:t>排气筒</w:t>
                  </w:r>
                </w:p>
              </w:tc>
              <w:tc>
                <w:tcPr>
                  <w:tcW w:w="747" w:type="dxa"/>
                  <w:shd w:val="pct10" w:color="auto" w:fill="auto"/>
                  <w:vAlign w:val="center"/>
                </w:tcPr>
                <w:p>
                  <w:pPr>
                    <w:pStyle w:val="39"/>
                    <w:jc w:val="center"/>
                    <w:rPr>
                      <w:rFonts w:cs="Times New Roman"/>
                      <w:szCs w:val="21"/>
                    </w:rPr>
                  </w:pPr>
                  <w:r>
                    <w:rPr>
                      <w:rFonts w:hint="eastAsia" w:cs="Times New Roman"/>
                      <w:szCs w:val="21"/>
                    </w:rPr>
                    <w:t>浓度</w:t>
                  </w:r>
                  <w:r>
                    <w:rPr>
                      <w:rFonts w:hint="eastAsia" w:cs="Times New Roman"/>
                      <w:sz w:val="18"/>
                      <w:szCs w:val="18"/>
                    </w:rPr>
                    <w:t>mg/m</w:t>
                  </w:r>
                  <w:r>
                    <w:rPr>
                      <w:rFonts w:hint="eastAsia" w:cs="Times New Roman"/>
                      <w:sz w:val="18"/>
                      <w:szCs w:val="18"/>
                      <w:vertAlign w:val="superscript"/>
                    </w:rPr>
                    <w:t>3</w:t>
                  </w:r>
                </w:p>
              </w:tc>
              <w:tc>
                <w:tcPr>
                  <w:tcW w:w="1033" w:type="dxa"/>
                  <w:vAlign w:val="center"/>
                </w:tcPr>
                <w:p>
                  <w:pPr>
                    <w:pStyle w:val="39"/>
                    <w:jc w:val="center"/>
                    <w:rPr>
                      <w:rFonts w:cs="Times New Roman"/>
                      <w:b w:val="0"/>
                      <w:szCs w:val="21"/>
                    </w:rPr>
                  </w:pPr>
                  <w:r>
                    <w:rPr>
                      <w:rFonts w:cs="Times New Roman"/>
                      <w:b w:val="0"/>
                      <w:szCs w:val="21"/>
                    </w:rPr>
                    <w:t>6.26E-05</w:t>
                  </w:r>
                </w:p>
              </w:tc>
              <w:tc>
                <w:tcPr>
                  <w:tcW w:w="1033" w:type="dxa"/>
                  <w:vAlign w:val="center"/>
                </w:tcPr>
                <w:p>
                  <w:pPr>
                    <w:pStyle w:val="39"/>
                    <w:jc w:val="center"/>
                    <w:rPr>
                      <w:rFonts w:cs="Times New Roman"/>
                      <w:b w:val="0"/>
                      <w:szCs w:val="21"/>
                    </w:rPr>
                  </w:pPr>
                  <w:r>
                    <w:rPr>
                      <w:rFonts w:cs="Times New Roman"/>
                      <w:b w:val="0"/>
                      <w:szCs w:val="21"/>
                    </w:rPr>
                    <w:t>1.86E-03</w:t>
                  </w:r>
                </w:p>
              </w:tc>
              <w:tc>
                <w:tcPr>
                  <w:tcW w:w="1033" w:type="dxa"/>
                  <w:vAlign w:val="center"/>
                </w:tcPr>
                <w:p>
                  <w:pPr>
                    <w:pStyle w:val="39"/>
                    <w:jc w:val="center"/>
                    <w:rPr>
                      <w:rFonts w:cs="Times New Roman"/>
                      <w:b w:val="0"/>
                      <w:szCs w:val="21"/>
                    </w:rPr>
                  </w:pPr>
                  <w:r>
                    <w:rPr>
                      <w:rFonts w:cs="Times New Roman"/>
                      <w:b w:val="0"/>
                      <w:szCs w:val="21"/>
                    </w:rPr>
                    <w:t>7.80E-03</w:t>
                  </w:r>
                </w:p>
              </w:tc>
              <w:tc>
                <w:tcPr>
                  <w:tcW w:w="1033" w:type="dxa"/>
                  <w:vAlign w:val="center"/>
                </w:tcPr>
                <w:p>
                  <w:pPr>
                    <w:pStyle w:val="39"/>
                    <w:jc w:val="center"/>
                    <w:rPr>
                      <w:rFonts w:cs="Times New Roman"/>
                      <w:b w:val="0"/>
                      <w:szCs w:val="21"/>
                    </w:rPr>
                  </w:pPr>
                  <w:r>
                    <w:rPr>
                      <w:rFonts w:cs="Times New Roman"/>
                      <w:b w:val="0"/>
                      <w:szCs w:val="21"/>
                    </w:rPr>
                    <w:t>1.16E-02</w:t>
                  </w:r>
                </w:p>
              </w:tc>
              <w:tc>
                <w:tcPr>
                  <w:tcW w:w="1034" w:type="dxa"/>
                  <w:vAlign w:val="center"/>
                </w:tcPr>
                <w:p>
                  <w:pPr>
                    <w:pStyle w:val="39"/>
                    <w:jc w:val="center"/>
                    <w:rPr>
                      <w:rFonts w:cs="Times New Roman"/>
                      <w:b w:val="0"/>
                      <w:szCs w:val="21"/>
                    </w:rPr>
                  </w:pPr>
                  <w:r>
                    <w:rPr>
                      <w:rFonts w:hint="eastAsia" w:cs="Times New Roman"/>
                      <w:b w:val="0"/>
                      <w:szCs w:val="21"/>
                    </w:rPr>
                    <w:t>1.13E-02</w:t>
                  </w:r>
                </w:p>
              </w:tc>
              <w:tc>
                <w:tcPr>
                  <w:tcW w:w="1034" w:type="dxa"/>
                  <w:vAlign w:val="center"/>
                </w:tcPr>
                <w:p>
                  <w:pPr>
                    <w:pStyle w:val="39"/>
                    <w:jc w:val="center"/>
                    <w:rPr>
                      <w:rFonts w:cs="Times New Roman"/>
                      <w:b w:val="0"/>
                      <w:szCs w:val="21"/>
                    </w:rPr>
                  </w:pPr>
                  <w:r>
                    <w:rPr>
                      <w:rFonts w:hint="eastAsia" w:cs="Times New Roman"/>
                      <w:b w:val="0"/>
                      <w:szCs w:val="21"/>
                    </w:rPr>
                    <w:t>8.66E-03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continue"/>
                  <w:shd w:val="pct10" w:color="auto" w:fill="auto"/>
                  <w:vAlign w:val="center"/>
                </w:tcPr>
                <w:p>
                  <w:pPr>
                    <w:pStyle w:val="39"/>
                    <w:jc w:val="center"/>
                    <w:rPr>
                      <w:rFonts w:cs="Times New Roman"/>
                      <w:szCs w:val="21"/>
                    </w:rPr>
                  </w:pPr>
                </w:p>
              </w:tc>
              <w:tc>
                <w:tcPr>
                  <w:tcW w:w="747" w:type="dxa"/>
                  <w:shd w:val="pct10" w:color="auto" w:fill="auto"/>
                  <w:vAlign w:val="center"/>
                </w:tcPr>
                <w:p>
                  <w:pPr>
                    <w:pStyle w:val="39"/>
                    <w:jc w:val="center"/>
                    <w:rPr>
                      <w:rFonts w:cs="Times New Roman"/>
                      <w:szCs w:val="21"/>
                    </w:rPr>
                  </w:pPr>
                  <w:r>
                    <w:rPr>
                      <w:rFonts w:hint="eastAsia" w:cs="Times New Roman"/>
                      <w:szCs w:val="21"/>
                    </w:rPr>
                    <w:t>占标率%</w:t>
                  </w:r>
                </w:p>
              </w:tc>
              <w:tc>
                <w:tcPr>
                  <w:tcW w:w="1033" w:type="dxa"/>
                  <w:vAlign w:val="center"/>
                </w:tcPr>
                <w:p>
                  <w:pPr>
                    <w:pStyle w:val="39"/>
                    <w:jc w:val="center"/>
                    <w:rPr>
                      <w:rFonts w:cs="Times New Roman"/>
                      <w:b w:val="0"/>
                      <w:szCs w:val="21"/>
                    </w:rPr>
                  </w:pPr>
                  <w:r>
                    <w:rPr>
                      <w:rFonts w:hint="eastAsia" w:cs="Times New Roman"/>
                      <w:b w:val="0"/>
                      <w:szCs w:val="21"/>
                    </w:rPr>
                    <w:t>0.01</w:t>
                  </w:r>
                </w:p>
              </w:tc>
              <w:tc>
                <w:tcPr>
                  <w:tcW w:w="1033" w:type="dxa"/>
                  <w:vAlign w:val="center"/>
                </w:tcPr>
                <w:p>
                  <w:pPr>
                    <w:pStyle w:val="39"/>
                    <w:jc w:val="center"/>
                    <w:rPr>
                      <w:rFonts w:cs="Times New Roman"/>
                      <w:b w:val="0"/>
                      <w:szCs w:val="21"/>
                    </w:rPr>
                  </w:pPr>
                  <w:r>
                    <w:rPr>
                      <w:rFonts w:hint="eastAsia" w:cs="Times New Roman"/>
                      <w:b w:val="0"/>
                      <w:szCs w:val="21"/>
                    </w:rPr>
                    <w:t>0.21</w:t>
                  </w:r>
                </w:p>
              </w:tc>
              <w:tc>
                <w:tcPr>
                  <w:tcW w:w="1033" w:type="dxa"/>
                  <w:vAlign w:val="center"/>
                </w:tcPr>
                <w:p>
                  <w:pPr>
                    <w:pStyle w:val="39"/>
                    <w:jc w:val="center"/>
                    <w:rPr>
                      <w:rFonts w:cs="Times New Roman"/>
                      <w:b w:val="0"/>
                      <w:szCs w:val="21"/>
                    </w:rPr>
                  </w:pPr>
                  <w:r>
                    <w:rPr>
                      <w:rFonts w:hint="eastAsia" w:cs="Times New Roman"/>
                      <w:b w:val="0"/>
                      <w:szCs w:val="21"/>
                    </w:rPr>
                    <w:t>0.87</w:t>
                  </w:r>
                </w:p>
              </w:tc>
              <w:tc>
                <w:tcPr>
                  <w:tcW w:w="1033" w:type="dxa"/>
                  <w:vAlign w:val="center"/>
                </w:tcPr>
                <w:p>
                  <w:pPr>
                    <w:pStyle w:val="39"/>
                    <w:jc w:val="center"/>
                    <w:rPr>
                      <w:rFonts w:cs="Times New Roman"/>
                      <w:b w:val="0"/>
                      <w:szCs w:val="21"/>
                    </w:rPr>
                  </w:pPr>
                  <w:r>
                    <w:rPr>
                      <w:rFonts w:hint="eastAsia" w:cs="Times New Roman"/>
                      <w:b w:val="0"/>
                      <w:szCs w:val="21"/>
                    </w:rPr>
                    <w:t>1.29</w:t>
                  </w:r>
                </w:p>
              </w:tc>
              <w:tc>
                <w:tcPr>
                  <w:tcW w:w="1034" w:type="dxa"/>
                  <w:vAlign w:val="center"/>
                </w:tcPr>
                <w:p>
                  <w:pPr>
                    <w:pStyle w:val="39"/>
                    <w:jc w:val="center"/>
                    <w:rPr>
                      <w:rFonts w:cs="Times New Roman"/>
                      <w:b w:val="0"/>
                      <w:szCs w:val="21"/>
                    </w:rPr>
                  </w:pPr>
                  <w:r>
                    <w:rPr>
                      <w:rFonts w:hint="eastAsia" w:cs="Times New Roman"/>
                      <w:b w:val="0"/>
                      <w:szCs w:val="21"/>
                    </w:rPr>
                    <w:t>1.25</w:t>
                  </w:r>
                </w:p>
              </w:tc>
              <w:tc>
                <w:tcPr>
                  <w:tcW w:w="1034" w:type="dxa"/>
                  <w:vAlign w:val="center"/>
                </w:tcPr>
                <w:p>
                  <w:pPr>
                    <w:pStyle w:val="39"/>
                    <w:jc w:val="center"/>
                    <w:rPr>
                      <w:rFonts w:cs="Times New Roman"/>
                      <w:b w:val="0"/>
                      <w:szCs w:val="21"/>
                    </w:rPr>
                  </w:pPr>
                  <w:r>
                    <w:rPr>
                      <w:rFonts w:hint="eastAsia" w:cs="Times New Roman"/>
                      <w:b w:val="0"/>
                      <w:szCs w:val="21"/>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restart"/>
                  <w:shd w:val="pct10" w:color="auto" w:fill="auto"/>
                  <w:vAlign w:val="center"/>
                </w:tcPr>
                <w:p>
                  <w:pPr>
                    <w:pStyle w:val="39"/>
                    <w:jc w:val="center"/>
                    <w:rPr>
                      <w:rFonts w:cs="Times New Roman"/>
                      <w:szCs w:val="21"/>
                    </w:rPr>
                  </w:pPr>
                  <w:r>
                    <w:rPr>
                      <w:rFonts w:hint="eastAsia" w:cs="Times New Roman"/>
                      <w:szCs w:val="21"/>
                    </w:rPr>
                    <w:t>废弃</w:t>
                  </w:r>
                </w:p>
                <w:p>
                  <w:pPr>
                    <w:pStyle w:val="39"/>
                    <w:jc w:val="center"/>
                    <w:rPr>
                      <w:rFonts w:cs="Times New Roman"/>
                      <w:szCs w:val="21"/>
                    </w:rPr>
                  </w:pPr>
                  <w:r>
                    <w:rPr>
                      <w:rFonts w:hint="eastAsia" w:cs="Times New Roman"/>
                      <w:szCs w:val="21"/>
                    </w:rPr>
                    <w:t>家电</w:t>
                  </w:r>
                </w:p>
                <w:p>
                  <w:pPr>
                    <w:pStyle w:val="39"/>
                    <w:jc w:val="center"/>
                    <w:rPr>
                      <w:rFonts w:cs="Times New Roman"/>
                      <w:szCs w:val="21"/>
                    </w:rPr>
                  </w:pPr>
                  <w:r>
                    <w:rPr>
                      <w:rFonts w:hint="eastAsia" w:cs="Times New Roman"/>
                      <w:szCs w:val="21"/>
                    </w:rPr>
                    <w:t>拆解加工车间</w:t>
                  </w:r>
                </w:p>
              </w:tc>
              <w:tc>
                <w:tcPr>
                  <w:tcW w:w="747" w:type="dxa"/>
                  <w:shd w:val="pct10" w:color="auto" w:fill="auto"/>
                  <w:vAlign w:val="center"/>
                </w:tcPr>
                <w:p>
                  <w:pPr>
                    <w:pStyle w:val="39"/>
                    <w:jc w:val="center"/>
                    <w:rPr>
                      <w:rFonts w:cs="Times New Roman"/>
                      <w:szCs w:val="21"/>
                    </w:rPr>
                  </w:pPr>
                  <w:r>
                    <w:rPr>
                      <w:rFonts w:hint="eastAsia" w:cs="Times New Roman"/>
                      <w:szCs w:val="21"/>
                    </w:rPr>
                    <w:t>浓度</w:t>
                  </w:r>
                  <w:r>
                    <w:rPr>
                      <w:rFonts w:hint="eastAsia" w:cs="Times New Roman"/>
                      <w:sz w:val="18"/>
                      <w:szCs w:val="18"/>
                    </w:rPr>
                    <w:t>mg/m</w:t>
                  </w:r>
                  <w:r>
                    <w:rPr>
                      <w:rFonts w:hint="eastAsia" w:cs="Times New Roman"/>
                      <w:sz w:val="18"/>
                      <w:szCs w:val="18"/>
                      <w:vertAlign w:val="superscript"/>
                    </w:rPr>
                    <w:t>3</w:t>
                  </w:r>
                </w:p>
              </w:tc>
              <w:tc>
                <w:tcPr>
                  <w:tcW w:w="1033" w:type="dxa"/>
                  <w:vAlign w:val="center"/>
                </w:tcPr>
                <w:p>
                  <w:pPr>
                    <w:pStyle w:val="39"/>
                    <w:jc w:val="center"/>
                    <w:rPr>
                      <w:rFonts w:cs="Times New Roman"/>
                      <w:b w:val="0"/>
                      <w:szCs w:val="21"/>
                    </w:rPr>
                  </w:pPr>
                  <w:r>
                    <w:rPr>
                      <w:rFonts w:hint="eastAsia" w:cs="Times New Roman"/>
                      <w:b w:val="0"/>
                      <w:szCs w:val="21"/>
                    </w:rPr>
                    <w:t>1.22E-02</w:t>
                  </w:r>
                </w:p>
              </w:tc>
              <w:tc>
                <w:tcPr>
                  <w:tcW w:w="1033" w:type="dxa"/>
                  <w:vAlign w:val="center"/>
                </w:tcPr>
                <w:p>
                  <w:pPr>
                    <w:pStyle w:val="39"/>
                    <w:jc w:val="center"/>
                    <w:rPr>
                      <w:rFonts w:cs="Times New Roman"/>
                      <w:b w:val="0"/>
                      <w:szCs w:val="21"/>
                    </w:rPr>
                  </w:pPr>
                  <w:r>
                    <w:rPr>
                      <w:rFonts w:hint="eastAsia" w:cs="Times New Roman"/>
                      <w:b w:val="0"/>
                      <w:szCs w:val="21"/>
                    </w:rPr>
                    <w:t>1.32E-02</w:t>
                  </w:r>
                </w:p>
              </w:tc>
              <w:tc>
                <w:tcPr>
                  <w:tcW w:w="1033" w:type="dxa"/>
                  <w:vAlign w:val="center"/>
                </w:tcPr>
                <w:p>
                  <w:pPr>
                    <w:pStyle w:val="39"/>
                    <w:jc w:val="center"/>
                    <w:rPr>
                      <w:rFonts w:cs="Times New Roman"/>
                      <w:b w:val="0"/>
                      <w:szCs w:val="21"/>
                    </w:rPr>
                  </w:pPr>
                  <w:r>
                    <w:rPr>
                      <w:rFonts w:hint="eastAsia" w:cs="Times New Roman"/>
                      <w:b w:val="0"/>
                      <w:szCs w:val="21"/>
                    </w:rPr>
                    <w:t>1.47E-02</w:t>
                  </w:r>
                </w:p>
              </w:tc>
              <w:tc>
                <w:tcPr>
                  <w:tcW w:w="1033" w:type="dxa"/>
                  <w:vAlign w:val="center"/>
                </w:tcPr>
                <w:p>
                  <w:pPr>
                    <w:pStyle w:val="39"/>
                    <w:jc w:val="center"/>
                    <w:rPr>
                      <w:rFonts w:cs="Times New Roman"/>
                      <w:b w:val="0"/>
                      <w:szCs w:val="21"/>
                    </w:rPr>
                  </w:pPr>
                  <w:r>
                    <w:rPr>
                      <w:rFonts w:hint="eastAsia" w:cs="Times New Roman"/>
                      <w:b w:val="0"/>
                      <w:szCs w:val="21"/>
                    </w:rPr>
                    <w:t>1.61E-02</w:t>
                  </w:r>
                </w:p>
              </w:tc>
              <w:tc>
                <w:tcPr>
                  <w:tcW w:w="1034" w:type="dxa"/>
                  <w:vAlign w:val="center"/>
                </w:tcPr>
                <w:p>
                  <w:pPr>
                    <w:pStyle w:val="39"/>
                    <w:jc w:val="center"/>
                    <w:rPr>
                      <w:rFonts w:cs="Times New Roman"/>
                      <w:b w:val="0"/>
                      <w:szCs w:val="21"/>
                    </w:rPr>
                  </w:pPr>
                  <w:r>
                    <w:rPr>
                      <w:rFonts w:hint="eastAsia" w:cs="Times New Roman"/>
                      <w:b w:val="0"/>
                      <w:szCs w:val="21"/>
                    </w:rPr>
                    <w:t>1.72E-02</w:t>
                  </w:r>
                </w:p>
              </w:tc>
              <w:tc>
                <w:tcPr>
                  <w:tcW w:w="1034" w:type="dxa"/>
                  <w:vAlign w:val="center"/>
                </w:tcPr>
                <w:p>
                  <w:pPr>
                    <w:pStyle w:val="39"/>
                    <w:jc w:val="center"/>
                    <w:rPr>
                      <w:rFonts w:cs="Times New Roman"/>
                      <w:b w:val="0"/>
                      <w:szCs w:val="21"/>
                    </w:rPr>
                  </w:pPr>
                  <w:r>
                    <w:rPr>
                      <w:rFonts w:hint="eastAsia" w:cs="Times New Roman"/>
                      <w:b w:val="0"/>
                      <w:szCs w:val="21"/>
                    </w:rPr>
                    <w:t>1.49E-02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continue"/>
                  <w:shd w:val="pct10" w:color="auto" w:fill="auto"/>
                  <w:vAlign w:val="center"/>
                </w:tcPr>
                <w:p>
                  <w:pPr>
                    <w:pStyle w:val="39"/>
                    <w:jc w:val="center"/>
                    <w:rPr>
                      <w:rFonts w:cs="Times New Roman"/>
                      <w:szCs w:val="21"/>
                    </w:rPr>
                  </w:pPr>
                </w:p>
              </w:tc>
              <w:tc>
                <w:tcPr>
                  <w:tcW w:w="747" w:type="dxa"/>
                  <w:shd w:val="pct10" w:color="auto" w:fill="auto"/>
                  <w:vAlign w:val="center"/>
                </w:tcPr>
                <w:p>
                  <w:pPr>
                    <w:pStyle w:val="39"/>
                    <w:jc w:val="center"/>
                    <w:rPr>
                      <w:rFonts w:cs="Times New Roman"/>
                      <w:szCs w:val="21"/>
                    </w:rPr>
                  </w:pPr>
                  <w:r>
                    <w:rPr>
                      <w:rFonts w:hint="eastAsia" w:cs="Times New Roman"/>
                      <w:szCs w:val="21"/>
                    </w:rPr>
                    <w:t>占标率%</w:t>
                  </w:r>
                </w:p>
              </w:tc>
              <w:tc>
                <w:tcPr>
                  <w:tcW w:w="1033" w:type="dxa"/>
                  <w:vAlign w:val="center"/>
                </w:tcPr>
                <w:p>
                  <w:pPr>
                    <w:pStyle w:val="39"/>
                    <w:jc w:val="center"/>
                    <w:rPr>
                      <w:rFonts w:cs="Times New Roman"/>
                      <w:b w:val="0"/>
                      <w:szCs w:val="21"/>
                    </w:rPr>
                  </w:pPr>
                  <w:r>
                    <w:rPr>
                      <w:rFonts w:hint="eastAsia" w:cs="Times New Roman"/>
                      <w:b w:val="0"/>
                      <w:szCs w:val="21"/>
                    </w:rPr>
                    <w:t>1.36</w:t>
                  </w:r>
                </w:p>
              </w:tc>
              <w:tc>
                <w:tcPr>
                  <w:tcW w:w="1033" w:type="dxa"/>
                  <w:vAlign w:val="center"/>
                </w:tcPr>
                <w:p>
                  <w:pPr>
                    <w:pStyle w:val="39"/>
                    <w:jc w:val="center"/>
                    <w:rPr>
                      <w:rFonts w:cs="Times New Roman"/>
                      <w:b w:val="0"/>
                      <w:szCs w:val="21"/>
                    </w:rPr>
                  </w:pPr>
                  <w:r>
                    <w:rPr>
                      <w:rFonts w:hint="eastAsia" w:cs="Times New Roman"/>
                      <w:b w:val="0"/>
                      <w:szCs w:val="21"/>
                    </w:rPr>
                    <w:t>1.47</w:t>
                  </w:r>
                </w:p>
              </w:tc>
              <w:tc>
                <w:tcPr>
                  <w:tcW w:w="1033" w:type="dxa"/>
                  <w:vAlign w:val="center"/>
                </w:tcPr>
                <w:p>
                  <w:pPr>
                    <w:pStyle w:val="39"/>
                    <w:jc w:val="center"/>
                    <w:rPr>
                      <w:rFonts w:cs="Times New Roman"/>
                      <w:b w:val="0"/>
                      <w:szCs w:val="21"/>
                    </w:rPr>
                  </w:pPr>
                  <w:r>
                    <w:rPr>
                      <w:rFonts w:hint="eastAsia" w:cs="Times New Roman"/>
                      <w:b w:val="0"/>
                      <w:szCs w:val="21"/>
                    </w:rPr>
                    <w:t>1.64</w:t>
                  </w:r>
                </w:p>
              </w:tc>
              <w:tc>
                <w:tcPr>
                  <w:tcW w:w="1033" w:type="dxa"/>
                  <w:vAlign w:val="center"/>
                </w:tcPr>
                <w:p>
                  <w:pPr>
                    <w:pStyle w:val="39"/>
                    <w:jc w:val="center"/>
                    <w:rPr>
                      <w:rFonts w:cs="Times New Roman"/>
                      <w:b w:val="0"/>
                      <w:szCs w:val="21"/>
                    </w:rPr>
                  </w:pPr>
                  <w:r>
                    <w:rPr>
                      <w:rFonts w:hint="eastAsia" w:cs="Times New Roman"/>
                      <w:b w:val="0"/>
                      <w:szCs w:val="21"/>
                    </w:rPr>
                    <w:t>1.79</w:t>
                  </w:r>
                </w:p>
              </w:tc>
              <w:tc>
                <w:tcPr>
                  <w:tcW w:w="1034" w:type="dxa"/>
                  <w:vAlign w:val="center"/>
                </w:tcPr>
                <w:p>
                  <w:pPr>
                    <w:pStyle w:val="39"/>
                    <w:jc w:val="center"/>
                    <w:rPr>
                      <w:rFonts w:cs="Times New Roman"/>
                      <w:b w:val="0"/>
                      <w:szCs w:val="21"/>
                    </w:rPr>
                  </w:pPr>
                  <w:r>
                    <w:rPr>
                      <w:rFonts w:hint="eastAsia" w:cs="Times New Roman"/>
                      <w:b w:val="0"/>
                      <w:szCs w:val="21"/>
                    </w:rPr>
                    <w:t>1.92</w:t>
                  </w:r>
                </w:p>
              </w:tc>
              <w:tc>
                <w:tcPr>
                  <w:tcW w:w="1034" w:type="dxa"/>
                  <w:vAlign w:val="center"/>
                </w:tcPr>
                <w:p>
                  <w:pPr>
                    <w:pStyle w:val="39"/>
                    <w:jc w:val="center"/>
                    <w:rPr>
                      <w:rFonts w:cs="Times New Roman"/>
                      <w:b w:val="0"/>
                      <w:szCs w:val="21"/>
                    </w:rPr>
                  </w:pPr>
                  <w:r>
                    <w:rPr>
                      <w:rFonts w:hint="eastAsia" w:cs="Times New Roman"/>
                      <w:b w:val="0"/>
                      <w:szCs w:val="21"/>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restart"/>
                  <w:shd w:val="pct10" w:color="auto" w:fill="auto"/>
                  <w:vAlign w:val="center"/>
                </w:tcPr>
                <w:p>
                  <w:pPr>
                    <w:pStyle w:val="39"/>
                    <w:jc w:val="center"/>
                    <w:rPr>
                      <w:rFonts w:cs="Times New Roman"/>
                      <w:szCs w:val="21"/>
                    </w:rPr>
                  </w:pPr>
                  <w:r>
                    <w:rPr>
                      <w:rFonts w:hint="eastAsia" w:cs="Times New Roman"/>
                      <w:szCs w:val="21"/>
                    </w:rPr>
                    <w:t>机动车拆解加工车间</w:t>
                  </w:r>
                </w:p>
              </w:tc>
              <w:tc>
                <w:tcPr>
                  <w:tcW w:w="747" w:type="dxa"/>
                  <w:shd w:val="pct10" w:color="auto" w:fill="auto"/>
                  <w:vAlign w:val="center"/>
                </w:tcPr>
                <w:p>
                  <w:pPr>
                    <w:pStyle w:val="39"/>
                    <w:jc w:val="center"/>
                    <w:rPr>
                      <w:rFonts w:cs="Times New Roman"/>
                      <w:szCs w:val="21"/>
                    </w:rPr>
                  </w:pPr>
                  <w:r>
                    <w:rPr>
                      <w:rFonts w:hint="eastAsia" w:cs="Times New Roman"/>
                      <w:szCs w:val="21"/>
                    </w:rPr>
                    <w:t>浓度</w:t>
                  </w:r>
                  <w:r>
                    <w:rPr>
                      <w:rFonts w:hint="eastAsia" w:cs="Times New Roman"/>
                      <w:sz w:val="18"/>
                      <w:szCs w:val="18"/>
                    </w:rPr>
                    <w:t>mg/m</w:t>
                  </w:r>
                  <w:r>
                    <w:rPr>
                      <w:rFonts w:hint="eastAsia" w:cs="Times New Roman"/>
                      <w:sz w:val="18"/>
                      <w:szCs w:val="18"/>
                      <w:vertAlign w:val="superscript"/>
                    </w:rPr>
                    <w:t>3</w:t>
                  </w:r>
                </w:p>
              </w:tc>
              <w:tc>
                <w:tcPr>
                  <w:tcW w:w="1033" w:type="dxa"/>
                  <w:vAlign w:val="center"/>
                </w:tcPr>
                <w:p>
                  <w:pPr>
                    <w:pStyle w:val="39"/>
                    <w:jc w:val="center"/>
                    <w:rPr>
                      <w:rFonts w:cs="Times New Roman"/>
                      <w:b w:val="0"/>
                      <w:szCs w:val="21"/>
                    </w:rPr>
                  </w:pPr>
                  <w:r>
                    <w:rPr>
                      <w:rFonts w:hint="eastAsia" w:cs="Times New Roman"/>
                      <w:b w:val="0"/>
                      <w:szCs w:val="21"/>
                    </w:rPr>
                    <w:t>6.10E-04</w:t>
                  </w:r>
                </w:p>
              </w:tc>
              <w:tc>
                <w:tcPr>
                  <w:tcW w:w="1033" w:type="dxa"/>
                  <w:vAlign w:val="center"/>
                </w:tcPr>
                <w:p>
                  <w:pPr>
                    <w:pStyle w:val="39"/>
                    <w:jc w:val="center"/>
                    <w:rPr>
                      <w:rFonts w:cs="Times New Roman"/>
                      <w:b w:val="0"/>
                      <w:szCs w:val="21"/>
                    </w:rPr>
                  </w:pPr>
                  <w:r>
                    <w:rPr>
                      <w:rFonts w:hint="eastAsia" w:cs="Times New Roman"/>
                      <w:b w:val="0"/>
                      <w:szCs w:val="21"/>
                    </w:rPr>
                    <w:t>6.62E-04</w:t>
                  </w:r>
                </w:p>
              </w:tc>
              <w:tc>
                <w:tcPr>
                  <w:tcW w:w="1033" w:type="dxa"/>
                  <w:vAlign w:val="center"/>
                </w:tcPr>
                <w:p>
                  <w:pPr>
                    <w:pStyle w:val="39"/>
                    <w:jc w:val="center"/>
                    <w:rPr>
                      <w:rFonts w:cs="Times New Roman"/>
                      <w:b w:val="0"/>
                      <w:szCs w:val="21"/>
                    </w:rPr>
                  </w:pPr>
                  <w:r>
                    <w:rPr>
                      <w:rFonts w:hint="eastAsia" w:cs="Times New Roman"/>
                      <w:b w:val="0"/>
                      <w:szCs w:val="21"/>
                    </w:rPr>
                    <w:t>7.37E-04</w:t>
                  </w:r>
                </w:p>
              </w:tc>
              <w:tc>
                <w:tcPr>
                  <w:tcW w:w="1033" w:type="dxa"/>
                  <w:vAlign w:val="center"/>
                </w:tcPr>
                <w:p>
                  <w:pPr>
                    <w:pStyle w:val="39"/>
                    <w:jc w:val="center"/>
                    <w:rPr>
                      <w:rFonts w:cs="Times New Roman"/>
                      <w:b w:val="0"/>
                      <w:szCs w:val="21"/>
                    </w:rPr>
                  </w:pPr>
                  <w:r>
                    <w:rPr>
                      <w:rFonts w:hint="eastAsia" w:cs="Times New Roman"/>
                      <w:b w:val="0"/>
                      <w:szCs w:val="21"/>
                    </w:rPr>
                    <w:t>8.04E-04</w:t>
                  </w:r>
                </w:p>
              </w:tc>
              <w:tc>
                <w:tcPr>
                  <w:tcW w:w="1034" w:type="dxa"/>
                  <w:vAlign w:val="center"/>
                </w:tcPr>
                <w:p>
                  <w:pPr>
                    <w:pStyle w:val="39"/>
                    <w:jc w:val="center"/>
                    <w:rPr>
                      <w:rFonts w:cs="Times New Roman"/>
                      <w:b w:val="0"/>
                      <w:szCs w:val="21"/>
                    </w:rPr>
                  </w:pPr>
                  <w:r>
                    <w:rPr>
                      <w:rFonts w:hint="eastAsia" w:cs="Times New Roman"/>
                      <w:b w:val="0"/>
                      <w:szCs w:val="21"/>
                    </w:rPr>
                    <w:t>8.62E-04</w:t>
                  </w:r>
                </w:p>
              </w:tc>
              <w:tc>
                <w:tcPr>
                  <w:tcW w:w="1034" w:type="dxa"/>
                  <w:vAlign w:val="center"/>
                </w:tcPr>
                <w:p>
                  <w:pPr>
                    <w:pStyle w:val="39"/>
                    <w:jc w:val="center"/>
                    <w:rPr>
                      <w:rFonts w:cs="Times New Roman"/>
                      <w:b w:val="0"/>
                      <w:szCs w:val="21"/>
                    </w:rPr>
                  </w:pPr>
                  <w:r>
                    <w:rPr>
                      <w:rFonts w:hint="eastAsia" w:cs="Times New Roman"/>
                      <w:b w:val="0"/>
                      <w:szCs w:val="21"/>
                    </w:rPr>
                    <w:t>7.44E-04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continue"/>
                  <w:shd w:val="pct10" w:color="auto" w:fill="auto"/>
                  <w:vAlign w:val="center"/>
                </w:tcPr>
                <w:p>
                  <w:pPr>
                    <w:pStyle w:val="39"/>
                    <w:jc w:val="center"/>
                    <w:rPr>
                      <w:rFonts w:cs="Times New Roman"/>
                      <w:szCs w:val="21"/>
                    </w:rPr>
                  </w:pPr>
                </w:p>
              </w:tc>
              <w:tc>
                <w:tcPr>
                  <w:tcW w:w="747" w:type="dxa"/>
                  <w:shd w:val="pct10" w:color="auto" w:fill="auto"/>
                  <w:vAlign w:val="center"/>
                </w:tcPr>
                <w:p>
                  <w:pPr>
                    <w:pStyle w:val="39"/>
                    <w:jc w:val="center"/>
                    <w:rPr>
                      <w:rFonts w:cs="Times New Roman"/>
                      <w:szCs w:val="21"/>
                    </w:rPr>
                  </w:pPr>
                  <w:r>
                    <w:rPr>
                      <w:rFonts w:hint="eastAsia" w:cs="Times New Roman"/>
                      <w:szCs w:val="21"/>
                    </w:rPr>
                    <w:t>占标率%</w:t>
                  </w:r>
                </w:p>
              </w:tc>
              <w:tc>
                <w:tcPr>
                  <w:tcW w:w="1033" w:type="dxa"/>
                  <w:vAlign w:val="center"/>
                </w:tcPr>
                <w:p>
                  <w:pPr>
                    <w:pStyle w:val="39"/>
                    <w:jc w:val="center"/>
                    <w:rPr>
                      <w:rFonts w:cs="Times New Roman"/>
                      <w:b w:val="0"/>
                      <w:szCs w:val="21"/>
                    </w:rPr>
                  </w:pPr>
                  <w:r>
                    <w:rPr>
                      <w:rFonts w:hint="eastAsia" w:cs="Times New Roman"/>
                      <w:b w:val="0"/>
                      <w:szCs w:val="21"/>
                    </w:rPr>
                    <w:t>6.78</w:t>
                  </w:r>
                </w:p>
              </w:tc>
              <w:tc>
                <w:tcPr>
                  <w:tcW w:w="1033" w:type="dxa"/>
                  <w:vAlign w:val="center"/>
                </w:tcPr>
                <w:p>
                  <w:pPr>
                    <w:pStyle w:val="39"/>
                    <w:jc w:val="center"/>
                    <w:rPr>
                      <w:rFonts w:cs="Times New Roman"/>
                      <w:b w:val="0"/>
                      <w:szCs w:val="21"/>
                    </w:rPr>
                  </w:pPr>
                  <w:r>
                    <w:rPr>
                      <w:rFonts w:hint="eastAsia" w:cs="Times New Roman"/>
                      <w:b w:val="0"/>
                      <w:szCs w:val="21"/>
                    </w:rPr>
                    <w:t>7.35</w:t>
                  </w:r>
                </w:p>
              </w:tc>
              <w:tc>
                <w:tcPr>
                  <w:tcW w:w="1033" w:type="dxa"/>
                  <w:vAlign w:val="center"/>
                </w:tcPr>
                <w:p>
                  <w:pPr>
                    <w:pStyle w:val="39"/>
                    <w:jc w:val="center"/>
                    <w:rPr>
                      <w:rFonts w:cs="Times New Roman"/>
                      <w:b w:val="0"/>
                      <w:szCs w:val="21"/>
                    </w:rPr>
                  </w:pPr>
                  <w:r>
                    <w:rPr>
                      <w:rFonts w:hint="eastAsia" w:cs="Times New Roman"/>
                      <w:b w:val="0"/>
                      <w:szCs w:val="21"/>
                    </w:rPr>
                    <w:t>8.19</w:t>
                  </w:r>
                </w:p>
              </w:tc>
              <w:tc>
                <w:tcPr>
                  <w:tcW w:w="1033" w:type="dxa"/>
                  <w:vAlign w:val="center"/>
                </w:tcPr>
                <w:p>
                  <w:pPr>
                    <w:pStyle w:val="39"/>
                    <w:jc w:val="center"/>
                    <w:rPr>
                      <w:rFonts w:cs="Times New Roman"/>
                      <w:b w:val="0"/>
                      <w:szCs w:val="21"/>
                    </w:rPr>
                  </w:pPr>
                  <w:r>
                    <w:rPr>
                      <w:rFonts w:hint="eastAsia" w:cs="Times New Roman"/>
                      <w:b w:val="0"/>
                      <w:szCs w:val="21"/>
                    </w:rPr>
                    <w:t>8.93</w:t>
                  </w:r>
                </w:p>
              </w:tc>
              <w:tc>
                <w:tcPr>
                  <w:tcW w:w="1034" w:type="dxa"/>
                  <w:vAlign w:val="center"/>
                </w:tcPr>
                <w:p>
                  <w:pPr>
                    <w:pStyle w:val="39"/>
                    <w:jc w:val="center"/>
                    <w:rPr>
                      <w:rFonts w:cs="Times New Roman"/>
                      <w:b w:val="0"/>
                      <w:szCs w:val="21"/>
                    </w:rPr>
                  </w:pPr>
                  <w:r>
                    <w:rPr>
                      <w:rFonts w:hint="eastAsia" w:cs="Times New Roman"/>
                      <w:b w:val="0"/>
                      <w:szCs w:val="21"/>
                    </w:rPr>
                    <w:t>9.58</w:t>
                  </w:r>
                </w:p>
              </w:tc>
              <w:tc>
                <w:tcPr>
                  <w:tcW w:w="1034" w:type="dxa"/>
                  <w:vAlign w:val="center"/>
                </w:tcPr>
                <w:p>
                  <w:pPr>
                    <w:pStyle w:val="39"/>
                    <w:jc w:val="center"/>
                    <w:rPr>
                      <w:rFonts w:cs="Times New Roman"/>
                      <w:b w:val="0"/>
                      <w:szCs w:val="21"/>
                    </w:rPr>
                  </w:pPr>
                  <w:r>
                    <w:rPr>
                      <w:rFonts w:hint="eastAsia" w:cs="Times New Roman"/>
                      <w:b w:val="0"/>
                      <w:szCs w:val="21"/>
                    </w:rPr>
                    <w:t>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restart"/>
                  <w:shd w:val="pct10" w:color="auto" w:fill="auto"/>
                  <w:vAlign w:val="center"/>
                </w:tcPr>
                <w:p>
                  <w:pPr>
                    <w:pStyle w:val="39"/>
                    <w:jc w:val="center"/>
                    <w:rPr>
                      <w:rFonts w:cs="Times New Roman"/>
                      <w:szCs w:val="21"/>
                    </w:rPr>
                  </w:pPr>
                  <w:r>
                    <w:rPr>
                      <w:rFonts w:hint="eastAsia" w:cs="Times New Roman"/>
                      <w:szCs w:val="21"/>
                    </w:rPr>
                    <w:t>非甲烷总烃</w:t>
                  </w:r>
                </w:p>
              </w:tc>
              <w:tc>
                <w:tcPr>
                  <w:tcW w:w="923" w:type="dxa"/>
                  <w:vMerge w:val="restart"/>
                  <w:shd w:val="pct10" w:color="auto" w:fill="auto"/>
                  <w:vAlign w:val="center"/>
                </w:tcPr>
                <w:p>
                  <w:pPr>
                    <w:pStyle w:val="39"/>
                    <w:jc w:val="center"/>
                    <w:rPr>
                      <w:rFonts w:cs="Times New Roman"/>
                      <w:szCs w:val="21"/>
                    </w:rPr>
                  </w:pPr>
                  <w:r>
                    <w:rPr>
                      <w:rFonts w:hint="eastAsia" w:cs="Times New Roman"/>
                      <w:szCs w:val="21"/>
                    </w:rPr>
                    <w:t>2#</w:t>
                  </w:r>
                </w:p>
                <w:p>
                  <w:pPr>
                    <w:pStyle w:val="39"/>
                    <w:jc w:val="center"/>
                    <w:rPr>
                      <w:rFonts w:cs="Times New Roman"/>
                      <w:szCs w:val="21"/>
                    </w:rPr>
                  </w:pPr>
                  <w:r>
                    <w:rPr>
                      <w:rFonts w:hint="eastAsia" w:cs="Times New Roman"/>
                      <w:szCs w:val="21"/>
                    </w:rPr>
                    <w:t>排气筒</w:t>
                  </w:r>
                </w:p>
              </w:tc>
              <w:tc>
                <w:tcPr>
                  <w:tcW w:w="747" w:type="dxa"/>
                  <w:shd w:val="pct10" w:color="auto" w:fill="auto"/>
                  <w:vAlign w:val="center"/>
                </w:tcPr>
                <w:p>
                  <w:pPr>
                    <w:pStyle w:val="39"/>
                    <w:jc w:val="center"/>
                    <w:rPr>
                      <w:rFonts w:cs="Times New Roman"/>
                      <w:szCs w:val="21"/>
                    </w:rPr>
                  </w:pPr>
                  <w:r>
                    <w:rPr>
                      <w:rFonts w:hint="eastAsia" w:cs="Times New Roman"/>
                      <w:szCs w:val="21"/>
                    </w:rPr>
                    <w:t>浓度</w:t>
                  </w:r>
                  <w:r>
                    <w:rPr>
                      <w:rFonts w:hint="eastAsia" w:cs="Times New Roman"/>
                      <w:sz w:val="18"/>
                      <w:szCs w:val="18"/>
                    </w:rPr>
                    <w:t>mg/m</w:t>
                  </w:r>
                  <w:r>
                    <w:rPr>
                      <w:rFonts w:hint="eastAsia" w:cs="Times New Roman"/>
                      <w:sz w:val="18"/>
                      <w:szCs w:val="18"/>
                      <w:vertAlign w:val="superscript"/>
                    </w:rPr>
                    <w:t>3</w:t>
                  </w:r>
                </w:p>
              </w:tc>
              <w:tc>
                <w:tcPr>
                  <w:tcW w:w="1033" w:type="dxa"/>
                  <w:vAlign w:val="center"/>
                </w:tcPr>
                <w:p>
                  <w:pPr>
                    <w:pStyle w:val="39"/>
                    <w:jc w:val="center"/>
                    <w:rPr>
                      <w:rFonts w:cs="Times New Roman"/>
                      <w:b w:val="0"/>
                      <w:szCs w:val="21"/>
                    </w:rPr>
                  </w:pPr>
                  <w:r>
                    <w:rPr>
                      <w:rFonts w:hint="eastAsia" w:cs="Times New Roman"/>
                      <w:b w:val="0"/>
                      <w:szCs w:val="21"/>
                    </w:rPr>
                    <w:t>5.27E-07</w:t>
                  </w:r>
                </w:p>
              </w:tc>
              <w:tc>
                <w:tcPr>
                  <w:tcW w:w="1033" w:type="dxa"/>
                  <w:vAlign w:val="center"/>
                </w:tcPr>
                <w:p>
                  <w:pPr>
                    <w:pStyle w:val="39"/>
                    <w:jc w:val="center"/>
                    <w:rPr>
                      <w:rFonts w:cs="Times New Roman"/>
                      <w:b w:val="0"/>
                      <w:szCs w:val="21"/>
                    </w:rPr>
                  </w:pPr>
                  <w:r>
                    <w:rPr>
                      <w:rFonts w:hint="eastAsia" w:cs="Times New Roman"/>
                      <w:b w:val="0"/>
                      <w:szCs w:val="21"/>
                    </w:rPr>
                    <w:t>1.75E-05</w:t>
                  </w:r>
                </w:p>
              </w:tc>
              <w:tc>
                <w:tcPr>
                  <w:tcW w:w="1033" w:type="dxa"/>
                  <w:vAlign w:val="center"/>
                </w:tcPr>
                <w:p>
                  <w:pPr>
                    <w:pStyle w:val="39"/>
                    <w:jc w:val="center"/>
                    <w:rPr>
                      <w:rFonts w:cs="Times New Roman"/>
                      <w:b w:val="0"/>
                      <w:szCs w:val="21"/>
                    </w:rPr>
                  </w:pPr>
                  <w:r>
                    <w:rPr>
                      <w:rFonts w:hint="eastAsia" w:cs="Times New Roman"/>
                      <w:b w:val="0"/>
                      <w:szCs w:val="21"/>
                    </w:rPr>
                    <w:t>8.33E-05</w:t>
                  </w:r>
                </w:p>
              </w:tc>
              <w:tc>
                <w:tcPr>
                  <w:tcW w:w="1033" w:type="dxa"/>
                  <w:vAlign w:val="center"/>
                </w:tcPr>
                <w:p>
                  <w:pPr>
                    <w:pStyle w:val="39"/>
                    <w:jc w:val="center"/>
                    <w:rPr>
                      <w:rFonts w:cs="Times New Roman"/>
                      <w:b w:val="0"/>
                      <w:szCs w:val="21"/>
                    </w:rPr>
                  </w:pPr>
                  <w:r>
                    <w:rPr>
                      <w:rFonts w:hint="eastAsia" w:cs="Times New Roman"/>
                      <w:b w:val="0"/>
                      <w:szCs w:val="21"/>
                    </w:rPr>
                    <w:t>1.50E-04</w:t>
                  </w:r>
                </w:p>
              </w:tc>
              <w:tc>
                <w:tcPr>
                  <w:tcW w:w="1034" w:type="dxa"/>
                  <w:vAlign w:val="center"/>
                </w:tcPr>
                <w:p>
                  <w:pPr>
                    <w:pStyle w:val="39"/>
                    <w:jc w:val="center"/>
                    <w:rPr>
                      <w:rFonts w:cs="Times New Roman"/>
                      <w:b w:val="0"/>
                      <w:szCs w:val="21"/>
                    </w:rPr>
                  </w:pPr>
                  <w:r>
                    <w:rPr>
                      <w:rFonts w:hint="eastAsia" w:cs="Times New Roman"/>
                      <w:b w:val="0"/>
                      <w:szCs w:val="21"/>
                    </w:rPr>
                    <w:t>1.57E-04</w:t>
                  </w:r>
                </w:p>
              </w:tc>
              <w:tc>
                <w:tcPr>
                  <w:tcW w:w="1034" w:type="dxa"/>
                  <w:vAlign w:val="center"/>
                </w:tcPr>
                <w:p>
                  <w:pPr>
                    <w:pStyle w:val="39"/>
                    <w:jc w:val="center"/>
                    <w:rPr>
                      <w:rFonts w:cs="Times New Roman"/>
                      <w:b w:val="0"/>
                      <w:szCs w:val="21"/>
                    </w:rPr>
                  </w:pPr>
                  <w:r>
                    <w:rPr>
                      <w:rFonts w:hint="eastAsia" w:cs="Times New Roman"/>
                      <w:b w:val="0"/>
                      <w:szCs w:val="21"/>
                    </w:rPr>
                    <w:t>1.29E-04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continue"/>
                  <w:shd w:val="pct10" w:color="auto" w:fill="auto"/>
                  <w:vAlign w:val="center"/>
                </w:tcPr>
                <w:p>
                  <w:pPr>
                    <w:pStyle w:val="39"/>
                    <w:jc w:val="center"/>
                    <w:rPr>
                      <w:rFonts w:cs="Times New Roman"/>
                      <w:szCs w:val="21"/>
                    </w:rPr>
                  </w:pPr>
                </w:p>
              </w:tc>
              <w:tc>
                <w:tcPr>
                  <w:tcW w:w="747" w:type="dxa"/>
                  <w:shd w:val="pct10" w:color="auto" w:fill="auto"/>
                  <w:vAlign w:val="center"/>
                </w:tcPr>
                <w:p>
                  <w:pPr>
                    <w:pStyle w:val="39"/>
                    <w:jc w:val="center"/>
                    <w:rPr>
                      <w:rFonts w:cs="Times New Roman"/>
                      <w:szCs w:val="21"/>
                    </w:rPr>
                  </w:pPr>
                  <w:r>
                    <w:rPr>
                      <w:rFonts w:hint="eastAsia" w:cs="Times New Roman"/>
                      <w:szCs w:val="21"/>
                    </w:rPr>
                    <w:t>占标率%</w:t>
                  </w:r>
                </w:p>
              </w:tc>
              <w:tc>
                <w:tcPr>
                  <w:tcW w:w="1033" w:type="dxa"/>
                  <w:vAlign w:val="center"/>
                </w:tcPr>
                <w:p>
                  <w:pPr>
                    <w:pStyle w:val="39"/>
                    <w:jc w:val="center"/>
                    <w:rPr>
                      <w:rFonts w:cs="Times New Roman"/>
                      <w:b w:val="0"/>
                      <w:szCs w:val="21"/>
                    </w:rPr>
                  </w:pPr>
                  <w:r>
                    <w:rPr>
                      <w:rFonts w:hint="eastAsia" w:cs="Times New Roman"/>
                      <w:b w:val="0"/>
                      <w:szCs w:val="21"/>
                    </w:rPr>
                    <w:t>0.00</w:t>
                  </w:r>
                </w:p>
              </w:tc>
              <w:tc>
                <w:tcPr>
                  <w:tcW w:w="1033" w:type="dxa"/>
                  <w:vAlign w:val="center"/>
                </w:tcPr>
                <w:p>
                  <w:pPr>
                    <w:pStyle w:val="39"/>
                    <w:jc w:val="center"/>
                    <w:rPr>
                      <w:rFonts w:cs="Times New Roman"/>
                      <w:b w:val="0"/>
                      <w:szCs w:val="21"/>
                    </w:rPr>
                  </w:pPr>
                  <w:r>
                    <w:rPr>
                      <w:rFonts w:hint="eastAsia" w:cs="Times New Roman"/>
                      <w:b w:val="0"/>
                      <w:szCs w:val="21"/>
                    </w:rPr>
                    <w:t>0.00</w:t>
                  </w:r>
                </w:p>
              </w:tc>
              <w:tc>
                <w:tcPr>
                  <w:tcW w:w="1033" w:type="dxa"/>
                  <w:vAlign w:val="center"/>
                </w:tcPr>
                <w:p>
                  <w:pPr>
                    <w:pStyle w:val="39"/>
                    <w:jc w:val="center"/>
                    <w:rPr>
                      <w:rFonts w:cs="Times New Roman"/>
                      <w:b w:val="0"/>
                      <w:szCs w:val="21"/>
                    </w:rPr>
                  </w:pPr>
                  <w:r>
                    <w:rPr>
                      <w:rFonts w:hint="eastAsia" w:cs="Times New Roman"/>
                      <w:b w:val="0"/>
                      <w:szCs w:val="21"/>
                    </w:rPr>
                    <w:t>0.01</w:t>
                  </w:r>
                </w:p>
              </w:tc>
              <w:tc>
                <w:tcPr>
                  <w:tcW w:w="1033" w:type="dxa"/>
                  <w:vAlign w:val="center"/>
                </w:tcPr>
                <w:p>
                  <w:pPr>
                    <w:pStyle w:val="39"/>
                    <w:jc w:val="center"/>
                    <w:rPr>
                      <w:rFonts w:cs="Times New Roman"/>
                      <w:b w:val="0"/>
                      <w:szCs w:val="21"/>
                    </w:rPr>
                  </w:pPr>
                  <w:r>
                    <w:rPr>
                      <w:rFonts w:hint="eastAsia" w:cs="Times New Roman"/>
                      <w:b w:val="0"/>
                      <w:szCs w:val="21"/>
                    </w:rPr>
                    <w:t>0.01</w:t>
                  </w:r>
                </w:p>
              </w:tc>
              <w:tc>
                <w:tcPr>
                  <w:tcW w:w="1034" w:type="dxa"/>
                  <w:vAlign w:val="center"/>
                </w:tcPr>
                <w:p>
                  <w:pPr>
                    <w:pStyle w:val="39"/>
                    <w:jc w:val="center"/>
                    <w:rPr>
                      <w:rFonts w:cs="Times New Roman"/>
                      <w:b w:val="0"/>
                      <w:szCs w:val="21"/>
                    </w:rPr>
                  </w:pPr>
                  <w:r>
                    <w:rPr>
                      <w:rFonts w:hint="eastAsia" w:cs="Times New Roman"/>
                      <w:b w:val="0"/>
                      <w:szCs w:val="21"/>
                    </w:rPr>
                    <w:t>0.01</w:t>
                  </w:r>
                </w:p>
              </w:tc>
              <w:tc>
                <w:tcPr>
                  <w:tcW w:w="1034" w:type="dxa"/>
                  <w:vAlign w:val="center"/>
                </w:tcPr>
                <w:p>
                  <w:pPr>
                    <w:pStyle w:val="39"/>
                    <w:jc w:val="center"/>
                    <w:rPr>
                      <w:rFonts w:cs="Times New Roman"/>
                      <w:b w:val="0"/>
                      <w:szCs w:val="21"/>
                    </w:rPr>
                  </w:pPr>
                  <w:r>
                    <w:rPr>
                      <w:rFonts w:hint="eastAsia" w:cs="Times New Roman"/>
                      <w:b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restart"/>
                  <w:shd w:val="pct10" w:color="auto" w:fill="auto"/>
                  <w:vAlign w:val="center"/>
                </w:tcPr>
                <w:p>
                  <w:pPr>
                    <w:pStyle w:val="39"/>
                    <w:jc w:val="center"/>
                    <w:rPr>
                      <w:rFonts w:cs="Times New Roman"/>
                      <w:szCs w:val="21"/>
                    </w:rPr>
                  </w:pPr>
                  <w:r>
                    <w:rPr>
                      <w:rFonts w:hint="eastAsia" w:cs="Times New Roman"/>
                      <w:szCs w:val="21"/>
                    </w:rPr>
                    <w:t>3#</w:t>
                  </w:r>
                </w:p>
                <w:p>
                  <w:pPr>
                    <w:pStyle w:val="39"/>
                    <w:jc w:val="center"/>
                    <w:rPr>
                      <w:rFonts w:cs="Times New Roman"/>
                      <w:szCs w:val="21"/>
                    </w:rPr>
                  </w:pPr>
                  <w:r>
                    <w:rPr>
                      <w:rFonts w:hint="eastAsia" w:cs="Times New Roman"/>
                      <w:szCs w:val="21"/>
                    </w:rPr>
                    <w:t>排气筒</w:t>
                  </w:r>
                </w:p>
              </w:tc>
              <w:tc>
                <w:tcPr>
                  <w:tcW w:w="747" w:type="dxa"/>
                  <w:shd w:val="pct10" w:color="auto" w:fill="auto"/>
                  <w:vAlign w:val="center"/>
                </w:tcPr>
                <w:p>
                  <w:pPr>
                    <w:pStyle w:val="39"/>
                    <w:jc w:val="center"/>
                    <w:rPr>
                      <w:rFonts w:cs="Times New Roman"/>
                      <w:szCs w:val="21"/>
                    </w:rPr>
                  </w:pPr>
                  <w:r>
                    <w:rPr>
                      <w:rFonts w:hint="eastAsia" w:cs="Times New Roman"/>
                      <w:szCs w:val="21"/>
                    </w:rPr>
                    <w:t>浓度</w:t>
                  </w:r>
                  <w:r>
                    <w:rPr>
                      <w:rFonts w:hint="eastAsia" w:cs="Times New Roman"/>
                      <w:sz w:val="18"/>
                      <w:szCs w:val="18"/>
                    </w:rPr>
                    <w:t>mg/m</w:t>
                  </w:r>
                  <w:r>
                    <w:rPr>
                      <w:rFonts w:hint="eastAsia" w:cs="Times New Roman"/>
                      <w:sz w:val="18"/>
                      <w:szCs w:val="18"/>
                      <w:vertAlign w:val="superscript"/>
                    </w:rPr>
                    <w:t>3</w:t>
                  </w:r>
                </w:p>
              </w:tc>
              <w:tc>
                <w:tcPr>
                  <w:tcW w:w="1033" w:type="dxa"/>
                  <w:vAlign w:val="center"/>
                </w:tcPr>
                <w:p>
                  <w:pPr>
                    <w:pStyle w:val="39"/>
                    <w:jc w:val="center"/>
                    <w:rPr>
                      <w:rFonts w:cs="Times New Roman"/>
                      <w:b w:val="0"/>
                      <w:szCs w:val="21"/>
                    </w:rPr>
                  </w:pPr>
                  <w:r>
                    <w:rPr>
                      <w:rFonts w:hint="eastAsia" w:cs="Times New Roman"/>
                      <w:b w:val="0"/>
                      <w:szCs w:val="21"/>
                    </w:rPr>
                    <w:t>3.13E-06</w:t>
                  </w:r>
                </w:p>
              </w:tc>
              <w:tc>
                <w:tcPr>
                  <w:tcW w:w="1033" w:type="dxa"/>
                  <w:vAlign w:val="center"/>
                </w:tcPr>
                <w:p>
                  <w:pPr>
                    <w:pStyle w:val="39"/>
                    <w:jc w:val="center"/>
                    <w:rPr>
                      <w:rFonts w:cs="Times New Roman"/>
                      <w:b w:val="0"/>
                      <w:szCs w:val="21"/>
                    </w:rPr>
                  </w:pPr>
                  <w:r>
                    <w:rPr>
                      <w:rFonts w:hint="eastAsia" w:cs="Times New Roman"/>
                      <w:b w:val="0"/>
                      <w:szCs w:val="21"/>
                    </w:rPr>
                    <w:t>9.28E-05</w:t>
                  </w:r>
                </w:p>
              </w:tc>
              <w:tc>
                <w:tcPr>
                  <w:tcW w:w="1033" w:type="dxa"/>
                  <w:vAlign w:val="center"/>
                </w:tcPr>
                <w:p>
                  <w:pPr>
                    <w:pStyle w:val="39"/>
                    <w:jc w:val="center"/>
                    <w:rPr>
                      <w:rFonts w:cs="Times New Roman"/>
                      <w:b w:val="0"/>
                      <w:szCs w:val="21"/>
                    </w:rPr>
                  </w:pPr>
                  <w:r>
                    <w:rPr>
                      <w:rFonts w:hint="eastAsia" w:cs="Times New Roman"/>
                      <w:b w:val="0"/>
                      <w:szCs w:val="21"/>
                    </w:rPr>
                    <w:t>3.90E-04</w:t>
                  </w:r>
                </w:p>
              </w:tc>
              <w:tc>
                <w:tcPr>
                  <w:tcW w:w="1033" w:type="dxa"/>
                  <w:vAlign w:val="center"/>
                </w:tcPr>
                <w:p>
                  <w:pPr>
                    <w:pStyle w:val="39"/>
                    <w:jc w:val="center"/>
                    <w:rPr>
                      <w:rFonts w:cs="Times New Roman"/>
                      <w:b w:val="0"/>
                      <w:szCs w:val="21"/>
                    </w:rPr>
                  </w:pPr>
                  <w:r>
                    <w:rPr>
                      <w:rFonts w:hint="eastAsia" w:cs="Times New Roman"/>
                      <w:b w:val="0"/>
                      <w:szCs w:val="21"/>
                    </w:rPr>
                    <w:t>5.80E-04</w:t>
                  </w:r>
                </w:p>
              </w:tc>
              <w:tc>
                <w:tcPr>
                  <w:tcW w:w="1034" w:type="dxa"/>
                  <w:vAlign w:val="center"/>
                </w:tcPr>
                <w:p>
                  <w:pPr>
                    <w:pStyle w:val="39"/>
                    <w:jc w:val="center"/>
                    <w:rPr>
                      <w:rFonts w:cs="Times New Roman"/>
                      <w:b w:val="0"/>
                      <w:szCs w:val="21"/>
                    </w:rPr>
                  </w:pPr>
                  <w:r>
                    <w:rPr>
                      <w:rFonts w:hint="eastAsia" w:cs="Times New Roman"/>
                      <w:b w:val="0"/>
                      <w:szCs w:val="21"/>
                    </w:rPr>
                    <w:t>5.64E-04</w:t>
                  </w:r>
                </w:p>
              </w:tc>
              <w:tc>
                <w:tcPr>
                  <w:tcW w:w="1034" w:type="dxa"/>
                  <w:vAlign w:val="center"/>
                </w:tcPr>
                <w:p>
                  <w:pPr>
                    <w:pStyle w:val="39"/>
                    <w:jc w:val="center"/>
                    <w:rPr>
                      <w:rFonts w:cs="Times New Roman"/>
                      <w:b w:val="0"/>
                      <w:szCs w:val="21"/>
                    </w:rPr>
                  </w:pPr>
                  <w:r>
                    <w:rPr>
                      <w:rFonts w:hint="eastAsia" w:cs="Times New Roman"/>
                      <w:b w:val="0"/>
                      <w:szCs w:val="21"/>
                    </w:rPr>
                    <w:t>4.33E-04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continue"/>
                  <w:shd w:val="pct10" w:color="auto" w:fill="auto"/>
                  <w:vAlign w:val="center"/>
                </w:tcPr>
                <w:p>
                  <w:pPr>
                    <w:pStyle w:val="39"/>
                    <w:jc w:val="center"/>
                    <w:rPr>
                      <w:rFonts w:cs="Times New Roman"/>
                      <w:szCs w:val="21"/>
                    </w:rPr>
                  </w:pPr>
                </w:p>
              </w:tc>
              <w:tc>
                <w:tcPr>
                  <w:tcW w:w="747" w:type="dxa"/>
                  <w:shd w:val="pct10" w:color="auto" w:fill="auto"/>
                  <w:vAlign w:val="center"/>
                </w:tcPr>
                <w:p>
                  <w:pPr>
                    <w:pStyle w:val="39"/>
                    <w:jc w:val="center"/>
                    <w:rPr>
                      <w:rFonts w:cs="Times New Roman"/>
                      <w:szCs w:val="21"/>
                    </w:rPr>
                  </w:pPr>
                  <w:r>
                    <w:rPr>
                      <w:rFonts w:hint="eastAsia" w:cs="Times New Roman"/>
                      <w:szCs w:val="21"/>
                    </w:rPr>
                    <w:t>占标率%</w:t>
                  </w:r>
                </w:p>
              </w:tc>
              <w:tc>
                <w:tcPr>
                  <w:tcW w:w="1033" w:type="dxa"/>
                  <w:vAlign w:val="center"/>
                </w:tcPr>
                <w:p>
                  <w:pPr>
                    <w:pStyle w:val="39"/>
                    <w:jc w:val="center"/>
                    <w:rPr>
                      <w:rFonts w:cs="Times New Roman"/>
                      <w:b w:val="0"/>
                      <w:szCs w:val="21"/>
                    </w:rPr>
                  </w:pPr>
                  <w:r>
                    <w:rPr>
                      <w:rFonts w:hint="eastAsia" w:cs="Times New Roman"/>
                      <w:b w:val="0"/>
                      <w:szCs w:val="21"/>
                    </w:rPr>
                    <w:t>0.00</w:t>
                  </w:r>
                </w:p>
              </w:tc>
              <w:tc>
                <w:tcPr>
                  <w:tcW w:w="1033" w:type="dxa"/>
                  <w:vAlign w:val="center"/>
                </w:tcPr>
                <w:p>
                  <w:pPr>
                    <w:pStyle w:val="39"/>
                    <w:jc w:val="center"/>
                    <w:rPr>
                      <w:rFonts w:cs="Times New Roman"/>
                      <w:b w:val="0"/>
                      <w:szCs w:val="21"/>
                    </w:rPr>
                  </w:pPr>
                  <w:r>
                    <w:rPr>
                      <w:rFonts w:hint="eastAsia" w:cs="Times New Roman"/>
                      <w:b w:val="0"/>
                      <w:szCs w:val="21"/>
                    </w:rPr>
                    <w:t>0.01</w:t>
                  </w:r>
                </w:p>
              </w:tc>
              <w:tc>
                <w:tcPr>
                  <w:tcW w:w="1033" w:type="dxa"/>
                  <w:vAlign w:val="center"/>
                </w:tcPr>
                <w:p>
                  <w:pPr>
                    <w:pStyle w:val="39"/>
                    <w:jc w:val="center"/>
                    <w:rPr>
                      <w:rFonts w:cs="Times New Roman"/>
                      <w:b w:val="0"/>
                      <w:szCs w:val="21"/>
                    </w:rPr>
                  </w:pPr>
                  <w:r>
                    <w:rPr>
                      <w:rFonts w:hint="eastAsia" w:cs="Times New Roman"/>
                      <w:b w:val="0"/>
                      <w:szCs w:val="21"/>
                    </w:rPr>
                    <w:t>0.03</w:t>
                  </w:r>
                </w:p>
              </w:tc>
              <w:tc>
                <w:tcPr>
                  <w:tcW w:w="1033" w:type="dxa"/>
                  <w:vAlign w:val="center"/>
                </w:tcPr>
                <w:p>
                  <w:pPr>
                    <w:pStyle w:val="39"/>
                    <w:jc w:val="center"/>
                    <w:rPr>
                      <w:rFonts w:cs="Times New Roman"/>
                      <w:b w:val="0"/>
                      <w:szCs w:val="21"/>
                    </w:rPr>
                  </w:pPr>
                  <w:r>
                    <w:rPr>
                      <w:rFonts w:hint="eastAsia" w:cs="Times New Roman"/>
                      <w:b w:val="0"/>
                      <w:szCs w:val="21"/>
                    </w:rPr>
                    <w:t>0.05</w:t>
                  </w:r>
                </w:p>
              </w:tc>
              <w:tc>
                <w:tcPr>
                  <w:tcW w:w="1034" w:type="dxa"/>
                  <w:vAlign w:val="center"/>
                </w:tcPr>
                <w:p>
                  <w:pPr>
                    <w:pStyle w:val="39"/>
                    <w:jc w:val="center"/>
                    <w:rPr>
                      <w:rFonts w:cs="Times New Roman"/>
                      <w:b w:val="0"/>
                      <w:szCs w:val="21"/>
                    </w:rPr>
                  </w:pPr>
                  <w:r>
                    <w:rPr>
                      <w:rFonts w:hint="eastAsia" w:cs="Times New Roman"/>
                      <w:b w:val="0"/>
                      <w:szCs w:val="21"/>
                    </w:rPr>
                    <w:t>0.05</w:t>
                  </w:r>
                </w:p>
              </w:tc>
              <w:tc>
                <w:tcPr>
                  <w:tcW w:w="1034" w:type="dxa"/>
                  <w:vAlign w:val="center"/>
                </w:tcPr>
                <w:p>
                  <w:pPr>
                    <w:pStyle w:val="39"/>
                    <w:jc w:val="center"/>
                    <w:rPr>
                      <w:rFonts w:cs="Times New Roman"/>
                      <w:b w:val="0"/>
                      <w:szCs w:val="21"/>
                    </w:rPr>
                  </w:pPr>
                  <w:r>
                    <w:rPr>
                      <w:rFonts w:hint="eastAsia" w:cs="Times New Roman"/>
                      <w:b w:val="0"/>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restart"/>
                  <w:shd w:val="pct10" w:color="auto" w:fill="auto"/>
                  <w:vAlign w:val="center"/>
                </w:tcPr>
                <w:p>
                  <w:pPr>
                    <w:pStyle w:val="39"/>
                    <w:jc w:val="center"/>
                    <w:rPr>
                      <w:rFonts w:cs="Times New Roman"/>
                      <w:szCs w:val="21"/>
                    </w:rPr>
                  </w:pPr>
                  <w:r>
                    <w:rPr>
                      <w:rFonts w:hint="eastAsia" w:cs="Times New Roman"/>
                      <w:szCs w:val="21"/>
                    </w:rPr>
                    <w:t>废弃</w:t>
                  </w:r>
                </w:p>
                <w:p>
                  <w:pPr>
                    <w:pStyle w:val="39"/>
                    <w:jc w:val="center"/>
                    <w:rPr>
                      <w:rFonts w:cs="Times New Roman"/>
                      <w:szCs w:val="21"/>
                    </w:rPr>
                  </w:pPr>
                  <w:r>
                    <w:rPr>
                      <w:rFonts w:hint="eastAsia" w:cs="Times New Roman"/>
                      <w:szCs w:val="21"/>
                    </w:rPr>
                    <w:t>家电</w:t>
                  </w:r>
                </w:p>
                <w:p>
                  <w:pPr>
                    <w:pStyle w:val="39"/>
                    <w:jc w:val="center"/>
                    <w:rPr>
                      <w:rFonts w:cs="Times New Roman"/>
                      <w:szCs w:val="21"/>
                    </w:rPr>
                  </w:pPr>
                  <w:r>
                    <w:rPr>
                      <w:rFonts w:hint="eastAsia" w:cs="Times New Roman"/>
                      <w:szCs w:val="21"/>
                    </w:rPr>
                    <w:t>拆解加工车间</w:t>
                  </w:r>
                </w:p>
              </w:tc>
              <w:tc>
                <w:tcPr>
                  <w:tcW w:w="747" w:type="dxa"/>
                  <w:shd w:val="pct10" w:color="auto" w:fill="auto"/>
                  <w:vAlign w:val="center"/>
                </w:tcPr>
                <w:p>
                  <w:pPr>
                    <w:pStyle w:val="39"/>
                    <w:jc w:val="center"/>
                    <w:rPr>
                      <w:rFonts w:cs="Times New Roman"/>
                      <w:szCs w:val="21"/>
                    </w:rPr>
                  </w:pPr>
                  <w:r>
                    <w:rPr>
                      <w:rFonts w:hint="eastAsia" w:cs="Times New Roman"/>
                      <w:szCs w:val="21"/>
                    </w:rPr>
                    <w:t>浓度</w:t>
                  </w:r>
                  <w:r>
                    <w:rPr>
                      <w:rFonts w:hint="eastAsia" w:cs="Times New Roman"/>
                      <w:sz w:val="18"/>
                      <w:szCs w:val="18"/>
                    </w:rPr>
                    <w:t>mg/m</w:t>
                  </w:r>
                  <w:r>
                    <w:rPr>
                      <w:rFonts w:hint="eastAsia" w:cs="Times New Roman"/>
                      <w:sz w:val="18"/>
                      <w:szCs w:val="18"/>
                      <w:vertAlign w:val="superscript"/>
                    </w:rPr>
                    <w:t>3</w:t>
                  </w:r>
                </w:p>
              </w:tc>
              <w:tc>
                <w:tcPr>
                  <w:tcW w:w="1033" w:type="dxa"/>
                  <w:vAlign w:val="center"/>
                </w:tcPr>
                <w:p>
                  <w:pPr>
                    <w:pStyle w:val="39"/>
                    <w:jc w:val="center"/>
                    <w:rPr>
                      <w:rFonts w:cs="Times New Roman"/>
                      <w:b w:val="0"/>
                      <w:szCs w:val="21"/>
                    </w:rPr>
                  </w:pPr>
                  <w:r>
                    <w:rPr>
                      <w:rFonts w:hint="eastAsia" w:cs="Times New Roman"/>
                      <w:b w:val="0"/>
                      <w:szCs w:val="21"/>
                    </w:rPr>
                    <w:t>6.10E-02</w:t>
                  </w:r>
                </w:p>
              </w:tc>
              <w:tc>
                <w:tcPr>
                  <w:tcW w:w="1033" w:type="dxa"/>
                  <w:vAlign w:val="center"/>
                </w:tcPr>
                <w:p>
                  <w:pPr>
                    <w:pStyle w:val="39"/>
                    <w:jc w:val="center"/>
                    <w:rPr>
                      <w:rFonts w:cs="Times New Roman"/>
                      <w:b w:val="0"/>
                      <w:szCs w:val="21"/>
                    </w:rPr>
                  </w:pPr>
                  <w:r>
                    <w:rPr>
                      <w:rFonts w:hint="eastAsia" w:cs="Times New Roman"/>
                      <w:b w:val="0"/>
                      <w:szCs w:val="21"/>
                    </w:rPr>
                    <w:t>6.62E-02</w:t>
                  </w:r>
                </w:p>
              </w:tc>
              <w:tc>
                <w:tcPr>
                  <w:tcW w:w="1033" w:type="dxa"/>
                  <w:vAlign w:val="center"/>
                </w:tcPr>
                <w:p>
                  <w:pPr>
                    <w:pStyle w:val="39"/>
                    <w:jc w:val="center"/>
                    <w:rPr>
                      <w:rFonts w:cs="Times New Roman"/>
                      <w:b w:val="0"/>
                      <w:szCs w:val="21"/>
                    </w:rPr>
                  </w:pPr>
                  <w:r>
                    <w:rPr>
                      <w:rFonts w:hint="eastAsia" w:cs="Times New Roman"/>
                      <w:b w:val="0"/>
                      <w:szCs w:val="21"/>
                    </w:rPr>
                    <w:t>7.37E-02</w:t>
                  </w:r>
                </w:p>
              </w:tc>
              <w:tc>
                <w:tcPr>
                  <w:tcW w:w="1033" w:type="dxa"/>
                  <w:vAlign w:val="center"/>
                </w:tcPr>
                <w:p>
                  <w:pPr>
                    <w:pStyle w:val="39"/>
                    <w:jc w:val="center"/>
                    <w:rPr>
                      <w:rFonts w:cs="Times New Roman"/>
                      <w:b w:val="0"/>
                      <w:szCs w:val="21"/>
                    </w:rPr>
                  </w:pPr>
                  <w:r>
                    <w:rPr>
                      <w:rFonts w:hint="eastAsia" w:cs="Times New Roman"/>
                      <w:b w:val="0"/>
                      <w:szCs w:val="21"/>
                    </w:rPr>
                    <w:t>8.04E-02</w:t>
                  </w:r>
                </w:p>
              </w:tc>
              <w:tc>
                <w:tcPr>
                  <w:tcW w:w="1034" w:type="dxa"/>
                  <w:vAlign w:val="center"/>
                </w:tcPr>
                <w:p>
                  <w:pPr>
                    <w:pStyle w:val="39"/>
                    <w:jc w:val="center"/>
                    <w:rPr>
                      <w:rFonts w:cs="Times New Roman"/>
                      <w:b w:val="0"/>
                      <w:szCs w:val="21"/>
                    </w:rPr>
                  </w:pPr>
                  <w:r>
                    <w:rPr>
                      <w:rFonts w:hint="eastAsia" w:cs="Times New Roman"/>
                      <w:b w:val="0"/>
                      <w:szCs w:val="21"/>
                    </w:rPr>
                    <w:t>8.62E-02</w:t>
                  </w:r>
                </w:p>
              </w:tc>
              <w:tc>
                <w:tcPr>
                  <w:tcW w:w="1034" w:type="dxa"/>
                  <w:vAlign w:val="center"/>
                </w:tcPr>
                <w:p>
                  <w:pPr>
                    <w:pStyle w:val="39"/>
                    <w:jc w:val="center"/>
                    <w:rPr>
                      <w:rFonts w:cs="Times New Roman"/>
                      <w:b w:val="0"/>
                      <w:szCs w:val="21"/>
                    </w:rPr>
                  </w:pPr>
                  <w:r>
                    <w:rPr>
                      <w:rFonts w:hint="eastAsia" w:cs="Times New Roman"/>
                      <w:b w:val="0"/>
                      <w:szCs w:val="21"/>
                    </w:rPr>
                    <w:t>7.44E-02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continue"/>
                  <w:shd w:val="pct10" w:color="auto" w:fill="auto"/>
                  <w:vAlign w:val="center"/>
                </w:tcPr>
                <w:p>
                  <w:pPr>
                    <w:pStyle w:val="39"/>
                    <w:jc w:val="center"/>
                    <w:rPr>
                      <w:rFonts w:cs="Times New Roman"/>
                      <w:szCs w:val="21"/>
                    </w:rPr>
                  </w:pPr>
                </w:p>
              </w:tc>
              <w:tc>
                <w:tcPr>
                  <w:tcW w:w="747" w:type="dxa"/>
                  <w:shd w:val="pct10" w:color="auto" w:fill="auto"/>
                  <w:vAlign w:val="center"/>
                </w:tcPr>
                <w:p>
                  <w:pPr>
                    <w:pStyle w:val="39"/>
                    <w:jc w:val="center"/>
                    <w:rPr>
                      <w:rFonts w:cs="Times New Roman"/>
                      <w:szCs w:val="21"/>
                    </w:rPr>
                  </w:pPr>
                  <w:r>
                    <w:rPr>
                      <w:rFonts w:hint="eastAsia" w:cs="Times New Roman"/>
                      <w:szCs w:val="21"/>
                    </w:rPr>
                    <w:t>占标率%</w:t>
                  </w:r>
                </w:p>
              </w:tc>
              <w:tc>
                <w:tcPr>
                  <w:tcW w:w="1033" w:type="dxa"/>
                  <w:vAlign w:val="center"/>
                </w:tcPr>
                <w:p>
                  <w:pPr>
                    <w:pStyle w:val="39"/>
                    <w:jc w:val="center"/>
                    <w:rPr>
                      <w:rFonts w:cs="Times New Roman"/>
                      <w:b w:val="0"/>
                      <w:szCs w:val="21"/>
                    </w:rPr>
                  </w:pPr>
                  <w:r>
                    <w:rPr>
                      <w:rFonts w:hint="eastAsia" w:cs="Times New Roman"/>
                      <w:b w:val="0"/>
                      <w:szCs w:val="21"/>
                    </w:rPr>
                    <w:t>0.05</w:t>
                  </w:r>
                </w:p>
              </w:tc>
              <w:tc>
                <w:tcPr>
                  <w:tcW w:w="1033" w:type="dxa"/>
                  <w:vAlign w:val="center"/>
                </w:tcPr>
                <w:p>
                  <w:pPr>
                    <w:pStyle w:val="39"/>
                    <w:jc w:val="center"/>
                    <w:rPr>
                      <w:rFonts w:cs="Times New Roman"/>
                      <w:b w:val="0"/>
                      <w:szCs w:val="21"/>
                    </w:rPr>
                  </w:pPr>
                  <w:r>
                    <w:rPr>
                      <w:rFonts w:hint="eastAsia" w:cs="Times New Roman"/>
                      <w:b w:val="0"/>
                      <w:szCs w:val="21"/>
                    </w:rPr>
                    <w:t>0.06</w:t>
                  </w:r>
                </w:p>
              </w:tc>
              <w:tc>
                <w:tcPr>
                  <w:tcW w:w="1033" w:type="dxa"/>
                  <w:vAlign w:val="center"/>
                </w:tcPr>
                <w:p>
                  <w:pPr>
                    <w:pStyle w:val="39"/>
                    <w:jc w:val="center"/>
                    <w:rPr>
                      <w:rFonts w:cs="Times New Roman"/>
                      <w:b w:val="0"/>
                      <w:szCs w:val="21"/>
                    </w:rPr>
                  </w:pPr>
                  <w:r>
                    <w:rPr>
                      <w:rFonts w:hint="eastAsia" w:cs="Times New Roman"/>
                      <w:b w:val="0"/>
                      <w:szCs w:val="21"/>
                    </w:rPr>
                    <w:t>0.06</w:t>
                  </w:r>
                </w:p>
              </w:tc>
              <w:tc>
                <w:tcPr>
                  <w:tcW w:w="1033" w:type="dxa"/>
                  <w:vAlign w:val="center"/>
                </w:tcPr>
                <w:p>
                  <w:pPr>
                    <w:pStyle w:val="39"/>
                    <w:jc w:val="center"/>
                    <w:rPr>
                      <w:rFonts w:cs="Times New Roman"/>
                      <w:b w:val="0"/>
                      <w:szCs w:val="21"/>
                    </w:rPr>
                  </w:pPr>
                  <w:r>
                    <w:rPr>
                      <w:rFonts w:hint="eastAsia" w:cs="Times New Roman"/>
                      <w:b w:val="0"/>
                      <w:szCs w:val="21"/>
                    </w:rPr>
                    <w:t>0.07</w:t>
                  </w:r>
                </w:p>
              </w:tc>
              <w:tc>
                <w:tcPr>
                  <w:tcW w:w="1034" w:type="dxa"/>
                  <w:vAlign w:val="center"/>
                </w:tcPr>
                <w:p>
                  <w:pPr>
                    <w:pStyle w:val="39"/>
                    <w:jc w:val="center"/>
                    <w:rPr>
                      <w:rFonts w:cs="Times New Roman"/>
                      <w:b w:val="0"/>
                      <w:szCs w:val="21"/>
                    </w:rPr>
                  </w:pPr>
                  <w:r>
                    <w:rPr>
                      <w:rFonts w:hint="eastAsia" w:cs="Times New Roman"/>
                      <w:b w:val="0"/>
                      <w:szCs w:val="21"/>
                    </w:rPr>
                    <w:t>0.07</w:t>
                  </w:r>
                </w:p>
              </w:tc>
              <w:tc>
                <w:tcPr>
                  <w:tcW w:w="1034" w:type="dxa"/>
                  <w:vAlign w:val="center"/>
                </w:tcPr>
                <w:p>
                  <w:pPr>
                    <w:pStyle w:val="39"/>
                    <w:jc w:val="center"/>
                    <w:rPr>
                      <w:rFonts w:cs="Times New Roman"/>
                      <w:b w:val="0"/>
                      <w:szCs w:val="21"/>
                    </w:rPr>
                  </w:pPr>
                  <w:r>
                    <w:rPr>
                      <w:rFonts w:hint="eastAsia" w:cs="Times New Roman"/>
                      <w:b w:val="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restart"/>
                  <w:shd w:val="pct10" w:color="auto" w:fill="auto"/>
                  <w:vAlign w:val="center"/>
                </w:tcPr>
                <w:p>
                  <w:pPr>
                    <w:pStyle w:val="39"/>
                    <w:jc w:val="center"/>
                    <w:rPr>
                      <w:rFonts w:cs="Times New Roman"/>
                      <w:szCs w:val="21"/>
                    </w:rPr>
                  </w:pPr>
                  <w:r>
                    <w:rPr>
                      <w:rFonts w:hint="eastAsia" w:cs="Times New Roman"/>
                      <w:szCs w:val="21"/>
                    </w:rPr>
                    <w:t>机动车拆解加工车间</w:t>
                  </w:r>
                </w:p>
              </w:tc>
              <w:tc>
                <w:tcPr>
                  <w:tcW w:w="747" w:type="dxa"/>
                  <w:shd w:val="pct10" w:color="auto" w:fill="auto"/>
                  <w:vAlign w:val="center"/>
                </w:tcPr>
                <w:p>
                  <w:pPr>
                    <w:pStyle w:val="39"/>
                    <w:jc w:val="center"/>
                    <w:rPr>
                      <w:rFonts w:cs="Times New Roman"/>
                      <w:szCs w:val="21"/>
                    </w:rPr>
                  </w:pPr>
                  <w:r>
                    <w:rPr>
                      <w:rFonts w:hint="eastAsia" w:cs="Times New Roman"/>
                      <w:szCs w:val="21"/>
                    </w:rPr>
                    <w:t>浓度</w:t>
                  </w:r>
                  <w:r>
                    <w:rPr>
                      <w:rFonts w:hint="eastAsia" w:cs="Times New Roman"/>
                      <w:sz w:val="18"/>
                      <w:szCs w:val="18"/>
                    </w:rPr>
                    <w:t>mg/m</w:t>
                  </w:r>
                  <w:r>
                    <w:rPr>
                      <w:rFonts w:hint="eastAsia" w:cs="Times New Roman"/>
                      <w:sz w:val="18"/>
                      <w:szCs w:val="18"/>
                      <w:vertAlign w:val="superscript"/>
                    </w:rPr>
                    <w:t>3</w:t>
                  </w:r>
                </w:p>
              </w:tc>
              <w:tc>
                <w:tcPr>
                  <w:tcW w:w="1033" w:type="dxa"/>
                  <w:vAlign w:val="center"/>
                </w:tcPr>
                <w:p>
                  <w:pPr>
                    <w:pStyle w:val="39"/>
                    <w:jc w:val="center"/>
                    <w:rPr>
                      <w:rFonts w:cs="Times New Roman"/>
                      <w:b w:val="0"/>
                      <w:szCs w:val="21"/>
                    </w:rPr>
                  </w:pPr>
                  <w:r>
                    <w:rPr>
                      <w:rFonts w:hint="eastAsia" w:cs="Times New Roman"/>
                      <w:b w:val="0"/>
                      <w:szCs w:val="21"/>
                    </w:rPr>
                    <w:t>9.15E-04</w:t>
                  </w:r>
                </w:p>
              </w:tc>
              <w:tc>
                <w:tcPr>
                  <w:tcW w:w="1033" w:type="dxa"/>
                  <w:vAlign w:val="center"/>
                </w:tcPr>
                <w:p>
                  <w:pPr>
                    <w:pStyle w:val="39"/>
                    <w:jc w:val="center"/>
                    <w:rPr>
                      <w:rFonts w:cs="Times New Roman"/>
                      <w:b w:val="0"/>
                      <w:szCs w:val="21"/>
                    </w:rPr>
                  </w:pPr>
                  <w:r>
                    <w:rPr>
                      <w:rFonts w:hint="eastAsia" w:cs="Times New Roman"/>
                      <w:b w:val="0"/>
                      <w:szCs w:val="21"/>
                    </w:rPr>
                    <w:t>9.93E-04</w:t>
                  </w:r>
                </w:p>
              </w:tc>
              <w:tc>
                <w:tcPr>
                  <w:tcW w:w="1033" w:type="dxa"/>
                  <w:vAlign w:val="center"/>
                </w:tcPr>
                <w:p>
                  <w:pPr>
                    <w:pStyle w:val="39"/>
                    <w:jc w:val="center"/>
                    <w:rPr>
                      <w:rFonts w:cs="Times New Roman"/>
                      <w:b w:val="0"/>
                      <w:szCs w:val="21"/>
                    </w:rPr>
                  </w:pPr>
                  <w:r>
                    <w:rPr>
                      <w:rFonts w:hint="eastAsia" w:cs="Times New Roman"/>
                      <w:b w:val="0"/>
                      <w:szCs w:val="21"/>
                    </w:rPr>
                    <w:t>1.11E-03</w:t>
                  </w:r>
                </w:p>
              </w:tc>
              <w:tc>
                <w:tcPr>
                  <w:tcW w:w="1033" w:type="dxa"/>
                  <w:vAlign w:val="center"/>
                </w:tcPr>
                <w:p>
                  <w:pPr>
                    <w:pStyle w:val="39"/>
                    <w:jc w:val="center"/>
                    <w:rPr>
                      <w:rFonts w:cs="Times New Roman"/>
                      <w:b w:val="0"/>
                      <w:szCs w:val="21"/>
                    </w:rPr>
                  </w:pPr>
                  <w:r>
                    <w:rPr>
                      <w:rFonts w:hint="eastAsia" w:cs="Times New Roman"/>
                      <w:b w:val="0"/>
                      <w:szCs w:val="21"/>
                    </w:rPr>
                    <w:t>1.21E-03</w:t>
                  </w:r>
                </w:p>
              </w:tc>
              <w:tc>
                <w:tcPr>
                  <w:tcW w:w="1034" w:type="dxa"/>
                  <w:vAlign w:val="center"/>
                </w:tcPr>
                <w:p>
                  <w:pPr>
                    <w:pStyle w:val="39"/>
                    <w:jc w:val="center"/>
                    <w:rPr>
                      <w:rFonts w:cs="Times New Roman"/>
                      <w:b w:val="0"/>
                      <w:szCs w:val="21"/>
                    </w:rPr>
                  </w:pPr>
                  <w:r>
                    <w:rPr>
                      <w:rFonts w:hint="eastAsia" w:cs="Times New Roman"/>
                      <w:b w:val="0"/>
                      <w:szCs w:val="21"/>
                    </w:rPr>
                    <w:t>1.29E-03</w:t>
                  </w:r>
                </w:p>
              </w:tc>
              <w:tc>
                <w:tcPr>
                  <w:tcW w:w="1034" w:type="dxa"/>
                  <w:vAlign w:val="center"/>
                </w:tcPr>
                <w:p>
                  <w:pPr>
                    <w:pStyle w:val="39"/>
                    <w:jc w:val="center"/>
                    <w:rPr>
                      <w:rFonts w:cs="Times New Roman"/>
                      <w:b w:val="0"/>
                      <w:szCs w:val="21"/>
                    </w:rPr>
                  </w:pPr>
                  <w:r>
                    <w:rPr>
                      <w:rFonts w:hint="eastAsia" w:cs="Times New Roman"/>
                      <w:b w:val="0"/>
                      <w:szCs w:val="21"/>
                    </w:rPr>
                    <w:t>1.12E-03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7" w:type="dxa"/>
                  <w:vMerge w:val="continue"/>
                  <w:shd w:val="pct10" w:color="auto" w:fill="auto"/>
                  <w:vAlign w:val="center"/>
                </w:tcPr>
                <w:p>
                  <w:pPr>
                    <w:pStyle w:val="39"/>
                    <w:jc w:val="center"/>
                    <w:rPr>
                      <w:rFonts w:cs="Times New Roman"/>
                      <w:szCs w:val="21"/>
                    </w:rPr>
                  </w:pPr>
                </w:p>
              </w:tc>
              <w:tc>
                <w:tcPr>
                  <w:tcW w:w="923" w:type="dxa"/>
                  <w:vMerge w:val="continue"/>
                  <w:shd w:val="pct10" w:color="auto" w:fill="auto"/>
                  <w:vAlign w:val="center"/>
                </w:tcPr>
                <w:p>
                  <w:pPr>
                    <w:pStyle w:val="39"/>
                    <w:jc w:val="center"/>
                    <w:rPr>
                      <w:rFonts w:cs="Times New Roman"/>
                      <w:szCs w:val="21"/>
                    </w:rPr>
                  </w:pPr>
                </w:p>
              </w:tc>
              <w:tc>
                <w:tcPr>
                  <w:tcW w:w="747" w:type="dxa"/>
                  <w:shd w:val="pct10" w:color="auto" w:fill="auto"/>
                  <w:vAlign w:val="center"/>
                </w:tcPr>
                <w:p>
                  <w:pPr>
                    <w:pStyle w:val="39"/>
                    <w:jc w:val="center"/>
                    <w:rPr>
                      <w:rFonts w:cs="Times New Roman"/>
                      <w:szCs w:val="21"/>
                    </w:rPr>
                  </w:pPr>
                  <w:r>
                    <w:rPr>
                      <w:rFonts w:hint="eastAsia" w:cs="Times New Roman"/>
                      <w:szCs w:val="21"/>
                    </w:rPr>
                    <w:t>占标率%</w:t>
                  </w:r>
                </w:p>
              </w:tc>
              <w:tc>
                <w:tcPr>
                  <w:tcW w:w="1033" w:type="dxa"/>
                  <w:vAlign w:val="center"/>
                </w:tcPr>
                <w:p>
                  <w:pPr>
                    <w:pStyle w:val="39"/>
                    <w:jc w:val="center"/>
                    <w:rPr>
                      <w:rFonts w:cs="Times New Roman"/>
                      <w:b w:val="0"/>
                      <w:szCs w:val="21"/>
                    </w:rPr>
                  </w:pPr>
                  <w:r>
                    <w:rPr>
                      <w:rFonts w:hint="eastAsia" w:cs="Times New Roman"/>
                      <w:b w:val="0"/>
                      <w:szCs w:val="21"/>
                    </w:rPr>
                    <w:t>0.08</w:t>
                  </w:r>
                </w:p>
              </w:tc>
              <w:tc>
                <w:tcPr>
                  <w:tcW w:w="1033" w:type="dxa"/>
                  <w:vAlign w:val="center"/>
                </w:tcPr>
                <w:p>
                  <w:pPr>
                    <w:pStyle w:val="39"/>
                    <w:jc w:val="center"/>
                    <w:rPr>
                      <w:rFonts w:cs="Times New Roman"/>
                      <w:b w:val="0"/>
                      <w:szCs w:val="21"/>
                    </w:rPr>
                  </w:pPr>
                  <w:r>
                    <w:rPr>
                      <w:rFonts w:hint="eastAsia" w:cs="Times New Roman"/>
                      <w:b w:val="0"/>
                      <w:szCs w:val="21"/>
                    </w:rPr>
                    <w:t>0.08</w:t>
                  </w:r>
                </w:p>
              </w:tc>
              <w:tc>
                <w:tcPr>
                  <w:tcW w:w="1033" w:type="dxa"/>
                  <w:vAlign w:val="center"/>
                </w:tcPr>
                <w:p>
                  <w:pPr>
                    <w:pStyle w:val="39"/>
                    <w:jc w:val="center"/>
                    <w:rPr>
                      <w:rFonts w:cs="Times New Roman"/>
                      <w:b w:val="0"/>
                      <w:szCs w:val="21"/>
                    </w:rPr>
                  </w:pPr>
                  <w:r>
                    <w:rPr>
                      <w:rFonts w:hint="eastAsia" w:cs="Times New Roman"/>
                      <w:b w:val="0"/>
                      <w:szCs w:val="21"/>
                    </w:rPr>
                    <w:t>0.09</w:t>
                  </w:r>
                </w:p>
              </w:tc>
              <w:tc>
                <w:tcPr>
                  <w:tcW w:w="1033" w:type="dxa"/>
                  <w:vAlign w:val="center"/>
                </w:tcPr>
                <w:p>
                  <w:pPr>
                    <w:pStyle w:val="39"/>
                    <w:jc w:val="center"/>
                    <w:rPr>
                      <w:rFonts w:cs="Times New Roman"/>
                      <w:b w:val="0"/>
                      <w:szCs w:val="21"/>
                    </w:rPr>
                  </w:pPr>
                  <w:r>
                    <w:rPr>
                      <w:rFonts w:hint="eastAsia" w:cs="Times New Roman"/>
                      <w:b w:val="0"/>
                      <w:szCs w:val="21"/>
                    </w:rPr>
                    <w:t>0.10</w:t>
                  </w:r>
                </w:p>
              </w:tc>
              <w:tc>
                <w:tcPr>
                  <w:tcW w:w="1034" w:type="dxa"/>
                  <w:vAlign w:val="center"/>
                </w:tcPr>
                <w:p>
                  <w:pPr>
                    <w:pStyle w:val="39"/>
                    <w:jc w:val="center"/>
                    <w:rPr>
                      <w:rFonts w:cs="Times New Roman"/>
                      <w:b w:val="0"/>
                      <w:szCs w:val="21"/>
                    </w:rPr>
                  </w:pPr>
                  <w:r>
                    <w:rPr>
                      <w:rFonts w:hint="eastAsia" w:cs="Times New Roman"/>
                      <w:b w:val="0"/>
                      <w:szCs w:val="21"/>
                    </w:rPr>
                    <w:t>0.11</w:t>
                  </w:r>
                </w:p>
              </w:tc>
              <w:tc>
                <w:tcPr>
                  <w:tcW w:w="1034" w:type="dxa"/>
                  <w:vAlign w:val="center"/>
                </w:tcPr>
                <w:p>
                  <w:pPr>
                    <w:pStyle w:val="39"/>
                    <w:jc w:val="center"/>
                    <w:rPr>
                      <w:rFonts w:cs="Times New Roman"/>
                      <w:b w:val="0"/>
                      <w:szCs w:val="21"/>
                    </w:rPr>
                  </w:pPr>
                  <w:r>
                    <w:rPr>
                      <w:rFonts w:hint="eastAsia" w:cs="Times New Roman"/>
                      <w:b w:val="0"/>
                      <w:szCs w:val="21"/>
                    </w:rPr>
                    <w:t>0.09</w:t>
                  </w:r>
                </w:p>
              </w:tc>
            </w:tr>
          </w:tbl>
          <w:p>
            <w:pPr>
              <w:ind w:firstLine="480"/>
              <w:rPr>
                <w:sz w:val="24"/>
                <w:szCs w:val="24"/>
              </w:rPr>
            </w:pPr>
            <w:r>
              <w:rPr>
                <w:rFonts w:hint="eastAsia"/>
                <w:sz w:val="24"/>
                <w:szCs w:val="24"/>
              </w:rPr>
              <w:t>根据预测结果可知本项目对周围大气环境影响较小，且安康及时雨食品有限公司位于本项目常年主导风向上风向位置。综上所述，本项目对安康及时雨食品有限公司影响较小。</w:t>
            </w:r>
          </w:p>
          <w:p>
            <w:pPr>
              <w:ind w:firstLine="480"/>
              <w:rPr>
                <w:sz w:val="24"/>
                <w:szCs w:val="24"/>
              </w:rPr>
            </w:pPr>
            <w:r>
              <w:rPr>
                <w:rFonts w:hint="eastAsia"/>
                <w:sz w:val="24"/>
                <w:szCs w:val="24"/>
              </w:rPr>
              <w:t>（5）废气非正常排放情况</w:t>
            </w:r>
          </w:p>
          <w:p>
            <w:pPr>
              <w:ind w:firstLine="480"/>
              <w:rPr>
                <w:sz w:val="24"/>
                <w:szCs w:val="24"/>
              </w:rPr>
            </w:pPr>
            <w:r>
              <w:rPr>
                <w:rFonts w:hint="eastAsia"/>
                <w:sz w:val="24"/>
                <w:szCs w:val="24"/>
              </w:rPr>
              <w:t>根据本项目特点，本次评价非正常排放情况主要考虑厂内所有除尘器装置故障，处理效率降低至</w:t>
            </w:r>
            <w:r>
              <w:rPr>
                <w:sz w:val="24"/>
                <w:szCs w:val="24"/>
              </w:rPr>
              <w:t>5</w:t>
            </w:r>
            <w:r>
              <w:rPr>
                <w:rFonts w:hint="eastAsia"/>
                <w:sz w:val="24"/>
                <w:szCs w:val="24"/>
              </w:rPr>
              <w:t>0%，且紫外光氧+活性炭吸附装置故障，处理效率降低至</w:t>
            </w:r>
            <w:r>
              <w:rPr>
                <w:sz w:val="24"/>
                <w:szCs w:val="24"/>
              </w:rPr>
              <w:t>2</w:t>
            </w:r>
            <w:r>
              <w:rPr>
                <w:rFonts w:hint="eastAsia"/>
                <w:sz w:val="24"/>
                <w:szCs w:val="24"/>
              </w:rPr>
              <w:t>0%，而导致污染物排放量增大的情况。则本项目废气非正常排放污染物情况见表4-</w:t>
            </w:r>
            <w:r>
              <w:rPr>
                <w:sz w:val="24"/>
                <w:szCs w:val="24"/>
              </w:rPr>
              <w:t>1</w:t>
            </w:r>
            <w:r>
              <w:rPr>
                <w:rFonts w:hint="eastAsia"/>
                <w:sz w:val="24"/>
                <w:szCs w:val="24"/>
              </w:rPr>
              <w:t>3。</w:t>
            </w:r>
          </w:p>
          <w:p>
            <w:pPr>
              <w:pStyle w:val="34"/>
              <w:ind w:firstLine="480"/>
              <w:rPr>
                <w:b/>
                <w:sz w:val="24"/>
              </w:rPr>
            </w:pPr>
            <w:r>
              <w:rPr>
                <w:b/>
                <w:sz w:val="24"/>
              </w:rPr>
              <w:t>表</w:t>
            </w:r>
            <w:r>
              <w:rPr>
                <w:rFonts w:hint="eastAsia"/>
                <w:b/>
                <w:sz w:val="24"/>
              </w:rPr>
              <w:t>4-</w:t>
            </w:r>
            <w:r>
              <w:rPr>
                <w:b/>
                <w:sz w:val="24"/>
              </w:rPr>
              <w:t>1</w:t>
            </w:r>
            <w:r>
              <w:rPr>
                <w:rFonts w:hint="eastAsia"/>
                <w:b/>
                <w:sz w:val="24"/>
              </w:rPr>
              <w:t>3</w:t>
            </w:r>
            <w:r>
              <w:rPr>
                <w:b/>
                <w:sz w:val="24"/>
              </w:rPr>
              <w:t xml:space="preserve">  </w:t>
            </w:r>
            <w:r>
              <w:rPr>
                <w:rFonts w:hint="eastAsia"/>
                <w:b/>
                <w:sz w:val="24"/>
              </w:rPr>
              <w:t>污染源非正常排放量核算表</w:t>
            </w:r>
          </w:p>
          <w:tbl>
            <w:tblPr>
              <w:tblStyle w:val="21"/>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1418"/>
              <w:gridCol w:w="2146"/>
              <w:gridCol w:w="1223"/>
              <w:gridCol w:w="1016"/>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96" w:type="dxa"/>
                  <w:tcBorders>
                    <w:top w:val="single" w:color="auto" w:sz="4" w:space="0"/>
                    <w:left w:val="single" w:color="auto" w:sz="4" w:space="0"/>
                    <w:right w:val="single" w:color="auto" w:sz="4" w:space="0"/>
                  </w:tcBorders>
                  <w:shd w:val="pct10" w:color="auto" w:fill="auto"/>
                  <w:vAlign w:val="center"/>
                </w:tcPr>
                <w:p>
                  <w:pPr>
                    <w:pStyle w:val="34"/>
                    <w:rPr>
                      <w:b/>
                      <w:bCs/>
                      <w:szCs w:val="21"/>
                    </w:rPr>
                  </w:pPr>
                  <w:r>
                    <w:rPr>
                      <w:b/>
                      <w:bCs/>
                      <w:szCs w:val="21"/>
                    </w:rPr>
                    <w:t>污染源</w:t>
                  </w:r>
                </w:p>
              </w:tc>
              <w:tc>
                <w:tcPr>
                  <w:tcW w:w="1418" w:type="dxa"/>
                  <w:tcBorders>
                    <w:top w:val="single" w:color="auto" w:sz="4" w:space="0"/>
                    <w:left w:val="single" w:color="auto" w:sz="4" w:space="0"/>
                    <w:right w:val="single" w:color="auto" w:sz="4" w:space="0"/>
                  </w:tcBorders>
                  <w:shd w:val="pct10" w:color="auto" w:fill="auto"/>
                  <w:vAlign w:val="center"/>
                </w:tcPr>
                <w:p>
                  <w:pPr>
                    <w:pStyle w:val="34"/>
                    <w:rPr>
                      <w:b/>
                      <w:bCs/>
                      <w:szCs w:val="21"/>
                    </w:rPr>
                  </w:pPr>
                  <w:r>
                    <w:rPr>
                      <w:rFonts w:hint="eastAsia"/>
                      <w:b/>
                      <w:bCs/>
                      <w:szCs w:val="21"/>
                    </w:rPr>
                    <w:t>废气量Nm</w:t>
                  </w:r>
                  <w:r>
                    <w:rPr>
                      <w:b/>
                      <w:bCs/>
                      <w:szCs w:val="21"/>
                      <w:vertAlign w:val="superscript"/>
                    </w:rPr>
                    <w:t>3</w:t>
                  </w:r>
                  <w:r>
                    <w:rPr>
                      <w:b/>
                      <w:bCs/>
                      <w:szCs w:val="21"/>
                    </w:rPr>
                    <w:t>/</w:t>
                  </w:r>
                  <w:r>
                    <w:rPr>
                      <w:rFonts w:hint="eastAsia"/>
                      <w:b/>
                      <w:bCs/>
                      <w:szCs w:val="21"/>
                    </w:rPr>
                    <w:t>h</w:t>
                  </w:r>
                </w:p>
              </w:tc>
              <w:tc>
                <w:tcPr>
                  <w:tcW w:w="2146" w:type="dxa"/>
                  <w:tcBorders>
                    <w:top w:val="single" w:color="auto" w:sz="4" w:space="0"/>
                    <w:left w:val="single" w:color="auto" w:sz="4" w:space="0"/>
                    <w:right w:val="single" w:color="auto" w:sz="4" w:space="0"/>
                  </w:tcBorders>
                  <w:shd w:val="pct10" w:color="auto" w:fill="auto"/>
                  <w:vAlign w:val="center"/>
                </w:tcPr>
                <w:p>
                  <w:pPr>
                    <w:pStyle w:val="34"/>
                    <w:rPr>
                      <w:b/>
                      <w:bCs/>
                      <w:szCs w:val="21"/>
                    </w:rPr>
                  </w:pPr>
                  <w:r>
                    <w:rPr>
                      <w:b/>
                      <w:bCs/>
                      <w:szCs w:val="21"/>
                    </w:rPr>
                    <w:t>污染物</w:t>
                  </w:r>
                </w:p>
              </w:tc>
              <w:tc>
                <w:tcPr>
                  <w:tcW w:w="1223" w:type="dxa"/>
                  <w:tcBorders>
                    <w:top w:val="single" w:color="auto" w:sz="4" w:space="0"/>
                    <w:left w:val="single" w:color="auto" w:sz="4" w:space="0"/>
                    <w:right w:val="single" w:color="auto" w:sz="4" w:space="0"/>
                  </w:tcBorders>
                  <w:shd w:val="pct10" w:color="auto" w:fill="auto"/>
                  <w:vAlign w:val="center"/>
                </w:tcPr>
                <w:p>
                  <w:pPr>
                    <w:pStyle w:val="34"/>
                    <w:rPr>
                      <w:b/>
                      <w:bCs/>
                      <w:szCs w:val="21"/>
                    </w:rPr>
                  </w:pPr>
                  <w:r>
                    <w:rPr>
                      <w:b/>
                      <w:bCs/>
                      <w:szCs w:val="21"/>
                    </w:rPr>
                    <w:t>排放浓度mg</w:t>
                  </w:r>
                  <w:r>
                    <w:rPr>
                      <w:rFonts w:hint="eastAsia"/>
                      <w:b/>
                      <w:bCs/>
                      <w:szCs w:val="21"/>
                    </w:rPr>
                    <w:t>/m</w:t>
                  </w:r>
                  <w:r>
                    <w:rPr>
                      <w:rFonts w:hint="eastAsia"/>
                      <w:b/>
                      <w:bCs/>
                      <w:szCs w:val="21"/>
                      <w:vertAlign w:val="superscript"/>
                    </w:rPr>
                    <w:t>3</w:t>
                  </w:r>
                </w:p>
              </w:tc>
              <w:tc>
                <w:tcPr>
                  <w:tcW w:w="1016" w:type="dxa"/>
                  <w:tcBorders>
                    <w:top w:val="single" w:color="auto" w:sz="4" w:space="0"/>
                    <w:left w:val="single" w:color="auto" w:sz="4" w:space="0"/>
                    <w:right w:val="single" w:color="auto" w:sz="4" w:space="0"/>
                  </w:tcBorders>
                  <w:shd w:val="pct10" w:color="auto" w:fill="auto"/>
                  <w:vAlign w:val="center"/>
                </w:tcPr>
                <w:p>
                  <w:pPr>
                    <w:pStyle w:val="34"/>
                    <w:rPr>
                      <w:b/>
                      <w:bCs/>
                      <w:szCs w:val="21"/>
                    </w:rPr>
                  </w:pPr>
                  <w:r>
                    <w:rPr>
                      <w:b/>
                      <w:bCs/>
                      <w:szCs w:val="21"/>
                    </w:rPr>
                    <w:t>排放速率kg</w:t>
                  </w:r>
                  <w:r>
                    <w:rPr>
                      <w:rFonts w:hint="eastAsia"/>
                      <w:b/>
                      <w:bCs/>
                      <w:szCs w:val="21"/>
                    </w:rPr>
                    <w:t>/h</w:t>
                  </w:r>
                </w:p>
              </w:tc>
              <w:tc>
                <w:tcPr>
                  <w:tcW w:w="701" w:type="dxa"/>
                  <w:tcBorders>
                    <w:top w:val="single" w:color="auto" w:sz="4" w:space="0"/>
                    <w:left w:val="single" w:color="auto" w:sz="4" w:space="0"/>
                    <w:right w:val="single" w:color="auto" w:sz="4" w:space="0"/>
                  </w:tcBorders>
                  <w:shd w:val="pct10" w:color="auto" w:fill="auto"/>
                  <w:vAlign w:val="center"/>
                </w:tcPr>
                <w:p>
                  <w:pPr>
                    <w:pStyle w:val="34"/>
                    <w:rPr>
                      <w:b/>
                      <w:bCs/>
                      <w:szCs w:val="21"/>
                    </w:rPr>
                  </w:pPr>
                  <w:r>
                    <w:rPr>
                      <w:b/>
                      <w:bCs/>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96"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1#废弃电器拆解排气筒</w:t>
                  </w:r>
                </w:p>
              </w:tc>
              <w:tc>
                <w:tcPr>
                  <w:tcW w:w="1418" w:type="dxa"/>
                  <w:tcBorders>
                    <w:top w:val="single" w:color="auto" w:sz="4" w:space="0"/>
                    <w:left w:val="single" w:color="auto" w:sz="4" w:space="0"/>
                    <w:right w:val="single" w:color="auto" w:sz="4" w:space="0"/>
                  </w:tcBorders>
                  <w:vAlign w:val="center"/>
                </w:tcPr>
                <w:p>
                  <w:pPr>
                    <w:pStyle w:val="34"/>
                    <w:rPr>
                      <w:szCs w:val="21"/>
                    </w:rPr>
                  </w:pPr>
                  <w:r>
                    <w:rPr>
                      <w:rFonts w:hint="eastAsia"/>
                      <w:szCs w:val="21"/>
                    </w:rPr>
                    <w:t>1</w:t>
                  </w:r>
                  <w:r>
                    <w:rPr>
                      <w:szCs w:val="21"/>
                    </w:rPr>
                    <w:t>0000</w:t>
                  </w:r>
                </w:p>
              </w:tc>
              <w:tc>
                <w:tcPr>
                  <w:tcW w:w="2146" w:type="dxa"/>
                  <w:tcBorders>
                    <w:top w:val="single" w:color="auto" w:sz="4" w:space="0"/>
                    <w:left w:val="single" w:color="auto" w:sz="4" w:space="0"/>
                    <w:right w:val="single" w:color="auto" w:sz="4" w:space="0"/>
                  </w:tcBorders>
                  <w:vAlign w:val="center"/>
                </w:tcPr>
                <w:p>
                  <w:pPr>
                    <w:pStyle w:val="34"/>
                    <w:rPr>
                      <w:szCs w:val="21"/>
                    </w:rPr>
                  </w:pPr>
                  <w:r>
                    <w:rPr>
                      <w:szCs w:val="21"/>
                    </w:rPr>
                    <w:t>颗粒物</w:t>
                  </w:r>
                </w:p>
              </w:tc>
              <w:tc>
                <w:tcPr>
                  <w:tcW w:w="1223"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1</w:t>
                  </w:r>
                  <w:r>
                    <w:rPr>
                      <w:szCs w:val="21"/>
                    </w:rPr>
                    <w:t>5</w:t>
                  </w:r>
                </w:p>
              </w:tc>
              <w:tc>
                <w:tcPr>
                  <w:tcW w:w="101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0</w:t>
                  </w:r>
                  <w:r>
                    <w:rPr>
                      <w:szCs w:val="21"/>
                    </w:rPr>
                    <w:t>.15</w:t>
                  </w:r>
                </w:p>
              </w:tc>
              <w:tc>
                <w:tcPr>
                  <w:tcW w:w="701" w:type="dxa"/>
                  <w:vMerge w:val="restart"/>
                  <w:tcBorders>
                    <w:top w:val="single" w:color="auto" w:sz="4" w:space="0"/>
                    <w:left w:val="single" w:color="auto" w:sz="4" w:space="0"/>
                    <w:right w:val="single" w:color="auto" w:sz="4" w:space="0"/>
                  </w:tcBorders>
                  <w:vAlign w:val="center"/>
                </w:tcPr>
                <w:p>
                  <w:pPr>
                    <w:pStyle w:val="34"/>
                    <w:rPr>
                      <w:szCs w:val="21"/>
                    </w:rPr>
                  </w:pPr>
                  <w:r>
                    <w:rPr>
                      <w:szCs w:val="21"/>
                    </w:rPr>
                    <w:t>停工检修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96" w:type="dxa"/>
                  <w:vMerge w:val="restart"/>
                  <w:tcBorders>
                    <w:top w:val="single" w:color="auto" w:sz="4" w:space="0"/>
                    <w:left w:val="single" w:color="auto" w:sz="4" w:space="0"/>
                    <w:right w:val="single" w:color="auto" w:sz="4" w:space="0"/>
                  </w:tcBorders>
                  <w:vAlign w:val="center"/>
                </w:tcPr>
                <w:p>
                  <w:pPr>
                    <w:pStyle w:val="34"/>
                    <w:rPr>
                      <w:szCs w:val="21"/>
                    </w:rPr>
                  </w:pPr>
                  <w:r>
                    <w:rPr>
                      <w:rFonts w:hint="eastAsia"/>
                      <w:szCs w:val="21"/>
                    </w:rPr>
                    <w:t>2#电器拆解后加工排气筒</w:t>
                  </w:r>
                </w:p>
              </w:tc>
              <w:tc>
                <w:tcPr>
                  <w:tcW w:w="1418" w:type="dxa"/>
                  <w:vMerge w:val="restart"/>
                  <w:tcBorders>
                    <w:top w:val="single" w:color="auto" w:sz="4" w:space="0"/>
                    <w:left w:val="single" w:color="auto" w:sz="4" w:space="0"/>
                    <w:right w:val="single" w:color="auto" w:sz="4" w:space="0"/>
                  </w:tcBorders>
                  <w:vAlign w:val="center"/>
                </w:tcPr>
                <w:p>
                  <w:pPr>
                    <w:pStyle w:val="34"/>
                    <w:rPr>
                      <w:szCs w:val="21"/>
                    </w:rPr>
                  </w:pPr>
                  <w:r>
                    <w:rPr>
                      <w:rFonts w:hint="eastAsia"/>
                      <w:szCs w:val="21"/>
                    </w:rPr>
                    <w:t>1</w:t>
                  </w:r>
                  <w:r>
                    <w:rPr>
                      <w:szCs w:val="21"/>
                    </w:rPr>
                    <w:t>0000</w:t>
                  </w:r>
                </w:p>
              </w:tc>
              <w:tc>
                <w:tcPr>
                  <w:tcW w:w="2146" w:type="dxa"/>
                  <w:tcBorders>
                    <w:top w:val="single" w:color="auto" w:sz="4" w:space="0"/>
                    <w:left w:val="single" w:color="auto" w:sz="4" w:space="0"/>
                    <w:right w:val="single" w:color="auto" w:sz="4" w:space="0"/>
                  </w:tcBorders>
                  <w:vAlign w:val="center"/>
                </w:tcPr>
                <w:p>
                  <w:pPr>
                    <w:pStyle w:val="34"/>
                    <w:rPr>
                      <w:szCs w:val="21"/>
                    </w:rPr>
                  </w:pPr>
                  <w:r>
                    <w:rPr>
                      <w:szCs w:val="21"/>
                    </w:rPr>
                    <w:t>颗粒物</w:t>
                  </w:r>
                </w:p>
              </w:tc>
              <w:tc>
                <w:tcPr>
                  <w:tcW w:w="1223"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6.1</w:t>
                  </w:r>
                </w:p>
              </w:tc>
              <w:tc>
                <w:tcPr>
                  <w:tcW w:w="101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0</w:t>
                  </w:r>
                  <w:r>
                    <w:rPr>
                      <w:szCs w:val="21"/>
                    </w:rPr>
                    <w:t>.</w:t>
                  </w:r>
                  <w:r>
                    <w:rPr>
                      <w:rFonts w:hint="eastAsia"/>
                      <w:szCs w:val="21"/>
                    </w:rPr>
                    <w:t>07</w:t>
                  </w:r>
                </w:p>
              </w:tc>
              <w:tc>
                <w:tcPr>
                  <w:tcW w:w="701" w:type="dxa"/>
                  <w:vMerge w:val="continue"/>
                  <w:tcBorders>
                    <w:left w:val="single" w:color="auto" w:sz="4" w:space="0"/>
                    <w:right w:val="single" w:color="auto" w:sz="4" w:space="0"/>
                  </w:tcBorders>
                  <w:vAlign w:val="center"/>
                </w:tcPr>
                <w:p>
                  <w:pPr>
                    <w:pStyle w:val="34"/>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96" w:type="dxa"/>
                  <w:vMerge w:val="continue"/>
                  <w:tcBorders>
                    <w:left w:val="single" w:color="auto" w:sz="4" w:space="0"/>
                    <w:bottom w:val="single" w:color="auto" w:sz="4" w:space="0"/>
                    <w:right w:val="single" w:color="auto" w:sz="4" w:space="0"/>
                  </w:tcBorders>
                  <w:vAlign w:val="center"/>
                </w:tcPr>
                <w:p>
                  <w:pPr>
                    <w:pStyle w:val="34"/>
                    <w:rPr>
                      <w:szCs w:val="21"/>
                    </w:rPr>
                  </w:pPr>
                </w:p>
              </w:tc>
              <w:tc>
                <w:tcPr>
                  <w:tcW w:w="1418" w:type="dxa"/>
                  <w:vMerge w:val="continue"/>
                  <w:tcBorders>
                    <w:left w:val="single" w:color="auto" w:sz="4" w:space="0"/>
                    <w:bottom w:val="single" w:color="auto" w:sz="4" w:space="0"/>
                    <w:right w:val="single" w:color="auto" w:sz="4" w:space="0"/>
                  </w:tcBorders>
                  <w:vAlign w:val="center"/>
                </w:tcPr>
                <w:p>
                  <w:pPr>
                    <w:pStyle w:val="34"/>
                    <w:rPr>
                      <w:szCs w:val="21"/>
                    </w:rPr>
                  </w:pPr>
                </w:p>
              </w:tc>
              <w:tc>
                <w:tcPr>
                  <w:tcW w:w="2146" w:type="dxa"/>
                  <w:tcBorders>
                    <w:top w:val="single" w:color="auto" w:sz="4" w:space="0"/>
                    <w:left w:val="single" w:color="auto" w:sz="4" w:space="0"/>
                    <w:right w:val="single" w:color="auto" w:sz="4" w:space="0"/>
                  </w:tcBorders>
                  <w:vAlign w:val="center"/>
                </w:tcPr>
                <w:p>
                  <w:pPr>
                    <w:pStyle w:val="34"/>
                    <w:rPr>
                      <w:szCs w:val="21"/>
                    </w:rPr>
                  </w:pPr>
                  <w:r>
                    <w:rPr>
                      <w:szCs w:val="21"/>
                    </w:rPr>
                    <w:t>非甲烷总烃</w:t>
                  </w:r>
                </w:p>
              </w:tc>
              <w:tc>
                <w:tcPr>
                  <w:tcW w:w="1223"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6</w:t>
                  </w:r>
                </w:p>
              </w:tc>
              <w:tc>
                <w:tcPr>
                  <w:tcW w:w="101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0</w:t>
                  </w:r>
                  <w:r>
                    <w:rPr>
                      <w:szCs w:val="21"/>
                    </w:rPr>
                    <w:t>.06</w:t>
                  </w:r>
                </w:p>
              </w:tc>
              <w:tc>
                <w:tcPr>
                  <w:tcW w:w="701" w:type="dxa"/>
                  <w:vMerge w:val="continue"/>
                  <w:tcBorders>
                    <w:left w:val="single" w:color="auto" w:sz="4" w:space="0"/>
                    <w:right w:val="single" w:color="auto" w:sz="4" w:space="0"/>
                  </w:tcBorders>
                  <w:vAlign w:val="center"/>
                </w:tcPr>
                <w:p>
                  <w:pPr>
                    <w:pStyle w:val="34"/>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96" w:type="dxa"/>
                  <w:vMerge w:val="restart"/>
                  <w:tcBorders>
                    <w:top w:val="single" w:color="auto" w:sz="4" w:space="0"/>
                    <w:left w:val="single" w:color="auto" w:sz="4" w:space="0"/>
                    <w:right w:val="single" w:color="auto" w:sz="4" w:space="0"/>
                  </w:tcBorders>
                  <w:vAlign w:val="center"/>
                </w:tcPr>
                <w:p>
                  <w:pPr>
                    <w:pStyle w:val="34"/>
                    <w:rPr>
                      <w:szCs w:val="21"/>
                    </w:rPr>
                  </w:pPr>
                  <w:r>
                    <w:rPr>
                      <w:rFonts w:hint="eastAsia"/>
                      <w:szCs w:val="21"/>
                    </w:rPr>
                    <w:t>3#机动车拆解排气筒</w:t>
                  </w:r>
                </w:p>
              </w:tc>
              <w:tc>
                <w:tcPr>
                  <w:tcW w:w="1418" w:type="dxa"/>
                  <w:vMerge w:val="restart"/>
                  <w:tcBorders>
                    <w:top w:val="single" w:color="auto" w:sz="4" w:space="0"/>
                    <w:left w:val="single" w:color="auto" w:sz="4" w:space="0"/>
                    <w:right w:val="single" w:color="auto" w:sz="4" w:space="0"/>
                  </w:tcBorders>
                  <w:vAlign w:val="center"/>
                </w:tcPr>
                <w:p>
                  <w:pPr>
                    <w:pStyle w:val="34"/>
                    <w:rPr>
                      <w:szCs w:val="21"/>
                    </w:rPr>
                  </w:pPr>
                  <w:r>
                    <w:rPr>
                      <w:rFonts w:hint="eastAsia"/>
                      <w:szCs w:val="21"/>
                    </w:rPr>
                    <w:t>5</w:t>
                  </w:r>
                  <w:r>
                    <w:rPr>
                      <w:szCs w:val="21"/>
                    </w:rPr>
                    <w:t>000</w:t>
                  </w:r>
                </w:p>
              </w:tc>
              <w:tc>
                <w:tcPr>
                  <w:tcW w:w="214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颗粒物</w:t>
                  </w:r>
                </w:p>
              </w:tc>
              <w:tc>
                <w:tcPr>
                  <w:tcW w:w="1223"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7</w:t>
                  </w:r>
                  <w:r>
                    <w:rPr>
                      <w:szCs w:val="21"/>
                    </w:rPr>
                    <w:t>44</w:t>
                  </w:r>
                </w:p>
              </w:tc>
              <w:tc>
                <w:tcPr>
                  <w:tcW w:w="101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3</w:t>
                  </w:r>
                  <w:r>
                    <w:rPr>
                      <w:szCs w:val="21"/>
                    </w:rPr>
                    <w:t>.72</w:t>
                  </w:r>
                </w:p>
              </w:tc>
              <w:tc>
                <w:tcPr>
                  <w:tcW w:w="701" w:type="dxa"/>
                  <w:vMerge w:val="continue"/>
                  <w:tcBorders>
                    <w:left w:val="single" w:color="auto" w:sz="4" w:space="0"/>
                    <w:right w:val="single" w:color="auto" w:sz="4" w:space="0"/>
                  </w:tcBorders>
                  <w:vAlign w:val="center"/>
                </w:tcPr>
                <w:p>
                  <w:pPr>
                    <w:pStyle w:val="34"/>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796" w:type="dxa"/>
                  <w:vMerge w:val="continue"/>
                  <w:tcBorders>
                    <w:left w:val="single" w:color="auto" w:sz="4" w:space="0"/>
                    <w:bottom w:val="single" w:color="auto" w:sz="4" w:space="0"/>
                    <w:right w:val="single" w:color="auto" w:sz="4" w:space="0"/>
                  </w:tcBorders>
                  <w:vAlign w:val="center"/>
                </w:tcPr>
                <w:p>
                  <w:pPr>
                    <w:pStyle w:val="34"/>
                    <w:rPr>
                      <w:szCs w:val="21"/>
                    </w:rPr>
                  </w:pPr>
                </w:p>
              </w:tc>
              <w:tc>
                <w:tcPr>
                  <w:tcW w:w="1418" w:type="dxa"/>
                  <w:vMerge w:val="continue"/>
                  <w:tcBorders>
                    <w:left w:val="single" w:color="auto" w:sz="4" w:space="0"/>
                    <w:bottom w:val="single" w:color="auto" w:sz="4" w:space="0"/>
                    <w:right w:val="single" w:color="auto" w:sz="4" w:space="0"/>
                  </w:tcBorders>
                  <w:vAlign w:val="center"/>
                </w:tcPr>
                <w:p>
                  <w:pPr>
                    <w:pStyle w:val="34"/>
                    <w:rPr>
                      <w:szCs w:val="21"/>
                    </w:rPr>
                  </w:pPr>
                </w:p>
              </w:tc>
              <w:tc>
                <w:tcPr>
                  <w:tcW w:w="214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非甲烷总烃</w:t>
                  </w:r>
                </w:p>
              </w:tc>
              <w:tc>
                <w:tcPr>
                  <w:tcW w:w="1223"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4</w:t>
                  </w:r>
                </w:p>
              </w:tc>
              <w:tc>
                <w:tcPr>
                  <w:tcW w:w="1016"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0</w:t>
                  </w:r>
                  <w:r>
                    <w:rPr>
                      <w:szCs w:val="21"/>
                    </w:rPr>
                    <w:t>.02</w:t>
                  </w:r>
                </w:p>
              </w:tc>
              <w:tc>
                <w:tcPr>
                  <w:tcW w:w="701" w:type="dxa"/>
                  <w:vMerge w:val="continue"/>
                  <w:tcBorders>
                    <w:left w:val="single" w:color="auto" w:sz="4" w:space="0"/>
                    <w:bottom w:val="single" w:color="auto" w:sz="4" w:space="0"/>
                    <w:right w:val="single" w:color="auto" w:sz="4" w:space="0"/>
                  </w:tcBorders>
                  <w:vAlign w:val="center"/>
                </w:tcPr>
                <w:p>
                  <w:pPr>
                    <w:pStyle w:val="34"/>
                    <w:rPr>
                      <w:szCs w:val="21"/>
                    </w:rPr>
                  </w:pPr>
                </w:p>
              </w:tc>
            </w:tr>
          </w:tbl>
          <w:p>
            <w:pPr>
              <w:ind w:firstLine="480"/>
              <w:rPr>
                <w:sz w:val="24"/>
                <w:szCs w:val="24"/>
              </w:rPr>
            </w:pPr>
            <w:r>
              <w:rPr>
                <w:rFonts w:hint="eastAsia"/>
                <w:sz w:val="24"/>
                <w:szCs w:val="24"/>
              </w:rPr>
              <w:t>本项目非正常情况下</w:t>
            </w:r>
            <w:r>
              <w:rPr>
                <w:sz w:val="24"/>
                <w:szCs w:val="24"/>
              </w:rPr>
              <w:t>3</w:t>
            </w:r>
            <w:r>
              <w:rPr>
                <w:rFonts w:hint="eastAsia"/>
                <w:sz w:val="24"/>
                <w:szCs w:val="24"/>
              </w:rPr>
              <w:t>#排气筒颗粒物排放不满足《大气污染物综合排放标准》（GB16297-1996）相关限值要求。环评要求建设单位指定专人负责环保设施的管理与维护，确保环保设施正常运行，在环保设施出现故障时及时停工检修。</w:t>
            </w:r>
          </w:p>
          <w:p>
            <w:pPr>
              <w:ind w:firstLine="480"/>
              <w:rPr>
                <w:sz w:val="24"/>
                <w:szCs w:val="24"/>
              </w:rPr>
            </w:pPr>
            <w:r>
              <w:rPr>
                <w:rFonts w:hint="eastAsia"/>
                <w:sz w:val="24"/>
                <w:szCs w:val="24"/>
              </w:rPr>
              <w:t>2、水环境</w:t>
            </w:r>
          </w:p>
          <w:p>
            <w:pPr>
              <w:ind w:firstLine="480"/>
              <w:rPr>
                <w:sz w:val="24"/>
                <w:szCs w:val="24"/>
              </w:rPr>
            </w:pPr>
            <w:r>
              <w:rPr>
                <w:rFonts w:hint="eastAsia"/>
                <w:sz w:val="24"/>
                <w:szCs w:val="24"/>
              </w:rPr>
              <w:t>（1）废水产排情况和监测方案</w:t>
            </w:r>
          </w:p>
          <w:p>
            <w:pPr>
              <w:ind w:firstLine="480"/>
              <w:rPr>
                <w:sz w:val="24"/>
                <w:szCs w:val="24"/>
              </w:rPr>
            </w:pPr>
            <w:r>
              <w:rPr>
                <w:rFonts w:hint="eastAsia"/>
                <w:sz w:val="24"/>
                <w:szCs w:val="24"/>
              </w:rPr>
              <w:t>本项目生产过程中不产生废水。</w:t>
            </w:r>
            <w:r>
              <w:rPr>
                <w:rFonts w:hint="eastAsia"/>
                <w:sz w:val="24"/>
              </w:rPr>
              <w:t>车间冲洗废水</w:t>
            </w:r>
            <w:r>
              <w:rPr>
                <w:rFonts w:hint="eastAsia"/>
                <w:sz w:val="24"/>
                <w:szCs w:val="24"/>
              </w:rPr>
              <w:t>采取“隔油+絮凝沉淀”</w:t>
            </w:r>
            <w:r>
              <w:rPr>
                <w:rFonts w:hint="eastAsia"/>
                <w:sz w:val="24"/>
              </w:rPr>
              <w:t>的方式处置后回用于厂内绿化、道路洒水。</w:t>
            </w:r>
            <w:r>
              <w:rPr>
                <w:rFonts w:hint="eastAsia"/>
                <w:sz w:val="24"/>
                <w:szCs w:val="24"/>
              </w:rPr>
              <w:t>生活污水设置化粪池处置后经市政管网进入石泉县污水处理厂。本项目废水产排情况见表4-14。</w:t>
            </w:r>
          </w:p>
          <w:p>
            <w:pPr>
              <w:pStyle w:val="34"/>
              <w:ind w:firstLine="480"/>
              <w:rPr>
                <w:b/>
                <w:sz w:val="24"/>
              </w:rPr>
            </w:pPr>
            <w:r>
              <w:rPr>
                <w:b/>
                <w:sz w:val="24"/>
              </w:rPr>
              <w:t>表</w:t>
            </w:r>
            <w:r>
              <w:rPr>
                <w:rFonts w:hint="eastAsia"/>
                <w:b/>
                <w:sz w:val="24"/>
              </w:rPr>
              <w:t>4-14</w:t>
            </w:r>
            <w:r>
              <w:rPr>
                <w:b/>
                <w:sz w:val="24"/>
              </w:rPr>
              <w:t xml:space="preserve">  废水排放信息一览表</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851"/>
              <w:gridCol w:w="1401"/>
              <w:gridCol w:w="1142"/>
              <w:gridCol w:w="1142"/>
              <w:gridCol w:w="1142"/>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31"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项目</w:t>
                  </w:r>
                </w:p>
              </w:tc>
              <w:tc>
                <w:tcPr>
                  <w:tcW w:w="1401"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废水量</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COD</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BOD</w:t>
                  </w:r>
                  <w:r>
                    <w:rPr>
                      <w:szCs w:val="21"/>
                      <w:vertAlign w:val="subscript"/>
                    </w:rPr>
                    <w:t>5</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NH</w:t>
                  </w:r>
                  <w:r>
                    <w:rPr>
                      <w:szCs w:val="21"/>
                      <w:vertAlign w:val="subscript"/>
                    </w:rPr>
                    <w:t>3</w:t>
                  </w:r>
                  <w:r>
                    <w:rPr>
                      <w:szCs w:val="21"/>
                    </w:rPr>
                    <w:t>-N</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restart"/>
                  <w:tcBorders>
                    <w:left w:val="single" w:color="auto" w:sz="4" w:space="0"/>
                    <w:right w:val="single" w:color="auto" w:sz="4" w:space="0"/>
                  </w:tcBorders>
                  <w:shd w:val="pct10" w:color="auto" w:fill="auto"/>
                  <w:vAlign w:val="center"/>
                </w:tcPr>
                <w:p>
                  <w:pPr>
                    <w:pStyle w:val="34"/>
                    <w:rPr>
                      <w:b/>
                      <w:szCs w:val="21"/>
                    </w:rPr>
                  </w:pPr>
                  <w:r>
                    <w:rPr>
                      <w:b/>
                      <w:szCs w:val="21"/>
                    </w:rPr>
                    <w:t>生活污水</w:t>
                  </w:r>
                </w:p>
              </w:tc>
              <w:tc>
                <w:tcPr>
                  <w:tcW w:w="1851" w:type="dxa"/>
                  <w:tcBorders>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产生浓度mg/L</w:t>
                  </w:r>
                </w:p>
              </w:tc>
              <w:tc>
                <w:tcPr>
                  <w:tcW w:w="1401"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350</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180</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25</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continue"/>
                  <w:tcBorders>
                    <w:left w:val="single" w:color="auto" w:sz="4" w:space="0"/>
                    <w:right w:val="single" w:color="auto" w:sz="4" w:space="0"/>
                  </w:tcBorders>
                  <w:shd w:val="pct10" w:color="auto" w:fill="auto"/>
                  <w:vAlign w:val="center"/>
                </w:tcPr>
                <w:p>
                  <w:pPr>
                    <w:pStyle w:val="34"/>
                    <w:rPr>
                      <w:szCs w:val="21"/>
                    </w:rPr>
                  </w:pPr>
                </w:p>
              </w:tc>
              <w:tc>
                <w:tcPr>
                  <w:tcW w:w="1851" w:type="dxa"/>
                  <w:tcBorders>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产生量</w:t>
                  </w:r>
                  <w:r>
                    <w:rPr>
                      <w:rFonts w:hint="eastAsia"/>
                      <w:b/>
                      <w:szCs w:val="21"/>
                    </w:rPr>
                    <w:t>t</w:t>
                  </w:r>
                  <w:r>
                    <w:rPr>
                      <w:b/>
                      <w:szCs w:val="21"/>
                    </w:rPr>
                    <w:t>/a</w:t>
                  </w:r>
                </w:p>
              </w:tc>
              <w:tc>
                <w:tcPr>
                  <w:tcW w:w="1401"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szCs w:val="21"/>
                    </w:rPr>
                    <w:t>576</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0.2</w:t>
                  </w:r>
                  <w:r>
                    <w:rPr>
                      <w:szCs w:val="21"/>
                    </w:rPr>
                    <w:t>0</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0.10</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0.01</w:t>
                  </w:r>
                  <w:r>
                    <w:rPr>
                      <w:szCs w:val="21"/>
                    </w:rPr>
                    <w:t>4</w:t>
                  </w:r>
                </w:p>
              </w:tc>
              <w:tc>
                <w:tcPr>
                  <w:tcW w:w="1142" w:type="dxa"/>
                  <w:tcBorders>
                    <w:top w:val="single" w:color="auto" w:sz="4" w:space="0"/>
                    <w:left w:val="single" w:color="auto" w:sz="4" w:space="0"/>
                    <w:bottom w:val="single" w:color="auto" w:sz="4" w:space="0"/>
                    <w:right w:val="single" w:color="auto" w:sz="4" w:space="0"/>
                  </w:tcBorders>
                  <w:vAlign w:val="center"/>
                </w:tcPr>
                <w:p>
                  <w:pPr>
                    <w:pStyle w:val="34"/>
                    <w:rPr>
                      <w:szCs w:val="21"/>
                    </w:rPr>
                  </w:pPr>
                  <w:r>
                    <w:rPr>
                      <w:rFonts w:hint="eastAsia"/>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continue"/>
                  <w:tcBorders>
                    <w:left w:val="single" w:color="auto" w:sz="4" w:space="0"/>
                    <w:right w:val="single" w:color="auto" w:sz="4" w:space="0"/>
                  </w:tcBorders>
                  <w:shd w:val="pct10" w:color="auto" w:fill="auto"/>
                  <w:vAlign w:val="center"/>
                </w:tcPr>
                <w:p>
                  <w:pPr>
                    <w:pStyle w:val="34"/>
                    <w:rPr>
                      <w:szCs w:val="21"/>
                    </w:rPr>
                  </w:pPr>
                </w:p>
              </w:tc>
              <w:tc>
                <w:tcPr>
                  <w:tcW w:w="1851" w:type="dxa"/>
                  <w:tcBorders>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处理方式</w:t>
                  </w:r>
                </w:p>
              </w:tc>
              <w:tc>
                <w:tcPr>
                  <w:tcW w:w="5969" w:type="dxa"/>
                  <w:gridSpan w:val="5"/>
                  <w:tcBorders>
                    <w:top w:val="single" w:color="auto" w:sz="4" w:space="0"/>
                    <w:left w:val="single" w:color="auto" w:sz="4" w:space="0"/>
                    <w:right w:val="single" w:color="auto" w:sz="4" w:space="0"/>
                  </w:tcBorders>
                  <w:vAlign w:val="center"/>
                </w:tcPr>
                <w:p>
                  <w:pPr>
                    <w:pStyle w:val="34"/>
                    <w:rPr>
                      <w:szCs w:val="21"/>
                    </w:rPr>
                  </w:pPr>
                  <w:r>
                    <w:rPr>
                      <w:szCs w:val="21"/>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continue"/>
                  <w:tcBorders>
                    <w:left w:val="single" w:color="auto" w:sz="4" w:space="0"/>
                    <w:right w:val="single" w:color="auto" w:sz="4" w:space="0"/>
                  </w:tcBorders>
                  <w:shd w:val="pct10" w:color="auto" w:fill="auto"/>
                  <w:vAlign w:val="center"/>
                </w:tcPr>
                <w:p>
                  <w:pPr>
                    <w:pStyle w:val="34"/>
                    <w:rPr>
                      <w:szCs w:val="21"/>
                    </w:rPr>
                  </w:pPr>
                </w:p>
              </w:tc>
              <w:tc>
                <w:tcPr>
                  <w:tcW w:w="1851" w:type="dxa"/>
                  <w:tcBorders>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排放浓度mg/L</w:t>
                  </w:r>
                </w:p>
              </w:tc>
              <w:tc>
                <w:tcPr>
                  <w:tcW w:w="1401" w:type="dxa"/>
                  <w:tcBorders>
                    <w:left w:val="single" w:color="auto" w:sz="4" w:space="0"/>
                    <w:right w:val="single" w:color="auto" w:sz="4" w:space="0"/>
                  </w:tcBorders>
                  <w:vAlign w:val="center"/>
                </w:tcPr>
                <w:p>
                  <w:pPr>
                    <w:pStyle w:val="34"/>
                    <w:rPr>
                      <w:b/>
                      <w:szCs w:val="21"/>
                    </w:rPr>
                  </w:pPr>
                  <w:r>
                    <w:rPr>
                      <w:rFonts w:hint="eastAsia"/>
                      <w:b/>
                      <w:szCs w:val="21"/>
                    </w:rPr>
                    <w:t>/</w:t>
                  </w:r>
                </w:p>
              </w:tc>
              <w:tc>
                <w:tcPr>
                  <w:tcW w:w="1142" w:type="dxa"/>
                  <w:tcBorders>
                    <w:left w:val="single" w:color="auto" w:sz="4" w:space="0"/>
                    <w:right w:val="single" w:color="auto" w:sz="4" w:space="0"/>
                  </w:tcBorders>
                  <w:vAlign w:val="center"/>
                </w:tcPr>
                <w:p>
                  <w:pPr>
                    <w:pStyle w:val="34"/>
                    <w:rPr>
                      <w:szCs w:val="21"/>
                    </w:rPr>
                  </w:pPr>
                  <w:r>
                    <w:rPr>
                      <w:rFonts w:hint="eastAsia"/>
                      <w:szCs w:val="21"/>
                    </w:rPr>
                    <w:t>300</w:t>
                  </w:r>
                </w:p>
              </w:tc>
              <w:tc>
                <w:tcPr>
                  <w:tcW w:w="1142" w:type="dxa"/>
                  <w:tcBorders>
                    <w:left w:val="single" w:color="auto" w:sz="4" w:space="0"/>
                    <w:right w:val="single" w:color="auto" w:sz="4" w:space="0"/>
                  </w:tcBorders>
                  <w:vAlign w:val="center"/>
                </w:tcPr>
                <w:p>
                  <w:pPr>
                    <w:pStyle w:val="34"/>
                    <w:rPr>
                      <w:szCs w:val="21"/>
                    </w:rPr>
                  </w:pPr>
                  <w:r>
                    <w:rPr>
                      <w:rFonts w:hint="eastAsia"/>
                      <w:szCs w:val="21"/>
                    </w:rPr>
                    <w:t>160</w:t>
                  </w:r>
                </w:p>
              </w:tc>
              <w:tc>
                <w:tcPr>
                  <w:tcW w:w="1142" w:type="dxa"/>
                  <w:tcBorders>
                    <w:left w:val="single" w:color="auto" w:sz="4" w:space="0"/>
                    <w:right w:val="single" w:color="auto" w:sz="4" w:space="0"/>
                  </w:tcBorders>
                  <w:vAlign w:val="center"/>
                </w:tcPr>
                <w:p>
                  <w:pPr>
                    <w:pStyle w:val="34"/>
                    <w:rPr>
                      <w:szCs w:val="21"/>
                    </w:rPr>
                  </w:pPr>
                  <w:r>
                    <w:rPr>
                      <w:rFonts w:hint="eastAsia"/>
                      <w:szCs w:val="21"/>
                    </w:rPr>
                    <w:t>25</w:t>
                  </w:r>
                </w:p>
              </w:tc>
              <w:tc>
                <w:tcPr>
                  <w:tcW w:w="1142" w:type="dxa"/>
                  <w:tcBorders>
                    <w:left w:val="single" w:color="auto" w:sz="4" w:space="0"/>
                    <w:right w:val="single" w:color="auto" w:sz="4" w:space="0"/>
                  </w:tcBorders>
                  <w:vAlign w:val="center"/>
                </w:tcPr>
                <w:p>
                  <w:pPr>
                    <w:pStyle w:val="34"/>
                    <w:rPr>
                      <w:szCs w:val="21"/>
                    </w:rPr>
                  </w:pPr>
                  <w:r>
                    <w:rPr>
                      <w:rFonts w:hint="eastAsia"/>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continue"/>
                  <w:tcBorders>
                    <w:left w:val="single" w:color="auto" w:sz="4" w:space="0"/>
                    <w:right w:val="single" w:color="auto" w:sz="4" w:space="0"/>
                  </w:tcBorders>
                  <w:shd w:val="pct10" w:color="auto" w:fill="auto"/>
                  <w:vAlign w:val="center"/>
                </w:tcPr>
                <w:p>
                  <w:pPr>
                    <w:pStyle w:val="34"/>
                    <w:rPr>
                      <w:szCs w:val="21"/>
                    </w:rPr>
                  </w:pPr>
                </w:p>
              </w:tc>
              <w:tc>
                <w:tcPr>
                  <w:tcW w:w="1851" w:type="dxa"/>
                  <w:tcBorders>
                    <w:left w:val="single" w:color="auto" w:sz="4" w:space="0"/>
                    <w:right w:val="single" w:color="auto" w:sz="4" w:space="0"/>
                  </w:tcBorders>
                  <w:shd w:val="pct10" w:color="auto" w:fill="auto"/>
                  <w:vAlign w:val="center"/>
                </w:tcPr>
                <w:p>
                  <w:pPr>
                    <w:pStyle w:val="34"/>
                    <w:rPr>
                      <w:b/>
                      <w:szCs w:val="21"/>
                    </w:rPr>
                  </w:pPr>
                  <w:r>
                    <w:rPr>
                      <w:b/>
                      <w:szCs w:val="21"/>
                    </w:rPr>
                    <w:t>排放量</w:t>
                  </w:r>
                  <w:r>
                    <w:rPr>
                      <w:rFonts w:hint="eastAsia"/>
                      <w:b/>
                      <w:szCs w:val="21"/>
                    </w:rPr>
                    <w:t>t</w:t>
                  </w:r>
                  <w:r>
                    <w:rPr>
                      <w:b/>
                      <w:szCs w:val="21"/>
                    </w:rPr>
                    <w:t>/a</w:t>
                  </w:r>
                </w:p>
              </w:tc>
              <w:tc>
                <w:tcPr>
                  <w:tcW w:w="1401" w:type="dxa"/>
                  <w:tcBorders>
                    <w:left w:val="single" w:color="auto" w:sz="4" w:space="0"/>
                    <w:right w:val="single" w:color="auto" w:sz="4" w:space="0"/>
                  </w:tcBorders>
                  <w:vAlign w:val="center"/>
                </w:tcPr>
                <w:p>
                  <w:pPr>
                    <w:pStyle w:val="34"/>
                    <w:rPr>
                      <w:szCs w:val="21"/>
                    </w:rPr>
                  </w:pPr>
                  <w:r>
                    <w:rPr>
                      <w:szCs w:val="21"/>
                    </w:rPr>
                    <w:t>576</w:t>
                  </w:r>
                </w:p>
              </w:tc>
              <w:tc>
                <w:tcPr>
                  <w:tcW w:w="1142" w:type="dxa"/>
                  <w:tcBorders>
                    <w:left w:val="single" w:color="auto" w:sz="4" w:space="0"/>
                    <w:right w:val="single" w:color="auto" w:sz="4" w:space="0"/>
                  </w:tcBorders>
                  <w:vAlign w:val="center"/>
                </w:tcPr>
                <w:p>
                  <w:pPr>
                    <w:pStyle w:val="34"/>
                    <w:rPr>
                      <w:szCs w:val="21"/>
                    </w:rPr>
                  </w:pPr>
                  <w:r>
                    <w:rPr>
                      <w:rFonts w:hint="eastAsia"/>
                      <w:szCs w:val="21"/>
                    </w:rPr>
                    <w:t>0.1</w:t>
                  </w:r>
                  <w:r>
                    <w:rPr>
                      <w:szCs w:val="21"/>
                    </w:rPr>
                    <w:t>7</w:t>
                  </w:r>
                </w:p>
              </w:tc>
              <w:tc>
                <w:tcPr>
                  <w:tcW w:w="1142" w:type="dxa"/>
                  <w:tcBorders>
                    <w:left w:val="single" w:color="auto" w:sz="4" w:space="0"/>
                    <w:right w:val="single" w:color="auto" w:sz="4" w:space="0"/>
                  </w:tcBorders>
                  <w:vAlign w:val="center"/>
                </w:tcPr>
                <w:p>
                  <w:pPr>
                    <w:pStyle w:val="34"/>
                    <w:rPr>
                      <w:szCs w:val="21"/>
                    </w:rPr>
                  </w:pPr>
                  <w:r>
                    <w:rPr>
                      <w:rFonts w:hint="eastAsia"/>
                      <w:szCs w:val="21"/>
                    </w:rPr>
                    <w:t>0.09</w:t>
                  </w:r>
                </w:p>
              </w:tc>
              <w:tc>
                <w:tcPr>
                  <w:tcW w:w="1142" w:type="dxa"/>
                  <w:tcBorders>
                    <w:left w:val="single" w:color="auto" w:sz="4" w:space="0"/>
                    <w:right w:val="single" w:color="auto" w:sz="4" w:space="0"/>
                  </w:tcBorders>
                  <w:vAlign w:val="center"/>
                </w:tcPr>
                <w:p>
                  <w:pPr>
                    <w:pStyle w:val="34"/>
                    <w:rPr>
                      <w:szCs w:val="21"/>
                    </w:rPr>
                  </w:pPr>
                  <w:r>
                    <w:rPr>
                      <w:rFonts w:hint="eastAsia"/>
                      <w:szCs w:val="21"/>
                    </w:rPr>
                    <w:t>0.01</w:t>
                  </w:r>
                  <w:r>
                    <w:rPr>
                      <w:szCs w:val="21"/>
                    </w:rPr>
                    <w:t>4</w:t>
                  </w:r>
                </w:p>
              </w:tc>
              <w:tc>
                <w:tcPr>
                  <w:tcW w:w="1142" w:type="dxa"/>
                  <w:tcBorders>
                    <w:left w:val="single" w:color="auto" w:sz="4" w:space="0"/>
                    <w:right w:val="single" w:color="auto" w:sz="4" w:space="0"/>
                  </w:tcBorders>
                  <w:vAlign w:val="center"/>
                </w:tcPr>
                <w:p>
                  <w:pPr>
                    <w:pStyle w:val="34"/>
                    <w:rPr>
                      <w:szCs w:val="21"/>
                    </w:rPr>
                  </w:pPr>
                  <w:r>
                    <w:rPr>
                      <w:rFonts w:hint="eastAsia"/>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restart"/>
                  <w:tcBorders>
                    <w:left w:val="single" w:color="auto" w:sz="4" w:space="0"/>
                    <w:right w:val="single" w:color="auto" w:sz="4" w:space="0"/>
                  </w:tcBorders>
                  <w:shd w:val="pct10" w:color="auto" w:fill="auto"/>
                  <w:vAlign w:val="center"/>
                </w:tcPr>
                <w:p>
                  <w:pPr>
                    <w:pStyle w:val="34"/>
                    <w:rPr>
                      <w:b/>
                      <w:szCs w:val="21"/>
                    </w:rPr>
                  </w:pPr>
                  <w:r>
                    <w:rPr>
                      <w:b/>
                      <w:szCs w:val="21"/>
                    </w:rPr>
                    <w:t>排放口基本信息</w:t>
                  </w:r>
                </w:p>
              </w:tc>
              <w:tc>
                <w:tcPr>
                  <w:tcW w:w="1851" w:type="dxa"/>
                  <w:tcBorders>
                    <w:left w:val="single" w:color="auto" w:sz="4" w:space="0"/>
                    <w:right w:val="single" w:color="auto" w:sz="4" w:space="0"/>
                  </w:tcBorders>
                  <w:shd w:val="pct10" w:color="auto" w:fill="auto"/>
                  <w:vAlign w:val="center"/>
                </w:tcPr>
                <w:p>
                  <w:pPr>
                    <w:pStyle w:val="34"/>
                    <w:rPr>
                      <w:b/>
                      <w:szCs w:val="21"/>
                    </w:rPr>
                  </w:pPr>
                  <w:r>
                    <w:rPr>
                      <w:b/>
                      <w:szCs w:val="21"/>
                    </w:rPr>
                    <w:t>排放方式</w:t>
                  </w:r>
                </w:p>
              </w:tc>
              <w:tc>
                <w:tcPr>
                  <w:tcW w:w="5969" w:type="dxa"/>
                  <w:gridSpan w:val="5"/>
                  <w:tcBorders>
                    <w:left w:val="single" w:color="auto" w:sz="4" w:space="0"/>
                    <w:right w:val="single" w:color="auto" w:sz="4" w:space="0"/>
                  </w:tcBorders>
                  <w:vAlign w:val="center"/>
                </w:tcPr>
                <w:p>
                  <w:pPr>
                    <w:pStyle w:val="34"/>
                    <w:rPr>
                      <w:szCs w:val="21"/>
                    </w:rPr>
                  </w:pPr>
                  <w:r>
                    <w:rPr>
                      <w:szCs w:val="21"/>
                    </w:rPr>
                    <w:t>直接排放□      间接排放</w:t>
                  </w:r>
                  <w:r>
                    <w:rPr>
                      <w:szCs w:val="21"/>
                    </w:rPr>
                    <w:sym w:font="Wingdings 2" w:char="F052"/>
                  </w:r>
                  <w:r>
                    <w:rPr>
                      <w:szCs w:val="21"/>
                    </w:rPr>
                    <w:t xml:space="preserve"> </w:t>
                  </w:r>
                  <w:r>
                    <w:rPr>
                      <w:rFonts w:hint="eastAsia"/>
                      <w:szCs w:val="21"/>
                    </w:rPr>
                    <w:t xml:space="preserve">   不排放</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continue"/>
                  <w:tcBorders>
                    <w:left w:val="single" w:color="auto" w:sz="4" w:space="0"/>
                    <w:right w:val="single" w:color="auto" w:sz="4" w:space="0"/>
                  </w:tcBorders>
                  <w:shd w:val="pct10" w:color="auto" w:fill="auto"/>
                  <w:vAlign w:val="center"/>
                </w:tcPr>
                <w:p>
                  <w:pPr>
                    <w:pStyle w:val="34"/>
                    <w:rPr>
                      <w:szCs w:val="21"/>
                    </w:rPr>
                  </w:pPr>
                </w:p>
              </w:tc>
              <w:tc>
                <w:tcPr>
                  <w:tcW w:w="1851" w:type="dxa"/>
                  <w:tcBorders>
                    <w:left w:val="single" w:color="auto" w:sz="4" w:space="0"/>
                    <w:right w:val="single" w:color="auto" w:sz="4" w:space="0"/>
                  </w:tcBorders>
                  <w:shd w:val="pct10" w:color="auto" w:fill="auto"/>
                  <w:vAlign w:val="center"/>
                </w:tcPr>
                <w:p>
                  <w:pPr>
                    <w:pStyle w:val="34"/>
                    <w:rPr>
                      <w:b/>
                      <w:szCs w:val="21"/>
                    </w:rPr>
                  </w:pPr>
                  <w:r>
                    <w:rPr>
                      <w:b/>
                      <w:szCs w:val="21"/>
                    </w:rPr>
                    <w:t>排放去向</w:t>
                  </w:r>
                </w:p>
              </w:tc>
              <w:tc>
                <w:tcPr>
                  <w:tcW w:w="5969" w:type="dxa"/>
                  <w:gridSpan w:val="5"/>
                  <w:tcBorders>
                    <w:left w:val="single" w:color="auto" w:sz="4" w:space="0"/>
                    <w:right w:val="single" w:color="auto" w:sz="4" w:space="0"/>
                  </w:tcBorders>
                  <w:vAlign w:val="center"/>
                </w:tcPr>
                <w:p>
                  <w:pPr>
                    <w:pStyle w:val="34"/>
                    <w:rPr>
                      <w:szCs w:val="21"/>
                    </w:rPr>
                  </w:pPr>
                  <w:r>
                    <w:rPr>
                      <w:rFonts w:hint="eastAsia"/>
                      <w:szCs w:val="21"/>
                    </w:rPr>
                    <w:t>石泉县污水处理厂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continue"/>
                  <w:tcBorders>
                    <w:left w:val="single" w:color="auto" w:sz="4" w:space="0"/>
                    <w:right w:val="single" w:color="auto" w:sz="4" w:space="0"/>
                  </w:tcBorders>
                  <w:shd w:val="pct10" w:color="auto" w:fill="auto"/>
                  <w:vAlign w:val="center"/>
                </w:tcPr>
                <w:p>
                  <w:pPr>
                    <w:pStyle w:val="34"/>
                    <w:rPr>
                      <w:szCs w:val="21"/>
                    </w:rPr>
                  </w:pPr>
                </w:p>
              </w:tc>
              <w:tc>
                <w:tcPr>
                  <w:tcW w:w="1851" w:type="dxa"/>
                  <w:tcBorders>
                    <w:left w:val="single" w:color="auto" w:sz="4" w:space="0"/>
                    <w:right w:val="single" w:color="auto" w:sz="4" w:space="0"/>
                  </w:tcBorders>
                  <w:shd w:val="pct10" w:color="auto" w:fill="auto"/>
                  <w:vAlign w:val="center"/>
                </w:tcPr>
                <w:p>
                  <w:pPr>
                    <w:pStyle w:val="34"/>
                    <w:rPr>
                      <w:b/>
                      <w:szCs w:val="21"/>
                    </w:rPr>
                  </w:pPr>
                  <w:r>
                    <w:rPr>
                      <w:b/>
                      <w:szCs w:val="21"/>
                    </w:rPr>
                    <w:t>编</w:t>
                  </w:r>
                  <w:r>
                    <w:rPr>
                      <w:rFonts w:hint="eastAsia"/>
                      <w:b/>
                      <w:szCs w:val="21"/>
                    </w:rPr>
                    <w:t>码</w:t>
                  </w:r>
                </w:p>
              </w:tc>
              <w:tc>
                <w:tcPr>
                  <w:tcW w:w="5969" w:type="dxa"/>
                  <w:gridSpan w:val="5"/>
                  <w:tcBorders>
                    <w:left w:val="single" w:color="auto" w:sz="4" w:space="0"/>
                    <w:right w:val="single" w:color="auto" w:sz="4" w:space="0"/>
                  </w:tcBorders>
                  <w:vAlign w:val="center"/>
                </w:tcPr>
                <w:p>
                  <w:pPr>
                    <w:pStyle w:val="34"/>
                    <w:rPr>
                      <w:szCs w:val="21"/>
                    </w:rPr>
                  </w:pPr>
                  <w:r>
                    <w:rPr>
                      <w:szCs w:val="21"/>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continue"/>
                  <w:tcBorders>
                    <w:left w:val="single" w:color="auto" w:sz="4" w:space="0"/>
                    <w:right w:val="single" w:color="auto" w:sz="4" w:space="0"/>
                  </w:tcBorders>
                  <w:shd w:val="pct10" w:color="auto" w:fill="auto"/>
                  <w:vAlign w:val="center"/>
                </w:tcPr>
                <w:p>
                  <w:pPr>
                    <w:pStyle w:val="34"/>
                    <w:rPr>
                      <w:szCs w:val="21"/>
                    </w:rPr>
                  </w:pPr>
                </w:p>
              </w:tc>
              <w:tc>
                <w:tcPr>
                  <w:tcW w:w="1851" w:type="dxa"/>
                  <w:tcBorders>
                    <w:left w:val="single" w:color="auto" w:sz="4" w:space="0"/>
                    <w:right w:val="single" w:color="auto" w:sz="4" w:space="0"/>
                  </w:tcBorders>
                  <w:shd w:val="pct10" w:color="auto" w:fill="auto"/>
                  <w:vAlign w:val="center"/>
                </w:tcPr>
                <w:p>
                  <w:pPr>
                    <w:pStyle w:val="34"/>
                    <w:rPr>
                      <w:b/>
                      <w:szCs w:val="21"/>
                    </w:rPr>
                  </w:pPr>
                  <w:r>
                    <w:rPr>
                      <w:b/>
                      <w:szCs w:val="21"/>
                    </w:rPr>
                    <w:t>名称</w:t>
                  </w:r>
                </w:p>
              </w:tc>
              <w:tc>
                <w:tcPr>
                  <w:tcW w:w="5969" w:type="dxa"/>
                  <w:gridSpan w:val="5"/>
                  <w:tcBorders>
                    <w:left w:val="single" w:color="auto" w:sz="4" w:space="0"/>
                    <w:right w:val="single" w:color="auto" w:sz="4" w:space="0"/>
                  </w:tcBorders>
                  <w:vAlign w:val="center"/>
                </w:tcPr>
                <w:p>
                  <w:pPr>
                    <w:pStyle w:val="34"/>
                    <w:rPr>
                      <w:szCs w:val="21"/>
                    </w:rPr>
                  </w:pPr>
                  <w:r>
                    <w:rPr>
                      <w:rFonts w:hint="eastAsia"/>
                      <w:szCs w:val="21"/>
                    </w:rPr>
                    <w:t>废水总排口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continue"/>
                  <w:tcBorders>
                    <w:left w:val="single" w:color="auto" w:sz="4" w:space="0"/>
                    <w:right w:val="single" w:color="auto" w:sz="4" w:space="0"/>
                  </w:tcBorders>
                  <w:shd w:val="pct10" w:color="auto" w:fill="auto"/>
                  <w:vAlign w:val="center"/>
                </w:tcPr>
                <w:p>
                  <w:pPr>
                    <w:pStyle w:val="34"/>
                    <w:rPr>
                      <w:szCs w:val="21"/>
                    </w:rPr>
                  </w:pPr>
                </w:p>
              </w:tc>
              <w:tc>
                <w:tcPr>
                  <w:tcW w:w="1851" w:type="dxa"/>
                  <w:tcBorders>
                    <w:left w:val="single" w:color="auto" w:sz="4" w:space="0"/>
                    <w:right w:val="single" w:color="auto" w:sz="4" w:space="0"/>
                  </w:tcBorders>
                  <w:shd w:val="pct10" w:color="auto" w:fill="auto"/>
                  <w:vAlign w:val="center"/>
                </w:tcPr>
                <w:p>
                  <w:pPr>
                    <w:pStyle w:val="34"/>
                    <w:rPr>
                      <w:b/>
                      <w:szCs w:val="21"/>
                    </w:rPr>
                  </w:pPr>
                  <w:r>
                    <w:rPr>
                      <w:b/>
                      <w:szCs w:val="21"/>
                    </w:rPr>
                    <w:t>类型</w:t>
                  </w:r>
                </w:p>
              </w:tc>
              <w:tc>
                <w:tcPr>
                  <w:tcW w:w="5969" w:type="dxa"/>
                  <w:gridSpan w:val="5"/>
                  <w:tcBorders>
                    <w:left w:val="single" w:color="auto" w:sz="4" w:space="0"/>
                    <w:right w:val="single" w:color="auto" w:sz="4" w:space="0"/>
                  </w:tcBorders>
                  <w:vAlign w:val="center"/>
                </w:tcPr>
                <w:p>
                  <w:pPr>
                    <w:pStyle w:val="34"/>
                    <w:rPr>
                      <w:szCs w:val="21"/>
                    </w:rPr>
                  </w:pPr>
                  <w:r>
                    <w:rPr>
                      <w:rFonts w:hint="eastAsia"/>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vMerge w:val="continue"/>
                  <w:tcBorders>
                    <w:left w:val="single" w:color="auto" w:sz="4" w:space="0"/>
                    <w:right w:val="single" w:color="auto" w:sz="4" w:space="0"/>
                  </w:tcBorders>
                  <w:shd w:val="pct10" w:color="auto" w:fill="auto"/>
                  <w:vAlign w:val="center"/>
                </w:tcPr>
                <w:p>
                  <w:pPr>
                    <w:pStyle w:val="34"/>
                    <w:rPr>
                      <w:szCs w:val="21"/>
                    </w:rPr>
                  </w:pPr>
                </w:p>
              </w:tc>
              <w:tc>
                <w:tcPr>
                  <w:tcW w:w="1851" w:type="dxa"/>
                  <w:tcBorders>
                    <w:left w:val="single" w:color="auto" w:sz="4" w:space="0"/>
                    <w:right w:val="single" w:color="auto" w:sz="4" w:space="0"/>
                  </w:tcBorders>
                  <w:shd w:val="pct10" w:color="auto" w:fill="auto"/>
                  <w:vAlign w:val="center"/>
                </w:tcPr>
                <w:p>
                  <w:pPr>
                    <w:pStyle w:val="34"/>
                    <w:rPr>
                      <w:b/>
                      <w:szCs w:val="21"/>
                    </w:rPr>
                  </w:pPr>
                  <w:r>
                    <w:rPr>
                      <w:b/>
                      <w:szCs w:val="21"/>
                    </w:rPr>
                    <w:t>地理坐标</w:t>
                  </w:r>
                </w:p>
              </w:tc>
              <w:tc>
                <w:tcPr>
                  <w:tcW w:w="5969" w:type="dxa"/>
                  <w:gridSpan w:val="5"/>
                  <w:tcBorders>
                    <w:left w:val="single" w:color="auto" w:sz="4" w:space="0"/>
                    <w:right w:val="single" w:color="auto" w:sz="4" w:space="0"/>
                  </w:tcBorders>
                  <w:vAlign w:val="center"/>
                </w:tcPr>
                <w:p>
                  <w:pPr>
                    <w:pStyle w:val="34"/>
                    <w:rPr>
                      <w:szCs w:val="21"/>
                    </w:rPr>
                  </w:pPr>
                  <w:r>
                    <w:rPr>
                      <w:szCs w:val="21"/>
                    </w:rPr>
                    <w:t>108.2081437, 33.094274997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31" w:type="dxa"/>
                  <w:gridSpan w:val="2"/>
                  <w:tcBorders>
                    <w:left w:val="single" w:color="auto" w:sz="4" w:space="0"/>
                    <w:right w:val="single" w:color="auto" w:sz="4" w:space="0"/>
                  </w:tcBorders>
                  <w:shd w:val="pct10" w:color="auto" w:fill="auto"/>
                  <w:vAlign w:val="center"/>
                </w:tcPr>
                <w:p>
                  <w:pPr>
                    <w:pStyle w:val="34"/>
                    <w:rPr>
                      <w:b/>
                      <w:szCs w:val="21"/>
                    </w:rPr>
                  </w:pPr>
                  <w:r>
                    <w:rPr>
                      <w:rFonts w:hint="eastAsia"/>
                      <w:b/>
                      <w:szCs w:val="21"/>
                    </w:rPr>
                    <w:t>标准限制</w:t>
                  </w:r>
                  <w:r>
                    <w:rPr>
                      <w:b/>
                      <w:szCs w:val="21"/>
                    </w:rPr>
                    <w:t>mg/L</w:t>
                  </w:r>
                </w:p>
              </w:tc>
              <w:tc>
                <w:tcPr>
                  <w:tcW w:w="1401" w:type="dxa"/>
                  <w:tcBorders>
                    <w:left w:val="single" w:color="auto" w:sz="4" w:space="0"/>
                    <w:right w:val="single" w:color="auto" w:sz="4" w:space="0"/>
                  </w:tcBorders>
                  <w:vAlign w:val="center"/>
                </w:tcPr>
                <w:p>
                  <w:pPr>
                    <w:pStyle w:val="34"/>
                    <w:rPr>
                      <w:szCs w:val="21"/>
                    </w:rPr>
                  </w:pPr>
                  <w:r>
                    <w:rPr>
                      <w:rFonts w:hint="eastAsia"/>
                      <w:szCs w:val="21"/>
                    </w:rPr>
                    <w:t>/</w:t>
                  </w:r>
                </w:p>
              </w:tc>
              <w:tc>
                <w:tcPr>
                  <w:tcW w:w="1142" w:type="dxa"/>
                  <w:tcBorders>
                    <w:left w:val="single" w:color="auto" w:sz="4" w:space="0"/>
                    <w:right w:val="single" w:color="auto" w:sz="4" w:space="0"/>
                  </w:tcBorders>
                  <w:vAlign w:val="center"/>
                </w:tcPr>
                <w:p>
                  <w:pPr>
                    <w:pStyle w:val="34"/>
                    <w:rPr>
                      <w:szCs w:val="21"/>
                    </w:rPr>
                  </w:pPr>
                  <w:r>
                    <w:rPr>
                      <w:rFonts w:hint="eastAsia"/>
                      <w:szCs w:val="21"/>
                    </w:rPr>
                    <w:t>5</w:t>
                  </w:r>
                  <w:r>
                    <w:rPr>
                      <w:szCs w:val="21"/>
                    </w:rPr>
                    <w:t>00</w:t>
                  </w:r>
                </w:p>
              </w:tc>
              <w:tc>
                <w:tcPr>
                  <w:tcW w:w="1142" w:type="dxa"/>
                  <w:tcBorders>
                    <w:left w:val="single" w:color="auto" w:sz="4" w:space="0"/>
                    <w:right w:val="single" w:color="auto" w:sz="4" w:space="0"/>
                  </w:tcBorders>
                  <w:vAlign w:val="center"/>
                </w:tcPr>
                <w:p>
                  <w:pPr>
                    <w:pStyle w:val="34"/>
                    <w:rPr>
                      <w:szCs w:val="21"/>
                    </w:rPr>
                  </w:pPr>
                  <w:r>
                    <w:rPr>
                      <w:rFonts w:hint="eastAsia"/>
                      <w:szCs w:val="21"/>
                    </w:rPr>
                    <w:t>3</w:t>
                  </w:r>
                  <w:r>
                    <w:rPr>
                      <w:szCs w:val="21"/>
                    </w:rPr>
                    <w:t>00</w:t>
                  </w:r>
                </w:p>
              </w:tc>
              <w:tc>
                <w:tcPr>
                  <w:tcW w:w="1142" w:type="dxa"/>
                  <w:tcBorders>
                    <w:left w:val="single" w:color="auto" w:sz="4" w:space="0"/>
                    <w:right w:val="single" w:color="auto" w:sz="4" w:space="0"/>
                  </w:tcBorders>
                  <w:vAlign w:val="center"/>
                </w:tcPr>
                <w:p>
                  <w:pPr>
                    <w:pStyle w:val="34"/>
                    <w:rPr>
                      <w:szCs w:val="21"/>
                    </w:rPr>
                  </w:pPr>
                  <w:r>
                    <w:rPr>
                      <w:rFonts w:hint="eastAsia"/>
                      <w:szCs w:val="21"/>
                    </w:rPr>
                    <w:t>4</w:t>
                  </w:r>
                  <w:r>
                    <w:rPr>
                      <w:szCs w:val="21"/>
                    </w:rPr>
                    <w:t>5</w:t>
                  </w:r>
                </w:p>
              </w:tc>
              <w:tc>
                <w:tcPr>
                  <w:tcW w:w="1142" w:type="dxa"/>
                  <w:tcBorders>
                    <w:left w:val="single" w:color="auto" w:sz="4" w:space="0"/>
                    <w:right w:val="single" w:color="auto" w:sz="4" w:space="0"/>
                  </w:tcBorders>
                  <w:vAlign w:val="center"/>
                </w:tcPr>
                <w:p>
                  <w:pPr>
                    <w:pStyle w:val="34"/>
                    <w:rPr>
                      <w:szCs w:val="21"/>
                    </w:rPr>
                  </w:pPr>
                  <w:r>
                    <w:rPr>
                      <w:rFonts w:hint="eastAsia"/>
                      <w:szCs w:val="21"/>
                    </w:rPr>
                    <w:t>4</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31" w:type="dxa"/>
                  <w:gridSpan w:val="2"/>
                  <w:tcBorders>
                    <w:left w:val="single" w:color="auto" w:sz="4" w:space="0"/>
                    <w:bottom w:val="single" w:color="auto" w:sz="4" w:space="0"/>
                    <w:right w:val="single" w:color="auto" w:sz="4" w:space="0"/>
                  </w:tcBorders>
                  <w:shd w:val="pct10" w:color="auto" w:fill="auto"/>
                  <w:vAlign w:val="center"/>
                </w:tcPr>
                <w:p>
                  <w:pPr>
                    <w:pStyle w:val="34"/>
                    <w:rPr>
                      <w:b/>
                      <w:szCs w:val="21"/>
                    </w:rPr>
                  </w:pPr>
                  <w:r>
                    <w:rPr>
                      <w:b/>
                      <w:szCs w:val="21"/>
                    </w:rPr>
                    <w:t>是否符合标准要求</w:t>
                  </w:r>
                </w:p>
              </w:tc>
              <w:tc>
                <w:tcPr>
                  <w:tcW w:w="1401"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w:t>
                  </w:r>
                </w:p>
              </w:tc>
              <w:tc>
                <w:tcPr>
                  <w:tcW w:w="1142"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c>
                <w:tcPr>
                  <w:tcW w:w="1142"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c>
                <w:tcPr>
                  <w:tcW w:w="1142"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c>
                <w:tcPr>
                  <w:tcW w:w="1142" w:type="dxa"/>
                  <w:tcBorders>
                    <w:left w:val="single" w:color="auto" w:sz="4" w:space="0"/>
                    <w:bottom w:val="single" w:color="auto" w:sz="4" w:space="0"/>
                    <w:right w:val="single" w:color="auto" w:sz="4" w:space="0"/>
                  </w:tcBorders>
                  <w:vAlign w:val="center"/>
                </w:tcPr>
                <w:p>
                  <w:pPr>
                    <w:pStyle w:val="34"/>
                    <w:rPr>
                      <w:szCs w:val="21"/>
                    </w:rPr>
                  </w:pPr>
                  <w:r>
                    <w:rPr>
                      <w:rFonts w:hint="eastAsia"/>
                      <w:szCs w:val="21"/>
                    </w:rPr>
                    <w:t>是</w:t>
                  </w:r>
                </w:p>
              </w:tc>
            </w:tr>
          </w:tbl>
          <w:p>
            <w:pPr>
              <w:ind w:firstLine="480"/>
              <w:rPr>
                <w:sz w:val="24"/>
                <w:szCs w:val="24"/>
              </w:rPr>
            </w:pPr>
            <w:r>
              <w:rPr>
                <w:rFonts w:hint="eastAsia"/>
                <w:sz w:val="24"/>
                <w:szCs w:val="24"/>
              </w:rPr>
              <w:t>（2）废水源强分析</w:t>
            </w:r>
          </w:p>
          <w:p>
            <w:pPr>
              <w:ind w:firstLine="480"/>
              <w:rPr>
                <w:sz w:val="24"/>
                <w:szCs w:val="24"/>
              </w:rPr>
            </w:pPr>
            <w:r>
              <w:rPr>
                <w:rFonts w:hint="eastAsia"/>
                <w:sz w:val="24"/>
                <w:szCs w:val="24"/>
              </w:rPr>
              <w:t>①生活污水</w:t>
            </w:r>
          </w:p>
          <w:p>
            <w:pPr>
              <w:ind w:firstLine="480"/>
              <w:rPr>
                <w:sz w:val="24"/>
                <w:szCs w:val="24"/>
              </w:rPr>
            </w:pPr>
            <w:r>
              <w:rPr>
                <w:sz w:val="24"/>
                <w:szCs w:val="24"/>
              </w:rPr>
              <w:t>本项目</w:t>
            </w:r>
            <w:r>
              <w:rPr>
                <w:rFonts w:hint="eastAsia"/>
                <w:sz w:val="24"/>
                <w:szCs w:val="24"/>
              </w:rPr>
              <w:t>劳动定员</w:t>
            </w:r>
            <w:r>
              <w:rPr>
                <w:sz w:val="24"/>
                <w:szCs w:val="24"/>
              </w:rPr>
              <w:t>40</w:t>
            </w:r>
            <w:r>
              <w:rPr>
                <w:rFonts w:hint="eastAsia"/>
                <w:sz w:val="24"/>
                <w:szCs w:val="24"/>
              </w:rPr>
              <w:t>人，采取三班制，每日在岗人数按3</w:t>
            </w:r>
            <w:r>
              <w:rPr>
                <w:sz w:val="24"/>
                <w:szCs w:val="24"/>
              </w:rPr>
              <w:t>0</w:t>
            </w:r>
            <w:r>
              <w:rPr>
                <w:rFonts w:hint="eastAsia"/>
                <w:sz w:val="24"/>
                <w:szCs w:val="24"/>
              </w:rPr>
              <w:t>人计算，员工生活用水</w:t>
            </w:r>
            <w:r>
              <w:rPr>
                <w:sz w:val="24"/>
                <w:szCs w:val="24"/>
              </w:rPr>
              <w:t>按80L/人</w:t>
            </w:r>
            <w:r>
              <w:rPr>
                <w:rFonts w:hint="eastAsia" w:ascii="MS Mincho" w:hAnsi="MS Mincho" w:eastAsia="MS Mincho" w:cs="MS Mincho"/>
                <w:sz w:val="24"/>
                <w:szCs w:val="24"/>
              </w:rPr>
              <w:t>・</w:t>
            </w:r>
            <w:r>
              <w:rPr>
                <w:rFonts w:hint="eastAsia" w:ascii="宋体" w:hAnsi="宋体" w:cs="宋体"/>
                <w:sz w:val="24"/>
                <w:szCs w:val="24"/>
              </w:rPr>
              <w:t>天计</w:t>
            </w:r>
            <w:r>
              <w:rPr>
                <w:sz w:val="24"/>
                <w:szCs w:val="24"/>
              </w:rPr>
              <w:t>，则职工生活用水量为2.40m</w:t>
            </w:r>
            <w:r>
              <w:rPr>
                <w:sz w:val="24"/>
                <w:szCs w:val="24"/>
                <w:vertAlign w:val="superscript"/>
              </w:rPr>
              <w:t>3</w:t>
            </w:r>
            <w:r>
              <w:rPr>
                <w:sz w:val="24"/>
                <w:szCs w:val="24"/>
              </w:rPr>
              <w:t>/d</w:t>
            </w:r>
            <w:r>
              <w:rPr>
                <w:rFonts w:hint="eastAsia"/>
                <w:sz w:val="24"/>
                <w:szCs w:val="24"/>
              </w:rPr>
              <w:t>，</w:t>
            </w:r>
            <w:r>
              <w:rPr>
                <w:sz w:val="24"/>
                <w:szCs w:val="24"/>
              </w:rPr>
              <w:t>7.20m</w:t>
            </w:r>
            <w:r>
              <w:rPr>
                <w:sz w:val="24"/>
                <w:szCs w:val="24"/>
                <w:vertAlign w:val="superscript"/>
              </w:rPr>
              <w:t>3</w:t>
            </w:r>
            <w:r>
              <w:rPr>
                <w:sz w:val="24"/>
                <w:szCs w:val="24"/>
              </w:rPr>
              <w:t>/a。生活污水产生系数按照0.8计，则</w:t>
            </w:r>
            <w:r>
              <w:rPr>
                <w:rFonts w:hint="eastAsia"/>
                <w:sz w:val="24"/>
                <w:szCs w:val="24"/>
              </w:rPr>
              <w:t>生活污水</w:t>
            </w:r>
            <w:r>
              <w:rPr>
                <w:sz w:val="24"/>
                <w:szCs w:val="24"/>
              </w:rPr>
              <w:t>产生量为1.92m</w:t>
            </w:r>
            <w:r>
              <w:rPr>
                <w:sz w:val="24"/>
                <w:szCs w:val="24"/>
                <w:vertAlign w:val="superscript"/>
              </w:rPr>
              <w:t>3</w:t>
            </w:r>
            <w:r>
              <w:rPr>
                <w:sz w:val="24"/>
                <w:szCs w:val="24"/>
              </w:rPr>
              <w:t>/d</w:t>
            </w:r>
            <w:r>
              <w:rPr>
                <w:rFonts w:hint="eastAsia"/>
                <w:sz w:val="24"/>
                <w:szCs w:val="24"/>
              </w:rPr>
              <w:t>，</w:t>
            </w:r>
            <w:r>
              <w:rPr>
                <w:sz w:val="24"/>
                <w:szCs w:val="24"/>
              </w:rPr>
              <w:t>576m</w:t>
            </w:r>
            <w:r>
              <w:rPr>
                <w:sz w:val="24"/>
                <w:szCs w:val="24"/>
                <w:vertAlign w:val="superscript"/>
              </w:rPr>
              <w:t>3</w:t>
            </w:r>
            <w:r>
              <w:rPr>
                <w:sz w:val="24"/>
                <w:szCs w:val="24"/>
              </w:rPr>
              <w:t>/a。</w:t>
            </w:r>
            <w:r>
              <w:rPr>
                <w:rFonts w:hint="eastAsia"/>
                <w:sz w:val="24"/>
                <w:szCs w:val="24"/>
              </w:rPr>
              <w:t>厂区建设化粪池收集生活污水。生活污水经化粪池处置后排入市政管网。</w:t>
            </w:r>
          </w:p>
          <w:p>
            <w:pPr>
              <w:ind w:firstLine="480"/>
              <w:rPr>
                <w:sz w:val="24"/>
                <w:szCs w:val="24"/>
              </w:rPr>
            </w:pPr>
            <w:r>
              <w:rPr>
                <w:rFonts w:hint="eastAsia"/>
                <w:sz w:val="24"/>
                <w:szCs w:val="24"/>
              </w:rPr>
              <w:t>②车间清洗废水</w:t>
            </w:r>
          </w:p>
          <w:p>
            <w:pPr>
              <w:ind w:firstLine="480"/>
              <w:rPr>
                <w:sz w:val="24"/>
                <w:szCs w:val="24"/>
              </w:rPr>
            </w:pPr>
            <w:r>
              <w:rPr>
                <w:rFonts w:hint="eastAsia"/>
                <w:sz w:val="24"/>
                <w:szCs w:val="24"/>
              </w:rPr>
              <w:t>本项目车间占地20000m</w:t>
            </w:r>
            <w:r>
              <w:rPr>
                <w:rFonts w:hint="eastAsia"/>
                <w:sz w:val="24"/>
                <w:szCs w:val="24"/>
                <w:vertAlign w:val="superscript"/>
              </w:rPr>
              <w:t>2</w:t>
            </w:r>
            <w:r>
              <w:rPr>
                <w:rFonts w:hint="eastAsia"/>
                <w:sz w:val="24"/>
                <w:szCs w:val="24"/>
              </w:rPr>
              <w:t>，根据建设单位提供相关资料，实际使用面积为15000m</w:t>
            </w:r>
            <w:r>
              <w:rPr>
                <w:rFonts w:hint="eastAsia"/>
                <w:sz w:val="24"/>
                <w:szCs w:val="24"/>
                <w:vertAlign w:val="superscript"/>
              </w:rPr>
              <w:t>2</w:t>
            </w:r>
            <w:r>
              <w:rPr>
                <w:rFonts w:hint="eastAsia"/>
                <w:sz w:val="24"/>
                <w:szCs w:val="24"/>
              </w:rPr>
              <w:t>。每次清洗用水量按2L/m</w:t>
            </w:r>
            <w:r>
              <w:rPr>
                <w:rFonts w:hint="eastAsia"/>
                <w:sz w:val="24"/>
                <w:szCs w:val="24"/>
                <w:vertAlign w:val="superscript"/>
              </w:rPr>
              <w:t>2</w:t>
            </w:r>
            <w:r>
              <w:rPr>
                <w:rFonts w:hint="eastAsia"/>
                <w:sz w:val="24"/>
                <w:szCs w:val="24"/>
              </w:rPr>
              <w:t>计算，则每次车间清洗用水量为30m</w:t>
            </w:r>
            <w:r>
              <w:rPr>
                <w:rFonts w:hint="eastAsia"/>
                <w:sz w:val="24"/>
                <w:szCs w:val="24"/>
                <w:vertAlign w:val="superscript"/>
              </w:rPr>
              <w:t>3</w:t>
            </w:r>
            <w:r>
              <w:rPr>
                <w:rFonts w:hint="eastAsia"/>
                <w:sz w:val="24"/>
                <w:szCs w:val="24"/>
              </w:rPr>
              <w:t>，产污系数按0.9计算，则车间清洗废水产生量为27m</w:t>
            </w:r>
            <w:r>
              <w:rPr>
                <w:rFonts w:hint="eastAsia"/>
                <w:sz w:val="24"/>
                <w:szCs w:val="24"/>
                <w:vertAlign w:val="superscript"/>
              </w:rPr>
              <w:t>3</w:t>
            </w:r>
            <w:r>
              <w:rPr>
                <w:rFonts w:hint="eastAsia"/>
                <w:sz w:val="24"/>
                <w:szCs w:val="24"/>
              </w:rPr>
              <w:t>/次。每2周进行一次清洗，则年清洗废水产生量为648m</w:t>
            </w:r>
            <w:r>
              <w:rPr>
                <w:rFonts w:hint="eastAsia"/>
                <w:sz w:val="24"/>
                <w:szCs w:val="24"/>
                <w:vertAlign w:val="superscript"/>
              </w:rPr>
              <w:t>3</w:t>
            </w:r>
            <w:r>
              <w:rPr>
                <w:rFonts w:hint="eastAsia"/>
                <w:sz w:val="24"/>
                <w:szCs w:val="24"/>
              </w:rPr>
              <w:t>/a。</w:t>
            </w:r>
          </w:p>
          <w:p>
            <w:pPr>
              <w:ind w:firstLine="480"/>
              <w:rPr>
                <w:sz w:val="24"/>
                <w:szCs w:val="24"/>
              </w:rPr>
            </w:pPr>
            <w:r>
              <w:rPr>
                <w:rFonts w:hint="eastAsia"/>
                <w:sz w:val="24"/>
                <w:szCs w:val="24"/>
              </w:rPr>
              <w:t>车间清洗废水主要污染因子是SS、石油类，采取“隔油+絮凝沉淀”的处置方式对车间清洗废水进行处置，处置达标的废水回用于厂区绿化、道路洒水。</w:t>
            </w:r>
          </w:p>
          <w:p>
            <w:pPr>
              <w:ind w:firstLine="480"/>
              <w:rPr>
                <w:sz w:val="24"/>
                <w:szCs w:val="24"/>
              </w:rPr>
            </w:pPr>
            <w:r>
              <w:rPr>
                <w:rFonts w:hint="eastAsia"/>
                <w:sz w:val="24"/>
                <w:szCs w:val="24"/>
              </w:rPr>
              <w:t>废水回用水质达标分析：</w:t>
            </w:r>
          </w:p>
          <w:p>
            <w:pPr>
              <w:ind w:firstLine="480"/>
              <w:rPr>
                <w:sz w:val="24"/>
                <w:szCs w:val="24"/>
              </w:rPr>
            </w:pPr>
            <w:r>
              <w:rPr>
                <w:rFonts w:hint="eastAsia"/>
                <w:sz w:val="24"/>
                <w:szCs w:val="24"/>
              </w:rPr>
              <w:t>车间清洗废水主要污染因子是SS、石油类，采取“隔油+絮凝沉淀”的处置方式对车间清洗废水进行处置。隔油设施是利用水与油比重不同的特点，将油水分离而去除水中油类物质。车间清洗废水中的石油类物质为重油类，随着悬浮物一起下沉，与水分离，降低水中石油类物质含量。絮凝沉淀是指在水中投加混凝剂后，其中悬浮物的胶体及分散颗粒在分子力的相互作用下生成絮状体且在沉降过程中它们互相碰撞凝聚，其尺寸和质量不断变大，沉速不断增加，可有效降低污水中的悬浮物。综上所述，废水中污染因子均得到针对性处置，最终排水可满足</w:t>
            </w:r>
            <w:r>
              <w:rPr>
                <w:rFonts w:hint="eastAsia"/>
                <w:sz w:val="24"/>
                <w:szCs w:val="32"/>
              </w:rPr>
              <w:t>《城市污水再生利用 城市杂用水水质》（</w:t>
            </w:r>
            <w:r>
              <w:rPr>
                <w:sz w:val="24"/>
                <w:szCs w:val="32"/>
              </w:rPr>
              <w:t>GB/T 18920-2020）相关限值要求</w:t>
            </w:r>
            <w:r>
              <w:rPr>
                <w:rFonts w:hint="eastAsia"/>
                <w:sz w:val="24"/>
                <w:szCs w:val="32"/>
              </w:rPr>
              <w:t>。</w:t>
            </w:r>
          </w:p>
          <w:p>
            <w:pPr>
              <w:ind w:firstLine="480"/>
              <w:rPr>
                <w:sz w:val="24"/>
                <w:szCs w:val="24"/>
              </w:rPr>
            </w:pPr>
            <w:r>
              <w:rPr>
                <w:rFonts w:hint="eastAsia"/>
                <w:sz w:val="24"/>
                <w:szCs w:val="24"/>
              </w:rPr>
              <w:t>（3）污水处理厂可依托性分析</w:t>
            </w:r>
          </w:p>
          <w:p>
            <w:pPr>
              <w:ind w:firstLine="480"/>
              <w:rPr>
                <w:sz w:val="24"/>
                <w:szCs w:val="24"/>
              </w:rPr>
            </w:pPr>
            <w:r>
              <w:rPr>
                <w:rFonts w:hint="eastAsia"/>
                <w:sz w:val="24"/>
                <w:szCs w:val="24"/>
              </w:rPr>
              <w:t>石泉县污水处理厂位于石泉县城关镇新桥村尾子沟沟口，于2012年开工建设，2017年进行提标改造，改造后日处理规模为2万立方米/日。采用“A</w:t>
            </w:r>
            <w:r>
              <w:rPr>
                <w:rFonts w:hint="eastAsia"/>
                <w:sz w:val="24"/>
                <w:szCs w:val="24"/>
                <w:vertAlign w:val="superscript"/>
              </w:rPr>
              <w:t>2</w:t>
            </w:r>
            <w:r>
              <w:rPr>
                <w:rFonts w:hint="eastAsia"/>
                <w:sz w:val="24"/>
                <w:szCs w:val="24"/>
              </w:rPr>
              <w:t>/O微曝氧化沟工艺+深度处理”的处理工艺进行污水处置。出水水质可达到《城镇污水处理厂污染物排放标准》(GB18918-2002)一级A标准。</w:t>
            </w:r>
          </w:p>
          <w:p>
            <w:pPr>
              <w:ind w:firstLine="480"/>
              <w:rPr>
                <w:sz w:val="24"/>
                <w:szCs w:val="24"/>
              </w:rPr>
            </w:pPr>
            <w:r>
              <w:rPr>
                <w:rFonts w:hint="eastAsia"/>
                <w:sz w:val="24"/>
                <w:szCs w:val="24"/>
              </w:rPr>
              <w:t>本项目位于石泉县污水处理厂收水范围内，污水排放量较小，不会造成污水厂运行负担过重，污水厂依托可行。</w:t>
            </w:r>
          </w:p>
          <w:p>
            <w:pPr>
              <w:ind w:firstLine="480"/>
              <w:rPr>
                <w:sz w:val="24"/>
                <w:szCs w:val="24"/>
              </w:rPr>
            </w:pPr>
            <w:r>
              <w:rPr>
                <w:sz w:val="24"/>
                <w:szCs w:val="24"/>
              </w:rPr>
              <w:t>3</w:t>
            </w:r>
            <w:r>
              <w:rPr>
                <w:rFonts w:hint="eastAsia"/>
                <w:sz w:val="24"/>
                <w:szCs w:val="24"/>
              </w:rPr>
              <w:t>、噪声</w:t>
            </w:r>
          </w:p>
          <w:p>
            <w:pPr>
              <w:ind w:firstLine="480"/>
              <w:rPr>
                <w:sz w:val="24"/>
                <w:szCs w:val="24"/>
              </w:rPr>
            </w:pPr>
            <w:r>
              <w:rPr>
                <w:rFonts w:hint="eastAsia"/>
                <w:sz w:val="24"/>
                <w:szCs w:val="24"/>
              </w:rPr>
              <w:t>（1）噪声源强和监测方案</w:t>
            </w:r>
          </w:p>
          <w:p>
            <w:pPr>
              <w:ind w:firstLine="480"/>
              <w:rPr>
                <w:sz w:val="24"/>
                <w:szCs w:val="24"/>
              </w:rPr>
            </w:pPr>
            <w:r>
              <w:rPr>
                <w:rFonts w:hint="eastAsia"/>
                <w:sz w:val="24"/>
                <w:szCs w:val="24"/>
              </w:rPr>
              <w:t>本项目噪声源强见表4-15。</w:t>
            </w:r>
          </w:p>
          <w:p>
            <w:pPr>
              <w:ind w:firstLine="480"/>
              <w:rPr>
                <w:sz w:val="24"/>
                <w:szCs w:val="24"/>
              </w:rPr>
            </w:pPr>
          </w:p>
          <w:p>
            <w:pPr>
              <w:ind w:firstLine="480"/>
              <w:rPr>
                <w:sz w:val="24"/>
                <w:szCs w:val="24"/>
              </w:rPr>
            </w:pPr>
          </w:p>
          <w:p>
            <w:pPr>
              <w:ind w:firstLine="480"/>
              <w:rPr>
                <w:sz w:val="24"/>
                <w:szCs w:val="24"/>
              </w:rPr>
            </w:pPr>
          </w:p>
          <w:p>
            <w:pPr>
              <w:pStyle w:val="34"/>
              <w:ind w:firstLine="480"/>
              <w:rPr>
                <w:b/>
                <w:sz w:val="24"/>
              </w:rPr>
            </w:pPr>
            <w:r>
              <w:rPr>
                <w:b/>
                <w:sz w:val="24"/>
              </w:rPr>
              <w:t>表</w:t>
            </w:r>
            <w:r>
              <w:rPr>
                <w:rFonts w:hint="eastAsia"/>
                <w:b/>
                <w:sz w:val="24"/>
              </w:rPr>
              <w:t>4-15</w:t>
            </w:r>
            <w:r>
              <w:rPr>
                <w:b/>
                <w:sz w:val="24"/>
              </w:rPr>
              <w:t xml:space="preserve">  本项目噪声源强表</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848"/>
              <w:gridCol w:w="1134"/>
              <w:gridCol w:w="710"/>
              <w:gridCol w:w="2047"/>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931" w:type="dxa"/>
                  <w:tcBorders>
                    <w:bottom w:val="single" w:color="auto" w:sz="4" w:space="0"/>
                  </w:tcBorders>
                  <w:shd w:val="pct10" w:color="auto" w:fill="auto"/>
                  <w:vAlign w:val="center"/>
                </w:tcPr>
                <w:p>
                  <w:pPr>
                    <w:pStyle w:val="34"/>
                    <w:rPr>
                      <w:b/>
                      <w:szCs w:val="21"/>
                    </w:rPr>
                  </w:pPr>
                  <w:r>
                    <w:rPr>
                      <w:rFonts w:hint="eastAsia" w:cs="宋体"/>
                      <w:b/>
                      <w:szCs w:val="21"/>
                    </w:rPr>
                    <w:t>噪声源</w:t>
                  </w:r>
                </w:p>
              </w:tc>
              <w:tc>
                <w:tcPr>
                  <w:tcW w:w="848" w:type="dxa"/>
                  <w:tcBorders>
                    <w:bottom w:val="single" w:color="auto" w:sz="4" w:space="0"/>
                  </w:tcBorders>
                  <w:shd w:val="pct10" w:color="auto" w:fill="auto"/>
                  <w:vAlign w:val="center"/>
                </w:tcPr>
                <w:p>
                  <w:pPr>
                    <w:pStyle w:val="34"/>
                    <w:rPr>
                      <w:b/>
                      <w:szCs w:val="21"/>
                    </w:rPr>
                  </w:pPr>
                  <w:r>
                    <w:rPr>
                      <w:rFonts w:hint="eastAsia" w:cs="宋体"/>
                      <w:b/>
                      <w:szCs w:val="21"/>
                    </w:rPr>
                    <w:t>数量</w:t>
                  </w:r>
                </w:p>
              </w:tc>
              <w:tc>
                <w:tcPr>
                  <w:tcW w:w="1134" w:type="dxa"/>
                  <w:tcBorders>
                    <w:bottom w:val="single" w:color="auto" w:sz="4" w:space="0"/>
                  </w:tcBorders>
                  <w:shd w:val="pct10" w:color="auto" w:fill="auto"/>
                  <w:vAlign w:val="center"/>
                </w:tcPr>
                <w:p>
                  <w:pPr>
                    <w:pStyle w:val="34"/>
                    <w:rPr>
                      <w:rFonts w:cs="宋体"/>
                      <w:b/>
                      <w:szCs w:val="21"/>
                    </w:rPr>
                  </w:pPr>
                  <w:r>
                    <w:rPr>
                      <w:rFonts w:hint="eastAsia" w:cs="宋体"/>
                      <w:b/>
                      <w:szCs w:val="21"/>
                    </w:rPr>
                    <w:t>源强</w:t>
                  </w:r>
                </w:p>
                <w:p>
                  <w:pPr>
                    <w:pStyle w:val="34"/>
                    <w:rPr>
                      <w:b/>
                      <w:szCs w:val="21"/>
                    </w:rPr>
                  </w:pPr>
                  <w:r>
                    <w:rPr>
                      <w:b/>
                      <w:szCs w:val="21"/>
                    </w:rPr>
                    <w:t>dB</w:t>
                  </w:r>
                  <w:r>
                    <w:rPr>
                      <w:rFonts w:hint="eastAsia" w:cs="宋体"/>
                      <w:b/>
                      <w:szCs w:val="21"/>
                    </w:rPr>
                    <w:t>（</w:t>
                  </w:r>
                  <w:r>
                    <w:rPr>
                      <w:b/>
                      <w:szCs w:val="21"/>
                    </w:rPr>
                    <w:t>A</w:t>
                  </w:r>
                  <w:r>
                    <w:rPr>
                      <w:rFonts w:hint="eastAsia" w:cs="宋体"/>
                      <w:b/>
                      <w:szCs w:val="21"/>
                    </w:rPr>
                    <w:t>）</w:t>
                  </w:r>
                </w:p>
              </w:tc>
              <w:tc>
                <w:tcPr>
                  <w:tcW w:w="710" w:type="dxa"/>
                  <w:tcBorders>
                    <w:bottom w:val="single" w:color="auto" w:sz="4" w:space="0"/>
                  </w:tcBorders>
                  <w:shd w:val="pct10" w:color="auto" w:fill="auto"/>
                  <w:vAlign w:val="center"/>
                </w:tcPr>
                <w:p>
                  <w:pPr>
                    <w:pStyle w:val="34"/>
                    <w:rPr>
                      <w:rFonts w:cs="宋体"/>
                      <w:b/>
                      <w:szCs w:val="21"/>
                    </w:rPr>
                  </w:pPr>
                  <w:r>
                    <w:rPr>
                      <w:rFonts w:hint="eastAsia" w:cs="宋体"/>
                      <w:b/>
                      <w:szCs w:val="21"/>
                    </w:rPr>
                    <w:t>排放</w:t>
                  </w:r>
                </w:p>
                <w:p>
                  <w:pPr>
                    <w:pStyle w:val="34"/>
                    <w:rPr>
                      <w:b/>
                      <w:szCs w:val="21"/>
                    </w:rPr>
                  </w:pPr>
                  <w:r>
                    <w:rPr>
                      <w:rFonts w:hint="eastAsia" w:cs="宋体"/>
                      <w:b/>
                      <w:szCs w:val="21"/>
                    </w:rPr>
                    <w:t>规律</w:t>
                  </w:r>
                </w:p>
              </w:tc>
              <w:tc>
                <w:tcPr>
                  <w:tcW w:w="2047" w:type="dxa"/>
                  <w:tcBorders>
                    <w:bottom w:val="single" w:color="auto" w:sz="4" w:space="0"/>
                  </w:tcBorders>
                  <w:shd w:val="pct10" w:color="auto" w:fill="auto"/>
                  <w:vAlign w:val="center"/>
                </w:tcPr>
                <w:p>
                  <w:pPr>
                    <w:pStyle w:val="34"/>
                    <w:rPr>
                      <w:b/>
                      <w:szCs w:val="21"/>
                    </w:rPr>
                  </w:pPr>
                  <w:r>
                    <w:rPr>
                      <w:rFonts w:hint="eastAsia" w:cs="宋体"/>
                      <w:b/>
                      <w:szCs w:val="21"/>
                    </w:rPr>
                    <w:t>拟采取</w:t>
                  </w:r>
                </w:p>
                <w:p>
                  <w:pPr>
                    <w:pStyle w:val="34"/>
                    <w:rPr>
                      <w:b/>
                      <w:szCs w:val="21"/>
                    </w:rPr>
                  </w:pPr>
                  <w:r>
                    <w:rPr>
                      <w:rFonts w:hint="eastAsia" w:cs="宋体"/>
                      <w:b/>
                      <w:szCs w:val="21"/>
                    </w:rPr>
                    <w:t>治理措施</w:t>
                  </w:r>
                </w:p>
              </w:tc>
              <w:tc>
                <w:tcPr>
                  <w:tcW w:w="1630" w:type="dxa"/>
                  <w:tcBorders>
                    <w:bottom w:val="single" w:color="auto" w:sz="4" w:space="0"/>
                  </w:tcBorders>
                  <w:shd w:val="pct10" w:color="auto" w:fill="auto"/>
                  <w:vAlign w:val="center"/>
                </w:tcPr>
                <w:p>
                  <w:pPr>
                    <w:pStyle w:val="34"/>
                    <w:rPr>
                      <w:b/>
                      <w:szCs w:val="21"/>
                    </w:rPr>
                  </w:pPr>
                  <w:r>
                    <w:rPr>
                      <w:rFonts w:hint="eastAsia" w:cs="宋体"/>
                      <w:b/>
                      <w:szCs w:val="21"/>
                    </w:rPr>
                    <w:t>治理后声压级</w:t>
                  </w:r>
                  <w:r>
                    <w:rPr>
                      <w:b/>
                      <w:szCs w:val="21"/>
                    </w:rPr>
                    <w:t>dB</w:t>
                  </w:r>
                  <w:r>
                    <w:rPr>
                      <w:rFonts w:hint="eastAsia" w:cs="宋体"/>
                      <w:b/>
                      <w:szCs w:val="21"/>
                    </w:rPr>
                    <w:t>（</w:t>
                  </w:r>
                  <w:r>
                    <w:rPr>
                      <w:b/>
                      <w:szCs w:val="21"/>
                    </w:rPr>
                    <w:t>A</w:t>
                  </w:r>
                  <w:r>
                    <w:rPr>
                      <w:rFonts w:hint="eastAsia" w:cs="宋体"/>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拆车机</w:t>
                  </w:r>
                </w:p>
              </w:tc>
              <w:tc>
                <w:tcPr>
                  <w:tcW w:w="848" w:type="dxa"/>
                  <w:vAlign w:val="center"/>
                </w:tcPr>
                <w:p>
                  <w:pPr>
                    <w:pStyle w:val="34"/>
                    <w:rPr>
                      <w:szCs w:val="21"/>
                    </w:rPr>
                  </w:pPr>
                  <w:r>
                    <w:rPr>
                      <w:rFonts w:hint="eastAsia"/>
                      <w:szCs w:val="21"/>
                    </w:rPr>
                    <w:t>2</w:t>
                  </w:r>
                </w:p>
              </w:tc>
              <w:tc>
                <w:tcPr>
                  <w:tcW w:w="1134" w:type="dxa"/>
                  <w:vAlign w:val="center"/>
                </w:tcPr>
                <w:p>
                  <w:pPr>
                    <w:pStyle w:val="34"/>
                    <w:rPr>
                      <w:szCs w:val="21"/>
                    </w:rPr>
                  </w:pPr>
                  <w:r>
                    <w:rPr>
                      <w:rFonts w:hint="eastAsia"/>
                      <w:szCs w:val="21"/>
                    </w:rPr>
                    <w:t>90</w:t>
                  </w:r>
                </w:p>
              </w:tc>
              <w:tc>
                <w:tcPr>
                  <w:tcW w:w="710" w:type="dxa"/>
                  <w:vAlign w:val="center"/>
                </w:tcPr>
                <w:p>
                  <w:pPr>
                    <w:pStyle w:val="34"/>
                    <w:rPr>
                      <w:szCs w:val="21"/>
                    </w:rPr>
                  </w:pPr>
                  <w:r>
                    <w:rPr>
                      <w:szCs w:val="21"/>
                    </w:rPr>
                    <w:t>间断</w:t>
                  </w:r>
                </w:p>
              </w:tc>
              <w:tc>
                <w:tcPr>
                  <w:tcW w:w="2047" w:type="dxa"/>
                  <w:vMerge w:val="restart"/>
                  <w:vAlign w:val="center"/>
                </w:tcPr>
                <w:p>
                  <w:pPr>
                    <w:pStyle w:val="34"/>
                    <w:rPr>
                      <w:szCs w:val="21"/>
                    </w:rPr>
                  </w:pPr>
                  <w:r>
                    <w:rPr>
                      <w:szCs w:val="21"/>
                    </w:rPr>
                    <w:t>选用低噪声设备</w:t>
                  </w:r>
                  <w:r>
                    <w:rPr>
                      <w:rFonts w:hint="eastAsia"/>
                      <w:szCs w:val="21"/>
                    </w:rPr>
                    <w:t>，</w:t>
                  </w:r>
                  <w:r>
                    <w:rPr>
                      <w:szCs w:val="21"/>
                    </w:rPr>
                    <w:t>置于室内</w:t>
                  </w:r>
                  <w:r>
                    <w:rPr>
                      <w:rFonts w:hint="eastAsia"/>
                      <w:szCs w:val="21"/>
                    </w:rPr>
                    <w:t>，</w:t>
                  </w:r>
                  <w:r>
                    <w:rPr>
                      <w:szCs w:val="21"/>
                    </w:rPr>
                    <w:t>采取减震隔声措施</w:t>
                  </w:r>
                </w:p>
              </w:tc>
              <w:tc>
                <w:tcPr>
                  <w:tcW w:w="1630" w:type="dxa"/>
                  <w:vAlign w:val="center"/>
                </w:tcPr>
                <w:p>
                  <w:pPr>
                    <w:pStyle w:val="34"/>
                    <w:rPr>
                      <w:szCs w:val="21"/>
                    </w:rPr>
                  </w:pPr>
                  <w:r>
                    <w:rPr>
                      <w:rFonts w:hint="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逆变式</w:t>
                  </w:r>
                  <w:r>
                    <w:rPr>
                      <w:szCs w:val="21"/>
                    </w:rPr>
                    <w:t>空气</w:t>
                  </w:r>
                  <w:r>
                    <w:rPr>
                      <w:rFonts w:hint="eastAsia"/>
                      <w:szCs w:val="21"/>
                    </w:rPr>
                    <w:t>等离子切割机</w:t>
                  </w:r>
                </w:p>
              </w:tc>
              <w:tc>
                <w:tcPr>
                  <w:tcW w:w="848" w:type="dxa"/>
                  <w:vAlign w:val="center"/>
                </w:tcPr>
                <w:p>
                  <w:pPr>
                    <w:pStyle w:val="34"/>
                    <w:rPr>
                      <w:szCs w:val="21"/>
                    </w:rPr>
                  </w:pPr>
                  <w:r>
                    <w:rPr>
                      <w:rFonts w:hint="eastAsia"/>
                      <w:szCs w:val="21"/>
                    </w:rPr>
                    <w:t>2</w:t>
                  </w:r>
                </w:p>
              </w:tc>
              <w:tc>
                <w:tcPr>
                  <w:tcW w:w="1134" w:type="dxa"/>
                  <w:vAlign w:val="center"/>
                </w:tcPr>
                <w:p>
                  <w:pPr>
                    <w:pStyle w:val="34"/>
                    <w:rPr>
                      <w:szCs w:val="21"/>
                    </w:rPr>
                  </w:pPr>
                  <w:r>
                    <w:rPr>
                      <w:rFonts w:hint="eastAsia"/>
                      <w:szCs w:val="21"/>
                    </w:rPr>
                    <w:t>85</w:t>
                  </w:r>
                </w:p>
              </w:tc>
              <w:tc>
                <w:tcPr>
                  <w:tcW w:w="710" w:type="dxa"/>
                  <w:vAlign w:val="center"/>
                </w:tcPr>
                <w:p>
                  <w:pPr>
                    <w:pStyle w:val="34"/>
                    <w:rPr>
                      <w:szCs w:val="21"/>
                    </w:rPr>
                  </w:pPr>
                  <w:r>
                    <w:rPr>
                      <w:szCs w:val="21"/>
                    </w:rPr>
                    <w:t>间断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举升机</w:t>
                  </w:r>
                </w:p>
              </w:tc>
              <w:tc>
                <w:tcPr>
                  <w:tcW w:w="848" w:type="dxa"/>
                  <w:vAlign w:val="center"/>
                </w:tcPr>
                <w:p>
                  <w:pPr>
                    <w:pStyle w:val="34"/>
                    <w:rPr>
                      <w:szCs w:val="21"/>
                    </w:rPr>
                  </w:pPr>
                  <w:r>
                    <w:rPr>
                      <w:szCs w:val="21"/>
                    </w:rPr>
                    <w:t>10</w:t>
                  </w:r>
                </w:p>
              </w:tc>
              <w:tc>
                <w:tcPr>
                  <w:tcW w:w="1134" w:type="dxa"/>
                  <w:vAlign w:val="center"/>
                </w:tcPr>
                <w:p>
                  <w:pPr>
                    <w:pStyle w:val="34"/>
                    <w:rPr>
                      <w:szCs w:val="21"/>
                    </w:rPr>
                  </w:pPr>
                  <w:r>
                    <w:rPr>
                      <w:rFonts w:hint="eastAsia"/>
                      <w:szCs w:val="21"/>
                    </w:rPr>
                    <w:t>80</w:t>
                  </w:r>
                </w:p>
              </w:tc>
              <w:tc>
                <w:tcPr>
                  <w:tcW w:w="710" w:type="dxa"/>
                  <w:vAlign w:val="center"/>
                </w:tcPr>
                <w:p>
                  <w:pPr>
                    <w:pStyle w:val="34"/>
                    <w:rPr>
                      <w:szCs w:val="21"/>
                    </w:rPr>
                  </w:pPr>
                  <w:r>
                    <w:rPr>
                      <w:szCs w:val="21"/>
                    </w:rPr>
                    <w:t>间断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液压</w:t>
                  </w:r>
                  <w:r>
                    <w:rPr>
                      <w:szCs w:val="21"/>
                    </w:rPr>
                    <w:t>剪切机</w:t>
                  </w:r>
                </w:p>
              </w:tc>
              <w:tc>
                <w:tcPr>
                  <w:tcW w:w="848" w:type="dxa"/>
                  <w:vAlign w:val="center"/>
                </w:tcPr>
                <w:p>
                  <w:pPr>
                    <w:pStyle w:val="34"/>
                    <w:rPr>
                      <w:szCs w:val="21"/>
                    </w:rPr>
                  </w:pPr>
                  <w:r>
                    <w:rPr>
                      <w:rFonts w:hint="eastAsia"/>
                      <w:szCs w:val="21"/>
                    </w:rPr>
                    <w:t>1</w:t>
                  </w:r>
                </w:p>
              </w:tc>
              <w:tc>
                <w:tcPr>
                  <w:tcW w:w="1134" w:type="dxa"/>
                  <w:vAlign w:val="center"/>
                </w:tcPr>
                <w:p>
                  <w:pPr>
                    <w:pStyle w:val="34"/>
                    <w:rPr>
                      <w:szCs w:val="21"/>
                    </w:rPr>
                  </w:pPr>
                  <w:r>
                    <w:rPr>
                      <w:rFonts w:hint="eastAsia"/>
                      <w:szCs w:val="21"/>
                    </w:rPr>
                    <w:t>85</w:t>
                  </w:r>
                </w:p>
              </w:tc>
              <w:tc>
                <w:tcPr>
                  <w:tcW w:w="710" w:type="dxa"/>
                  <w:vAlign w:val="center"/>
                </w:tcPr>
                <w:p>
                  <w:pPr>
                    <w:pStyle w:val="34"/>
                    <w:rPr>
                      <w:szCs w:val="21"/>
                    </w:rPr>
                  </w:pPr>
                  <w:r>
                    <w:rPr>
                      <w:szCs w:val="21"/>
                    </w:rPr>
                    <w:t>间断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门式剪断机</w:t>
                  </w:r>
                </w:p>
              </w:tc>
              <w:tc>
                <w:tcPr>
                  <w:tcW w:w="848" w:type="dxa"/>
                  <w:vAlign w:val="center"/>
                </w:tcPr>
                <w:p>
                  <w:pPr>
                    <w:pStyle w:val="34"/>
                    <w:rPr>
                      <w:szCs w:val="21"/>
                    </w:rPr>
                  </w:pPr>
                  <w:r>
                    <w:rPr>
                      <w:rFonts w:hint="eastAsia"/>
                      <w:szCs w:val="21"/>
                    </w:rPr>
                    <w:t>1</w:t>
                  </w:r>
                </w:p>
              </w:tc>
              <w:tc>
                <w:tcPr>
                  <w:tcW w:w="1134" w:type="dxa"/>
                  <w:vAlign w:val="center"/>
                </w:tcPr>
                <w:p>
                  <w:pPr>
                    <w:pStyle w:val="34"/>
                    <w:rPr>
                      <w:szCs w:val="21"/>
                    </w:rPr>
                  </w:pPr>
                  <w:r>
                    <w:rPr>
                      <w:rFonts w:hint="eastAsia"/>
                      <w:szCs w:val="21"/>
                    </w:rPr>
                    <w:t>85</w:t>
                  </w:r>
                </w:p>
              </w:tc>
              <w:tc>
                <w:tcPr>
                  <w:tcW w:w="710" w:type="dxa"/>
                  <w:vAlign w:val="center"/>
                </w:tcPr>
                <w:p>
                  <w:pPr>
                    <w:pStyle w:val="34"/>
                    <w:rPr>
                      <w:szCs w:val="21"/>
                    </w:rPr>
                  </w:pPr>
                  <w:r>
                    <w:rPr>
                      <w:szCs w:val="21"/>
                    </w:rPr>
                    <w:t>间断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抓钢机</w:t>
                  </w:r>
                </w:p>
              </w:tc>
              <w:tc>
                <w:tcPr>
                  <w:tcW w:w="848" w:type="dxa"/>
                  <w:vAlign w:val="center"/>
                </w:tcPr>
                <w:p>
                  <w:pPr>
                    <w:pStyle w:val="34"/>
                    <w:rPr>
                      <w:szCs w:val="21"/>
                    </w:rPr>
                  </w:pPr>
                  <w:r>
                    <w:rPr>
                      <w:rFonts w:hint="eastAsia"/>
                      <w:szCs w:val="21"/>
                    </w:rPr>
                    <w:t>2</w:t>
                  </w:r>
                </w:p>
              </w:tc>
              <w:tc>
                <w:tcPr>
                  <w:tcW w:w="1134" w:type="dxa"/>
                  <w:vAlign w:val="center"/>
                </w:tcPr>
                <w:p>
                  <w:pPr>
                    <w:pStyle w:val="34"/>
                    <w:rPr>
                      <w:szCs w:val="21"/>
                    </w:rPr>
                  </w:pPr>
                  <w:r>
                    <w:rPr>
                      <w:rFonts w:hint="eastAsia"/>
                      <w:szCs w:val="21"/>
                    </w:rPr>
                    <w:t>80</w:t>
                  </w:r>
                </w:p>
              </w:tc>
              <w:tc>
                <w:tcPr>
                  <w:tcW w:w="710" w:type="dxa"/>
                  <w:vAlign w:val="center"/>
                </w:tcPr>
                <w:p>
                  <w:pPr>
                    <w:pStyle w:val="34"/>
                    <w:rPr>
                      <w:szCs w:val="21"/>
                    </w:rPr>
                  </w:pPr>
                  <w:r>
                    <w:rPr>
                      <w:szCs w:val="21"/>
                    </w:rPr>
                    <w:t>间断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叉车</w:t>
                  </w:r>
                </w:p>
              </w:tc>
              <w:tc>
                <w:tcPr>
                  <w:tcW w:w="848" w:type="dxa"/>
                  <w:vAlign w:val="center"/>
                </w:tcPr>
                <w:p>
                  <w:pPr>
                    <w:pStyle w:val="34"/>
                    <w:rPr>
                      <w:szCs w:val="21"/>
                    </w:rPr>
                  </w:pPr>
                  <w:r>
                    <w:rPr>
                      <w:rFonts w:hint="eastAsia"/>
                      <w:szCs w:val="21"/>
                    </w:rPr>
                    <w:t>8</w:t>
                  </w:r>
                </w:p>
              </w:tc>
              <w:tc>
                <w:tcPr>
                  <w:tcW w:w="1134" w:type="dxa"/>
                  <w:vAlign w:val="center"/>
                </w:tcPr>
                <w:p>
                  <w:pPr>
                    <w:pStyle w:val="34"/>
                    <w:rPr>
                      <w:szCs w:val="21"/>
                    </w:rPr>
                  </w:pPr>
                  <w:r>
                    <w:rPr>
                      <w:rFonts w:hint="eastAsia"/>
                      <w:szCs w:val="21"/>
                    </w:rPr>
                    <w:t>90</w:t>
                  </w:r>
                </w:p>
              </w:tc>
              <w:tc>
                <w:tcPr>
                  <w:tcW w:w="710" w:type="dxa"/>
                  <w:vAlign w:val="center"/>
                </w:tcPr>
                <w:p>
                  <w:pPr>
                    <w:pStyle w:val="34"/>
                    <w:rPr>
                      <w:szCs w:val="21"/>
                    </w:rPr>
                  </w:pPr>
                  <w:r>
                    <w:rPr>
                      <w:szCs w:val="21"/>
                    </w:rPr>
                    <w:t>间断</w:t>
                  </w:r>
                </w:p>
              </w:tc>
              <w:tc>
                <w:tcPr>
                  <w:tcW w:w="2047" w:type="dxa"/>
                  <w:vMerge w:val="restart"/>
                  <w:vAlign w:val="center"/>
                </w:tcPr>
                <w:p>
                  <w:pPr>
                    <w:pStyle w:val="34"/>
                    <w:rPr>
                      <w:szCs w:val="21"/>
                    </w:rPr>
                  </w:pPr>
                  <w:r>
                    <w:rPr>
                      <w:szCs w:val="21"/>
                    </w:rPr>
                    <w:t>选用低噪声设备</w:t>
                  </w:r>
                  <w:r>
                    <w:rPr>
                      <w:rFonts w:hint="eastAsia"/>
                      <w:szCs w:val="21"/>
                    </w:rPr>
                    <w:t>，</w:t>
                  </w:r>
                  <w:r>
                    <w:rPr>
                      <w:szCs w:val="21"/>
                    </w:rPr>
                    <w:t>合理控制运行时间</w:t>
                  </w:r>
                </w:p>
              </w:tc>
              <w:tc>
                <w:tcPr>
                  <w:tcW w:w="1630" w:type="dxa"/>
                  <w:vAlign w:val="center"/>
                </w:tcPr>
                <w:p>
                  <w:pPr>
                    <w:pStyle w:val="34"/>
                    <w:rPr>
                      <w:szCs w:val="21"/>
                    </w:rPr>
                  </w:pPr>
                  <w:r>
                    <w:rPr>
                      <w:rFonts w:hint="eastAsia"/>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行吊车</w:t>
                  </w:r>
                </w:p>
              </w:tc>
              <w:tc>
                <w:tcPr>
                  <w:tcW w:w="848" w:type="dxa"/>
                  <w:vAlign w:val="center"/>
                </w:tcPr>
                <w:p>
                  <w:pPr>
                    <w:pStyle w:val="34"/>
                    <w:rPr>
                      <w:szCs w:val="21"/>
                    </w:rPr>
                  </w:pPr>
                  <w:r>
                    <w:rPr>
                      <w:rFonts w:hint="eastAsia"/>
                      <w:szCs w:val="21"/>
                    </w:rPr>
                    <w:t>2</w:t>
                  </w:r>
                </w:p>
              </w:tc>
              <w:tc>
                <w:tcPr>
                  <w:tcW w:w="1134" w:type="dxa"/>
                  <w:vAlign w:val="center"/>
                </w:tcPr>
                <w:p>
                  <w:pPr>
                    <w:pStyle w:val="34"/>
                    <w:rPr>
                      <w:szCs w:val="21"/>
                    </w:rPr>
                  </w:pPr>
                  <w:r>
                    <w:rPr>
                      <w:rFonts w:hint="eastAsia"/>
                      <w:szCs w:val="21"/>
                    </w:rPr>
                    <w:t>90</w:t>
                  </w:r>
                </w:p>
              </w:tc>
              <w:tc>
                <w:tcPr>
                  <w:tcW w:w="710" w:type="dxa"/>
                  <w:vAlign w:val="center"/>
                </w:tcPr>
                <w:p>
                  <w:pPr>
                    <w:pStyle w:val="34"/>
                    <w:rPr>
                      <w:szCs w:val="21"/>
                    </w:rPr>
                  </w:pPr>
                  <w:r>
                    <w:rPr>
                      <w:szCs w:val="21"/>
                    </w:rPr>
                    <w:t>间断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拖运车</w:t>
                  </w:r>
                </w:p>
              </w:tc>
              <w:tc>
                <w:tcPr>
                  <w:tcW w:w="848" w:type="dxa"/>
                  <w:vAlign w:val="center"/>
                </w:tcPr>
                <w:p>
                  <w:pPr>
                    <w:pStyle w:val="34"/>
                    <w:rPr>
                      <w:szCs w:val="21"/>
                    </w:rPr>
                  </w:pPr>
                  <w:r>
                    <w:rPr>
                      <w:rFonts w:hint="eastAsia"/>
                      <w:szCs w:val="21"/>
                    </w:rPr>
                    <w:t>2</w:t>
                  </w:r>
                </w:p>
              </w:tc>
              <w:tc>
                <w:tcPr>
                  <w:tcW w:w="1134" w:type="dxa"/>
                  <w:vAlign w:val="center"/>
                </w:tcPr>
                <w:p>
                  <w:pPr>
                    <w:pStyle w:val="34"/>
                    <w:rPr>
                      <w:szCs w:val="21"/>
                    </w:rPr>
                  </w:pPr>
                  <w:r>
                    <w:rPr>
                      <w:rFonts w:hint="eastAsia"/>
                      <w:szCs w:val="21"/>
                    </w:rPr>
                    <w:t>85</w:t>
                  </w:r>
                </w:p>
              </w:tc>
              <w:tc>
                <w:tcPr>
                  <w:tcW w:w="710" w:type="dxa"/>
                  <w:vAlign w:val="center"/>
                </w:tcPr>
                <w:p>
                  <w:pPr>
                    <w:pStyle w:val="34"/>
                    <w:rPr>
                      <w:szCs w:val="21"/>
                    </w:rPr>
                  </w:pPr>
                  <w:r>
                    <w:rPr>
                      <w:szCs w:val="21"/>
                    </w:rPr>
                    <w:t>间断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kern w:val="0"/>
                      <w:szCs w:val="21"/>
                    </w:rPr>
                  </w:pPr>
                  <w:r>
                    <w:rPr>
                      <w:rFonts w:hint="eastAsia"/>
                      <w:szCs w:val="21"/>
                    </w:rPr>
                    <w:t>真空</w:t>
                  </w:r>
                  <w:r>
                    <w:rPr>
                      <w:szCs w:val="21"/>
                    </w:rPr>
                    <w:t>抽油机</w:t>
                  </w:r>
                </w:p>
              </w:tc>
              <w:tc>
                <w:tcPr>
                  <w:tcW w:w="848" w:type="dxa"/>
                  <w:vAlign w:val="center"/>
                </w:tcPr>
                <w:p>
                  <w:pPr>
                    <w:pStyle w:val="34"/>
                    <w:rPr>
                      <w:kern w:val="0"/>
                      <w:szCs w:val="21"/>
                    </w:rPr>
                  </w:pPr>
                  <w:r>
                    <w:rPr>
                      <w:rFonts w:hint="eastAsia"/>
                      <w:kern w:val="0"/>
                      <w:szCs w:val="21"/>
                    </w:rPr>
                    <w:t>1</w:t>
                  </w:r>
                </w:p>
              </w:tc>
              <w:tc>
                <w:tcPr>
                  <w:tcW w:w="1134" w:type="dxa"/>
                  <w:vAlign w:val="center"/>
                </w:tcPr>
                <w:p>
                  <w:pPr>
                    <w:pStyle w:val="34"/>
                    <w:rPr>
                      <w:szCs w:val="21"/>
                    </w:rPr>
                  </w:pPr>
                  <w:r>
                    <w:rPr>
                      <w:rFonts w:hint="eastAsia"/>
                      <w:szCs w:val="21"/>
                    </w:rPr>
                    <w:t>75</w:t>
                  </w:r>
                </w:p>
              </w:tc>
              <w:tc>
                <w:tcPr>
                  <w:tcW w:w="710" w:type="dxa"/>
                  <w:vAlign w:val="center"/>
                </w:tcPr>
                <w:p>
                  <w:pPr>
                    <w:pStyle w:val="34"/>
                    <w:rPr>
                      <w:szCs w:val="21"/>
                    </w:rPr>
                  </w:pPr>
                  <w:r>
                    <w:rPr>
                      <w:szCs w:val="21"/>
                    </w:rPr>
                    <w:t>间断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kern w:val="0"/>
                      <w:szCs w:val="21"/>
                    </w:rPr>
                  </w:pPr>
                  <w:r>
                    <w:rPr>
                      <w:rFonts w:hint="eastAsia"/>
                      <w:szCs w:val="21"/>
                    </w:rPr>
                    <w:t>塑料接口制冷剂</w:t>
                  </w:r>
                  <w:r>
                    <w:rPr>
                      <w:szCs w:val="21"/>
                    </w:rPr>
                    <w:t>回收机</w:t>
                  </w:r>
                </w:p>
              </w:tc>
              <w:tc>
                <w:tcPr>
                  <w:tcW w:w="848" w:type="dxa"/>
                  <w:vAlign w:val="center"/>
                </w:tcPr>
                <w:p>
                  <w:pPr>
                    <w:pStyle w:val="34"/>
                    <w:rPr>
                      <w:kern w:val="0"/>
                      <w:szCs w:val="21"/>
                    </w:rPr>
                  </w:pPr>
                  <w:r>
                    <w:rPr>
                      <w:rFonts w:hint="eastAsia"/>
                      <w:kern w:val="0"/>
                      <w:szCs w:val="21"/>
                    </w:rPr>
                    <w:t>1</w:t>
                  </w:r>
                </w:p>
              </w:tc>
              <w:tc>
                <w:tcPr>
                  <w:tcW w:w="1134" w:type="dxa"/>
                  <w:vAlign w:val="center"/>
                </w:tcPr>
                <w:p>
                  <w:pPr>
                    <w:pStyle w:val="34"/>
                    <w:rPr>
                      <w:szCs w:val="21"/>
                    </w:rPr>
                  </w:pPr>
                  <w:r>
                    <w:rPr>
                      <w:rFonts w:hint="eastAsia"/>
                      <w:szCs w:val="21"/>
                    </w:rPr>
                    <w:t>80</w:t>
                  </w:r>
                </w:p>
              </w:tc>
              <w:tc>
                <w:tcPr>
                  <w:tcW w:w="710" w:type="dxa"/>
                  <w:vAlign w:val="center"/>
                </w:tcPr>
                <w:p>
                  <w:pPr>
                    <w:pStyle w:val="34"/>
                    <w:rPr>
                      <w:szCs w:val="21"/>
                    </w:rPr>
                  </w:pPr>
                  <w:r>
                    <w:rPr>
                      <w:szCs w:val="21"/>
                    </w:rPr>
                    <w:t>间断</w:t>
                  </w:r>
                </w:p>
              </w:tc>
              <w:tc>
                <w:tcPr>
                  <w:tcW w:w="2047" w:type="dxa"/>
                  <w:vMerge w:val="restart"/>
                  <w:vAlign w:val="center"/>
                </w:tcPr>
                <w:p>
                  <w:pPr>
                    <w:pStyle w:val="34"/>
                    <w:rPr>
                      <w:szCs w:val="21"/>
                    </w:rPr>
                  </w:pPr>
                  <w:r>
                    <w:rPr>
                      <w:szCs w:val="21"/>
                    </w:rPr>
                    <w:t>选用低噪声设备</w:t>
                  </w:r>
                  <w:r>
                    <w:rPr>
                      <w:rFonts w:hint="eastAsia"/>
                      <w:szCs w:val="21"/>
                    </w:rPr>
                    <w:t>，</w:t>
                  </w:r>
                  <w:r>
                    <w:rPr>
                      <w:szCs w:val="21"/>
                    </w:rPr>
                    <w:t>置于室内</w:t>
                  </w:r>
                  <w:r>
                    <w:rPr>
                      <w:rFonts w:hint="eastAsia"/>
                      <w:szCs w:val="21"/>
                    </w:rPr>
                    <w:t>，</w:t>
                  </w:r>
                  <w:r>
                    <w:rPr>
                      <w:szCs w:val="21"/>
                    </w:rPr>
                    <w:t>采取减震隔声措施</w:t>
                  </w:r>
                </w:p>
              </w:tc>
              <w:tc>
                <w:tcPr>
                  <w:tcW w:w="1630" w:type="dxa"/>
                  <w:vAlign w:val="center"/>
                </w:tcPr>
                <w:p>
                  <w:pPr>
                    <w:pStyle w:val="34"/>
                    <w:rPr>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kern w:val="0"/>
                      <w:szCs w:val="21"/>
                    </w:rPr>
                  </w:pPr>
                  <w:r>
                    <w:rPr>
                      <w:rFonts w:hint="eastAsia"/>
                      <w:kern w:val="0"/>
                      <w:szCs w:val="21"/>
                    </w:rPr>
                    <w:t>双轴撕碎机</w:t>
                  </w:r>
                </w:p>
              </w:tc>
              <w:tc>
                <w:tcPr>
                  <w:tcW w:w="848" w:type="dxa"/>
                  <w:vAlign w:val="center"/>
                </w:tcPr>
                <w:p>
                  <w:pPr>
                    <w:pStyle w:val="34"/>
                    <w:rPr>
                      <w:kern w:val="0"/>
                      <w:szCs w:val="21"/>
                    </w:rPr>
                  </w:pPr>
                  <w:r>
                    <w:rPr>
                      <w:rFonts w:hint="eastAsia"/>
                      <w:kern w:val="0"/>
                      <w:szCs w:val="21"/>
                    </w:rPr>
                    <w:t>6</w:t>
                  </w:r>
                </w:p>
              </w:tc>
              <w:tc>
                <w:tcPr>
                  <w:tcW w:w="1134" w:type="dxa"/>
                  <w:vAlign w:val="center"/>
                </w:tcPr>
                <w:p>
                  <w:pPr>
                    <w:pStyle w:val="34"/>
                    <w:rPr>
                      <w:szCs w:val="21"/>
                    </w:rPr>
                  </w:pPr>
                  <w:r>
                    <w:rPr>
                      <w:rFonts w:hint="eastAsia"/>
                      <w:szCs w:val="21"/>
                    </w:rPr>
                    <w:t>90</w:t>
                  </w:r>
                </w:p>
              </w:tc>
              <w:tc>
                <w:tcPr>
                  <w:tcW w:w="710" w:type="dxa"/>
                  <w:vAlign w:val="center"/>
                </w:tcPr>
                <w:p>
                  <w:pPr>
                    <w:pStyle w:val="34"/>
                    <w:rPr>
                      <w:szCs w:val="21"/>
                    </w:rPr>
                  </w:pPr>
                  <w:r>
                    <w:rPr>
                      <w:szCs w:val="21"/>
                    </w:rPr>
                    <w:t>间断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立式撕碎机</w:t>
                  </w:r>
                </w:p>
              </w:tc>
              <w:tc>
                <w:tcPr>
                  <w:tcW w:w="848" w:type="dxa"/>
                  <w:vAlign w:val="center"/>
                </w:tcPr>
                <w:p>
                  <w:pPr>
                    <w:pStyle w:val="34"/>
                    <w:rPr>
                      <w:kern w:val="0"/>
                      <w:szCs w:val="21"/>
                    </w:rPr>
                  </w:pPr>
                  <w:r>
                    <w:rPr>
                      <w:kern w:val="0"/>
                      <w:szCs w:val="21"/>
                    </w:rPr>
                    <w:t>1</w:t>
                  </w:r>
                  <w:r>
                    <w:rPr>
                      <w:rFonts w:hint="eastAsia"/>
                      <w:kern w:val="0"/>
                      <w:szCs w:val="21"/>
                    </w:rPr>
                    <w:t>2</w:t>
                  </w:r>
                </w:p>
              </w:tc>
              <w:tc>
                <w:tcPr>
                  <w:tcW w:w="1134" w:type="dxa"/>
                  <w:vAlign w:val="center"/>
                </w:tcPr>
                <w:p>
                  <w:pPr>
                    <w:pStyle w:val="34"/>
                    <w:rPr>
                      <w:szCs w:val="21"/>
                    </w:rPr>
                  </w:pPr>
                  <w:r>
                    <w:rPr>
                      <w:rFonts w:hint="eastAsia"/>
                      <w:szCs w:val="21"/>
                    </w:rPr>
                    <w:t>90</w:t>
                  </w:r>
                </w:p>
              </w:tc>
              <w:tc>
                <w:tcPr>
                  <w:tcW w:w="710" w:type="dxa"/>
                  <w:vAlign w:val="center"/>
                </w:tcPr>
                <w:p>
                  <w:pPr>
                    <w:pStyle w:val="34"/>
                    <w:rPr>
                      <w:szCs w:val="21"/>
                    </w:rPr>
                  </w:pPr>
                  <w:r>
                    <w:rPr>
                      <w:szCs w:val="21"/>
                    </w:rPr>
                    <w:t>间断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压缩机</w:t>
                  </w:r>
                </w:p>
              </w:tc>
              <w:tc>
                <w:tcPr>
                  <w:tcW w:w="848" w:type="dxa"/>
                  <w:vAlign w:val="center"/>
                </w:tcPr>
                <w:p>
                  <w:pPr>
                    <w:pStyle w:val="34"/>
                    <w:rPr>
                      <w:kern w:val="0"/>
                      <w:szCs w:val="21"/>
                    </w:rPr>
                  </w:pPr>
                  <w:r>
                    <w:rPr>
                      <w:rFonts w:hint="eastAsia"/>
                      <w:kern w:val="0"/>
                      <w:szCs w:val="21"/>
                    </w:rPr>
                    <w:t>6</w:t>
                  </w:r>
                </w:p>
              </w:tc>
              <w:tc>
                <w:tcPr>
                  <w:tcW w:w="1134" w:type="dxa"/>
                  <w:vAlign w:val="center"/>
                </w:tcPr>
                <w:p>
                  <w:pPr>
                    <w:pStyle w:val="34"/>
                    <w:rPr>
                      <w:szCs w:val="21"/>
                    </w:rPr>
                  </w:pPr>
                  <w:r>
                    <w:rPr>
                      <w:rFonts w:hint="eastAsia"/>
                      <w:szCs w:val="21"/>
                    </w:rPr>
                    <w:t>90</w:t>
                  </w:r>
                </w:p>
              </w:tc>
              <w:tc>
                <w:tcPr>
                  <w:tcW w:w="710" w:type="dxa"/>
                  <w:vAlign w:val="center"/>
                </w:tcPr>
                <w:p>
                  <w:pPr>
                    <w:pStyle w:val="34"/>
                    <w:rPr>
                      <w:szCs w:val="21"/>
                    </w:rPr>
                  </w:pPr>
                  <w:r>
                    <w:rPr>
                      <w:rFonts w:hint="eastAsia"/>
                      <w:szCs w:val="21"/>
                    </w:rPr>
                    <w:t>连续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rFonts w:hint="eastAsia"/>
                      <w:szCs w:val="21"/>
                    </w:rPr>
                    <w:t>螺旋传送机</w:t>
                  </w:r>
                </w:p>
              </w:tc>
              <w:tc>
                <w:tcPr>
                  <w:tcW w:w="848" w:type="dxa"/>
                  <w:vAlign w:val="center"/>
                </w:tcPr>
                <w:p>
                  <w:pPr>
                    <w:pStyle w:val="34"/>
                    <w:rPr>
                      <w:kern w:val="0"/>
                      <w:szCs w:val="21"/>
                    </w:rPr>
                  </w:pPr>
                  <w:r>
                    <w:rPr>
                      <w:rFonts w:hint="eastAsia"/>
                      <w:kern w:val="0"/>
                      <w:szCs w:val="21"/>
                    </w:rPr>
                    <w:t>1</w:t>
                  </w:r>
                  <w:r>
                    <w:rPr>
                      <w:kern w:val="0"/>
                      <w:szCs w:val="21"/>
                    </w:rPr>
                    <w:t>2</w:t>
                  </w:r>
                </w:p>
              </w:tc>
              <w:tc>
                <w:tcPr>
                  <w:tcW w:w="1134" w:type="dxa"/>
                  <w:vAlign w:val="center"/>
                </w:tcPr>
                <w:p>
                  <w:pPr>
                    <w:pStyle w:val="34"/>
                    <w:rPr>
                      <w:szCs w:val="21"/>
                    </w:rPr>
                  </w:pPr>
                  <w:r>
                    <w:rPr>
                      <w:rFonts w:hint="eastAsia"/>
                      <w:szCs w:val="21"/>
                    </w:rPr>
                    <w:t>85</w:t>
                  </w:r>
                </w:p>
              </w:tc>
              <w:tc>
                <w:tcPr>
                  <w:tcW w:w="710" w:type="dxa"/>
                  <w:vAlign w:val="center"/>
                </w:tcPr>
                <w:p>
                  <w:pPr>
                    <w:pStyle w:val="34"/>
                    <w:rPr>
                      <w:szCs w:val="21"/>
                    </w:rPr>
                  </w:pPr>
                  <w:r>
                    <w:rPr>
                      <w:rFonts w:hint="eastAsia"/>
                      <w:szCs w:val="21"/>
                    </w:rPr>
                    <w:t>连续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31" w:type="dxa"/>
                  <w:vAlign w:val="center"/>
                </w:tcPr>
                <w:p>
                  <w:pPr>
                    <w:pStyle w:val="34"/>
                    <w:rPr>
                      <w:szCs w:val="21"/>
                    </w:rPr>
                  </w:pPr>
                  <w:r>
                    <w:rPr>
                      <w:szCs w:val="21"/>
                    </w:rPr>
                    <w:t>风机</w:t>
                  </w:r>
                </w:p>
              </w:tc>
              <w:tc>
                <w:tcPr>
                  <w:tcW w:w="848" w:type="dxa"/>
                  <w:vAlign w:val="center"/>
                </w:tcPr>
                <w:p>
                  <w:pPr>
                    <w:pStyle w:val="34"/>
                    <w:rPr>
                      <w:szCs w:val="21"/>
                    </w:rPr>
                  </w:pPr>
                  <w:r>
                    <w:rPr>
                      <w:rFonts w:hint="eastAsia"/>
                      <w:szCs w:val="21"/>
                    </w:rPr>
                    <w:t>25</w:t>
                  </w:r>
                </w:p>
              </w:tc>
              <w:tc>
                <w:tcPr>
                  <w:tcW w:w="1134" w:type="dxa"/>
                  <w:vAlign w:val="center"/>
                </w:tcPr>
                <w:p>
                  <w:pPr>
                    <w:pStyle w:val="34"/>
                    <w:rPr>
                      <w:szCs w:val="21"/>
                    </w:rPr>
                  </w:pPr>
                  <w:r>
                    <w:rPr>
                      <w:rFonts w:hint="eastAsia"/>
                      <w:szCs w:val="21"/>
                    </w:rPr>
                    <w:t>90</w:t>
                  </w:r>
                </w:p>
              </w:tc>
              <w:tc>
                <w:tcPr>
                  <w:tcW w:w="710" w:type="dxa"/>
                  <w:vAlign w:val="center"/>
                </w:tcPr>
                <w:p>
                  <w:pPr>
                    <w:pStyle w:val="34"/>
                    <w:rPr>
                      <w:szCs w:val="21"/>
                    </w:rPr>
                  </w:pPr>
                  <w:r>
                    <w:rPr>
                      <w:rFonts w:hint="eastAsia"/>
                      <w:szCs w:val="21"/>
                    </w:rPr>
                    <w:t>连续</w:t>
                  </w:r>
                </w:p>
              </w:tc>
              <w:tc>
                <w:tcPr>
                  <w:tcW w:w="2047" w:type="dxa"/>
                  <w:vMerge w:val="continue"/>
                  <w:vAlign w:val="center"/>
                </w:tcPr>
                <w:p>
                  <w:pPr>
                    <w:pStyle w:val="34"/>
                    <w:rPr>
                      <w:szCs w:val="21"/>
                    </w:rPr>
                  </w:pPr>
                </w:p>
              </w:tc>
              <w:tc>
                <w:tcPr>
                  <w:tcW w:w="1630" w:type="dxa"/>
                  <w:vAlign w:val="center"/>
                </w:tcPr>
                <w:p>
                  <w:pPr>
                    <w:pStyle w:val="34"/>
                    <w:rPr>
                      <w:szCs w:val="21"/>
                    </w:rPr>
                  </w:pPr>
                  <w:r>
                    <w:rPr>
                      <w:rFonts w:hint="eastAsia"/>
                      <w:szCs w:val="21"/>
                    </w:rPr>
                    <w:t>70</w:t>
                  </w:r>
                </w:p>
              </w:tc>
            </w:tr>
          </w:tbl>
          <w:p>
            <w:pPr>
              <w:ind w:firstLine="480"/>
              <w:rPr>
                <w:sz w:val="24"/>
                <w:szCs w:val="24"/>
              </w:rPr>
            </w:pPr>
            <w:r>
              <w:rPr>
                <w:sz w:val="24"/>
                <w:szCs w:val="24"/>
              </w:rPr>
              <w:t>噪声监测方案见表</w:t>
            </w:r>
            <w:r>
              <w:rPr>
                <w:rFonts w:hint="eastAsia"/>
                <w:sz w:val="24"/>
                <w:szCs w:val="24"/>
              </w:rPr>
              <w:t>4-16。</w:t>
            </w:r>
          </w:p>
          <w:p>
            <w:pPr>
              <w:pStyle w:val="34"/>
              <w:ind w:firstLine="480"/>
              <w:rPr>
                <w:b/>
                <w:sz w:val="24"/>
              </w:rPr>
            </w:pPr>
            <w:r>
              <w:rPr>
                <w:b/>
                <w:sz w:val="24"/>
              </w:rPr>
              <w:t>表</w:t>
            </w:r>
            <w:r>
              <w:rPr>
                <w:rFonts w:hint="eastAsia"/>
                <w:b/>
                <w:sz w:val="24"/>
              </w:rPr>
              <w:t>4</w:t>
            </w:r>
            <w:r>
              <w:rPr>
                <w:b/>
                <w:sz w:val="24"/>
              </w:rPr>
              <w:t>-</w:t>
            </w:r>
            <w:r>
              <w:rPr>
                <w:rFonts w:hint="eastAsia"/>
                <w:b/>
                <w:sz w:val="24"/>
              </w:rPr>
              <w:t>16</w:t>
            </w:r>
            <w:r>
              <w:rPr>
                <w:b/>
                <w:sz w:val="24"/>
              </w:rPr>
              <w:t xml:space="preserve">  本项目噪声源强表</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277"/>
              <w:gridCol w:w="1275"/>
              <w:gridCol w:w="1134"/>
              <w:gridCol w:w="3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jc w:val="center"/>
              </w:trPr>
              <w:tc>
                <w:tcPr>
                  <w:tcW w:w="1219" w:type="dxa"/>
                  <w:shd w:val="pct10" w:color="auto" w:fill="auto"/>
                  <w:vAlign w:val="center"/>
                </w:tcPr>
                <w:p>
                  <w:pPr>
                    <w:pStyle w:val="34"/>
                    <w:rPr>
                      <w:rFonts w:cs="宋体"/>
                      <w:b/>
                      <w:szCs w:val="21"/>
                    </w:rPr>
                  </w:pPr>
                  <w:r>
                    <w:rPr>
                      <w:rFonts w:hint="eastAsia" w:cs="宋体"/>
                      <w:b/>
                      <w:szCs w:val="21"/>
                    </w:rPr>
                    <w:t>监测</w:t>
                  </w:r>
                </w:p>
                <w:p>
                  <w:pPr>
                    <w:pStyle w:val="34"/>
                    <w:rPr>
                      <w:b/>
                      <w:szCs w:val="21"/>
                    </w:rPr>
                  </w:pPr>
                  <w:r>
                    <w:rPr>
                      <w:rFonts w:hint="eastAsia" w:cs="宋体"/>
                      <w:b/>
                      <w:szCs w:val="21"/>
                    </w:rPr>
                    <w:t>类别</w:t>
                  </w:r>
                </w:p>
              </w:tc>
              <w:tc>
                <w:tcPr>
                  <w:tcW w:w="1277" w:type="dxa"/>
                  <w:shd w:val="pct10" w:color="auto" w:fill="auto"/>
                  <w:vAlign w:val="center"/>
                </w:tcPr>
                <w:p>
                  <w:pPr>
                    <w:pStyle w:val="34"/>
                    <w:rPr>
                      <w:rFonts w:cs="宋体"/>
                      <w:b/>
                      <w:szCs w:val="21"/>
                    </w:rPr>
                  </w:pPr>
                  <w:r>
                    <w:rPr>
                      <w:rFonts w:hint="eastAsia" w:cs="宋体"/>
                      <w:b/>
                      <w:szCs w:val="21"/>
                    </w:rPr>
                    <w:t>监测</w:t>
                  </w:r>
                </w:p>
                <w:p>
                  <w:pPr>
                    <w:pStyle w:val="34"/>
                    <w:rPr>
                      <w:b/>
                      <w:szCs w:val="21"/>
                    </w:rPr>
                  </w:pPr>
                  <w:r>
                    <w:rPr>
                      <w:rFonts w:hint="eastAsia" w:cs="宋体"/>
                      <w:b/>
                      <w:szCs w:val="21"/>
                    </w:rPr>
                    <w:t>项目</w:t>
                  </w:r>
                </w:p>
              </w:tc>
              <w:tc>
                <w:tcPr>
                  <w:tcW w:w="1275" w:type="dxa"/>
                  <w:shd w:val="pct10" w:color="auto" w:fill="auto"/>
                  <w:vAlign w:val="center"/>
                </w:tcPr>
                <w:p>
                  <w:pPr>
                    <w:pStyle w:val="34"/>
                    <w:rPr>
                      <w:rFonts w:cs="宋体"/>
                      <w:b/>
                      <w:szCs w:val="21"/>
                    </w:rPr>
                  </w:pPr>
                  <w:r>
                    <w:rPr>
                      <w:rFonts w:hint="eastAsia" w:cs="宋体"/>
                      <w:b/>
                      <w:szCs w:val="21"/>
                    </w:rPr>
                    <w:t>监测</w:t>
                  </w:r>
                </w:p>
                <w:p>
                  <w:pPr>
                    <w:pStyle w:val="34"/>
                    <w:rPr>
                      <w:b/>
                      <w:szCs w:val="21"/>
                    </w:rPr>
                  </w:pPr>
                  <w:r>
                    <w:rPr>
                      <w:rFonts w:hint="eastAsia" w:cs="宋体"/>
                      <w:b/>
                      <w:szCs w:val="21"/>
                    </w:rPr>
                    <w:t>位置</w:t>
                  </w:r>
                </w:p>
              </w:tc>
              <w:tc>
                <w:tcPr>
                  <w:tcW w:w="1134" w:type="dxa"/>
                  <w:shd w:val="pct10" w:color="auto" w:fill="auto"/>
                  <w:vAlign w:val="center"/>
                </w:tcPr>
                <w:p>
                  <w:pPr>
                    <w:pStyle w:val="34"/>
                    <w:rPr>
                      <w:rFonts w:cs="宋体"/>
                      <w:b/>
                      <w:szCs w:val="21"/>
                    </w:rPr>
                  </w:pPr>
                  <w:r>
                    <w:rPr>
                      <w:rFonts w:hint="eastAsia" w:cs="宋体"/>
                      <w:b/>
                      <w:szCs w:val="21"/>
                    </w:rPr>
                    <w:t>监测</w:t>
                  </w:r>
                </w:p>
                <w:p>
                  <w:pPr>
                    <w:pStyle w:val="34"/>
                    <w:rPr>
                      <w:b/>
                      <w:szCs w:val="21"/>
                    </w:rPr>
                  </w:pPr>
                  <w:r>
                    <w:rPr>
                      <w:rFonts w:hint="eastAsia" w:cs="宋体"/>
                      <w:b/>
                      <w:szCs w:val="21"/>
                    </w:rPr>
                    <w:t>频次</w:t>
                  </w:r>
                </w:p>
              </w:tc>
              <w:tc>
                <w:tcPr>
                  <w:tcW w:w="3395" w:type="dxa"/>
                  <w:shd w:val="pct10" w:color="auto" w:fill="auto"/>
                  <w:vAlign w:val="center"/>
                </w:tcPr>
                <w:p>
                  <w:pPr>
                    <w:pStyle w:val="34"/>
                    <w:rPr>
                      <w:b/>
                      <w:szCs w:val="21"/>
                    </w:rPr>
                  </w:pPr>
                  <w:r>
                    <w:rPr>
                      <w:rFonts w:hint="eastAsia" w:cs="宋体"/>
                      <w:b/>
                      <w:szCs w:val="21"/>
                    </w:rPr>
                    <w:t>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19" w:type="dxa"/>
                  <w:vAlign w:val="center"/>
                </w:tcPr>
                <w:p>
                  <w:pPr>
                    <w:pStyle w:val="34"/>
                    <w:rPr>
                      <w:szCs w:val="21"/>
                    </w:rPr>
                  </w:pPr>
                  <w:r>
                    <w:rPr>
                      <w:rFonts w:hint="eastAsia" w:cs="宋体"/>
                      <w:szCs w:val="21"/>
                    </w:rPr>
                    <w:t>噪声</w:t>
                  </w:r>
                </w:p>
              </w:tc>
              <w:tc>
                <w:tcPr>
                  <w:tcW w:w="1277" w:type="dxa"/>
                  <w:vAlign w:val="center"/>
                </w:tcPr>
                <w:p>
                  <w:pPr>
                    <w:pStyle w:val="34"/>
                    <w:rPr>
                      <w:szCs w:val="21"/>
                    </w:rPr>
                  </w:pPr>
                  <w:r>
                    <w:rPr>
                      <w:rFonts w:hint="eastAsia"/>
                      <w:szCs w:val="21"/>
                    </w:rPr>
                    <w:t>Leq</w:t>
                  </w:r>
                  <w:r>
                    <w:rPr>
                      <w:rFonts w:hint="eastAsia" w:cs="宋体"/>
                      <w:szCs w:val="21"/>
                    </w:rPr>
                    <w:t>（</w:t>
                  </w:r>
                  <w:r>
                    <w:rPr>
                      <w:szCs w:val="21"/>
                    </w:rPr>
                    <w:t>A</w:t>
                  </w:r>
                  <w:r>
                    <w:rPr>
                      <w:rFonts w:hint="eastAsia" w:cs="宋体"/>
                      <w:szCs w:val="21"/>
                    </w:rPr>
                    <w:t>）</w:t>
                  </w:r>
                </w:p>
              </w:tc>
              <w:tc>
                <w:tcPr>
                  <w:tcW w:w="1275" w:type="dxa"/>
                  <w:vAlign w:val="center"/>
                </w:tcPr>
                <w:p>
                  <w:pPr>
                    <w:pStyle w:val="34"/>
                    <w:rPr>
                      <w:szCs w:val="21"/>
                    </w:rPr>
                  </w:pPr>
                  <w:r>
                    <w:rPr>
                      <w:rFonts w:hint="eastAsia" w:cs="宋体"/>
                      <w:szCs w:val="21"/>
                    </w:rPr>
                    <w:t>厂界四周</w:t>
                  </w:r>
                </w:p>
              </w:tc>
              <w:tc>
                <w:tcPr>
                  <w:tcW w:w="1134" w:type="dxa"/>
                  <w:vAlign w:val="center"/>
                </w:tcPr>
                <w:p>
                  <w:pPr>
                    <w:pStyle w:val="34"/>
                    <w:rPr>
                      <w:rFonts w:cs="宋体"/>
                      <w:szCs w:val="21"/>
                    </w:rPr>
                  </w:pPr>
                  <w:r>
                    <w:rPr>
                      <w:rFonts w:hint="eastAsia" w:cs="宋体"/>
                      <w:szCs w:val="21"/>
                    </w:rPr>
                    <w:t>每季度</w:t>
                  </w:r>
                </w:p>
                <w:p>
                  <w:pPr>
                    <w:pStyle w:val="34"/>
                    <w:rPr>
                      <w:szCs w:val="21"/>
                    </w:rPr>
                  </w:pPr>
                  <w:r>
                    <w:rPr>
                      <w:rFonts w:hint="eastAsia"/>
                      <w:szCs w:val="21"/>
                    </w:rPr>
                    <w:t>1</w:t>
                  </w:r>
                  <w:r>
                    <w:rPr>
                      <w:rFonts w:hint="eastAsia" w:cs="宋体"/>
                      <w:szCs w:val="21"/>
                    </w:rPr>
                    <w:t>次</w:t>
                  </w:r>
                </w:p>
              </w:tc>
              <w:tc>
                <w:tcPr>
                  <w:tcW w:w="3395" w:type="dxa"/>
                  <w:vAlign w:val="center"/>
                </w:tcPr>
                <w:p>
                  <w:pPr>
                    <w:pStyle w:val="34"/>
                    <w:rPr>
                      <w:szCs w:val="21"/>
                    </w:rPr>
                  </w:pPr>
                  <w:r>
                    <w:rPr>
                      <w:rFonts w:hint="eastAsia" w:cs="宋体"/>
                      <w:szCs w:val="21"/>
                    </w:rPr>
                    <w:t>《工业企业厂界环境噪声排放标准》</w:t>
                  </w:r>
                  <w:r>
                    <w:rPr>
                      <w:szCs w:val="21"/>
                    </w:rPr>
                    <w:t>(GB12348-2008)</w:t>
                  </w:r>
                  <w:r>
                    <w:rPr>
                      <w:rFonts w:hint="eastAsia" w:cs="宋体"/>
                      <w:szCs w:val="21"/>
                    </w:rPr>
                    <w:t>中</w:t>
                  </w:r>
                  <w:r>
                    <w:rPr>
                      <w:szCs w:val="21"/>
                    </w:rPr>
                    <w:t>2</w:t>
                  </w:r>
                  <w:r>
                    <w:rPr>
                      <w:rFonts w:hint="eastAsia" w:cs="宋体"/>
                      <w:szCs w:val="21"/>
                    </w:rPr>
                    <w:t>类</w:t>
                  </w:r>
                </w:p>
              </w:tc>
            </w:tr>
          </w:tbl>
          <w:p>
            <w:pPr>
              <w:ind w:firstLine="480"/>
              <w:rPr>
                <w:sz w:val="24"/>
                <w:szCs w:val="24"/>
              </w:rPr>
            </w:pPr>
            <w:r>
              <w:rPr>
                <w:rFonts w:hint="eastAsia"/>
                <w:sz w:val="24"/>
                <w:szCs w:val="24"/>
              </w:rPr>
              <w:t>（2）噪声达标排放分析</w:t>
            </w:r>
          </w:p>
          <w:p>
            <w:pPr>
              <w:ind w:firstLine="480"/>
              <w:rPr>
                <w:sz w:val="24"/>
                <w:szCs w:val="24"/>
              </w:rPr>
            </w:pPr>
            <w:r>
              <w:rPr>
                <w:rFonts w:hint="eastAsia"/>
                <w:sz w:val="24"/>
                <w:szCs w:val="24"/>
              </w:rPr>
              <w:t>本次评价采用《环境影响评价技术导则（声环境）》（HJ2.4-2021）中推荐模式进行预测。</w:t>
            </w:r>
          </w:p>
          <w:p>
            <w:pPr>
              <w:ind w:firstLine="480"/>
              <w:rPr>
                <w:sz w:val="24"/>
                <w:szCs w:val="24"/>
              </w:rPr>
            </w:pPr>
            <w:r>
              <w:rPr>
                <w:rFonts w:hint="eastAsia"/>
                <w:sz w:val="24"/>
                <w:szCs w:val="24"/>
              </w:rPr>
              <w:t>对于室内声源，可按下式计算：</w:t>
            </w:r>
          </w:p>
          <w:p>
            <w:pPr>
              <w:ind w:firstLine="480"/>
              <w:jc w:val="center"/>
              <w:rPr>
                <w:sz w:val="24"/>
                <w:szCs w:val="24"/>
              </w:rPr>
            </w:pPr>
            <w:r>
              <w:rPr>
                <w:position w:val="-10"/>
                <w:sz w:val="24"/>
                <w:szCs w:val="24"/>
              </w:rPr>
              <w:object>
                <v:shape id="_x0000_i1025" o:spt="75" type="#_x0000_t75" style="height:17.25pt;width:117.75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p>
          <w:p>
            <w:pPr>
              <w:ind w:firstLine="480"/>
              <w:rPr>
                <w:sz w:val="24"/>
                <w:szCs w:val="24"/>
              </w:rPr>
            </w:pPr>
            <w:r>
              <w:rPr>
                <w:sz w:val="24"/>
                <w:szCs w:val="24"/>
              </w:rPr>
              <w:t>式中：</w:t>
            </w:r>
          </w:p>
          <w:p>
            <w:pPr>
              <w:ind w:firstLine="480"/>
              <w:rPr>
                <w:sz w:val="24"/>
                <w:szCs w:val="24"/>
              </w:rPr>
            </w:pPr>
            <w:r>
              <w:rPr>
                <w:rFonts w:hint="eastAsia"/>
                <w:sz w:val="24"/>
                <w:szCs w:val="24"/>
              </w:rPr>
              <w:t>Lp1——靠近开口处（或窗户）室内某倍频带的声压级或 A 声级，dB；</w:t>
            </w:r>
          </w:p>
          <w:p>
            <w:pPr>
              <w:ind w:firstLine="480"/>
              <w:rPr>
                <w:sz w:val="24"/>
                <w:szCs w:val="24"/>
              </w:rPr>
            </w:pPr>
            <w:r>
              <w:rPr>
                <w:rFonts w:hint="eastAsia"/>
                <w:sz w:val="24"/>
                <w:szCs w:val="24"/>
              </w:rPr>
              <w:t>Lp2——靠近开口处（或窗户）室外某倍频带的声压级或 A 声级，dB；</w:t>
            </w:r>
          </w:p>
          <w:p>
            <w:pPr>
              <w:ind w:firstLine="480"/>
              <w:rPr>
                <w:sz w:val="24"/>
                <w:szCs w:val="24"/>
              </w:rPr>
            </w:pPr>
            <w:r>
              <w:rPr>
                <w:rFonts w:hint="eastAsia"/>
                <w:sz w:val="24"/>
                <w:szCs w:val="24"/>
              </w:rPr>
              <w:t>TL——隔墙（或窗户）倍频带或 A 声级的隔声量，dB。</w:t>
            </w:r>
            <w:r>
              <w:rPr>
                <w:sz w:val="24"/>
                <w:szCs w:val="24"/>
              </w:rPr>
              <w:t>一般车间墙、窗组合结构取TL=25dB(A)，如果采用双层玻璃窗或通风隔声窗，TL=30dB(A)；本项目取</w:t>
            </w:r>
            <w:r>
              <w:rPr>
                <w:rFonts w:hint="eastAsia"/>
                <w:sz w:val="24"/>
                <w:szCs w:val="24"/>
              </w:rPr>
              <w:t>20</w:t>
            </w:r>
            <w:r>
              <w:rPr>
                <w:sz w:val="24"/>
                <w:szCs w:val="24"/>
              </w:rPr>
              <w:t xml:space="preserve"> dB(A)。</w:t>
            </w:r>
          </w:p>
          <w:p>
            <w:pPr>
              <w:ind w:firstLine="480"/>
              <w:rPr>
                <w:sz w:val="24"/>
                <w:szCs w:val="24"/>
              </w:rPr>
            </w:pPr>
            <w:r>
              <w:rPr>
                <w:sz w:val="24"/>
                <w:szCs w:val="24"/>
              </w:rPr>
              <w:t>对预测点多源声影响及背景噪声的</w:t>
            </w:r>
            <w:r>
              <w:rPr>
                <w:rFonts w:hint="eastAsia"/>
                <w:sz w:val="24"/>
                <w:szCs w:val="24"/>
              </w:rPr>
              <w:t>叠加</w:t>
            </w:r>
            <w:r>
              <w:rPr>
                <w:sz w:val="24"/>
                <w:szCs w:val="24"/>
              </w:rPr>
              <w:t>：</w:t>
            </w:r>
          </w:p>
          <w:p>
            <w:pPr>
              <w:ind w:firstLine="480"/>
              <w:jc w:val="center"/>
              <w:rPr>
                <w:sz w:val="24"/>
                <w:szCs w:val="24"/>
              </w:rPr>
            </w:pPr>
            <w:r>
              <w:rPr>
                <w:position w:val="-32"/>
                <w:sz w:val="24"/>
                <w:szCs w:val="24"/>
              </w:rPr>
              <w:object>
                <v:shape id="_x0000_i1026" o:spt="75" type="#_x0000_t75" style="height:33.75pt;width:183.75pt;" o:ole="t" filled="f" o:preferrelative="t" stroked="f" coordsize="21600,21600">
                  <v:path/>
                  <v:fill on="f" focussize="0,0"/>
                  <v:stroke on="f" joinstyle="miter"/>
                  <v:imagedata r:id="rId24" o:title=""/>
                  <o:lock v:ext="edit" aspectratio="t"/>
                  <w10:wrap type="none"/>
                  <w10:anchorlock/>
                </v:shape>
                <o:OLEObject Type="Embed" ProgID="Equation.3" ShapeID="_x0000_i1026" DrawAspect="Content" ObjectID="_1468075726" r:id="rId23">
                  <o:LockedField>false</o:LockedField>
                </o:OLEObject>
              </w:object>
            </w:r>
          </w:p>
          <w:p>
            <w:pPr>
              <w:ind w:firstLine="480"/>
              <w:rPr>
                <w:sz w:val="24"/>
                <w:szCs w:val="24"/>
              </w:rPr>
            </w:pPr>
            <w:r>
              <w:rPr>
                <w:sz w:val="24"/>
                <w:szCs w:val="24"/>
              </w:rPr>
              <w:t>式中：</w:t>
            </w:r>
          </w:p>
          <w:p>
            <w:pPr>
              <w:ind w:firstLine="480"/>
              <w:rPr>
                <w:sz w:val="24"/>
                <w:szCs w:val="24"/>
              </w:rPr>
            </w:pPr>
            <w:r>
              <w:rPr>
                <w:rFonts w:hint="eastAsia"/>
                <w:sz w:val="24"/>
                <w:szCs w:val="24"/>
              </w:rPr>
              <w:t>L</w:t>
            </w:r>
            <w:r>
              <w:rPr>
                <w:rFonts w:hint="eastAsia"/>
                <w:sz w:val="24"/>
                <w:szCs w:val="24"/>
                <w:vertAlign w:val="subscript"/>
              </w:rPr>
              <w:t>pli</w:t>
            </w:r>
            <w:r>
              <w:rPr>
                <w:rFonts w:hint="eastAsia"/>
                <w:sz w:val="24"/>
                <w:szCs w:val="24"/>
              </w:rPr>
              <w:t>(T)——靠近围护结构处室内 N 个声源 i 倍频带的叠加声压级，dB；</w:t>
            </w:r>
          </w:p>
          <w:p>
            <w:pPr>
              <w:ind w:firstLine="480"/>
              <w:rPr>
                <w:sz w:val="24"/>
                <w:szCs w:val="24"/>
              </w:rPr>
            </w:pPr>
            <w:r>
              <w:rPr>
                <w:rFonts w:hint="eastAsia"/>
                <w:sz w:val="24"/>
                <w:szCs w:val="24"/>
              </w:rPr>
              <w:t>L</w:t>
            </w:r>
            <w:r>
              <w:rPr>
                <w:rFonts w:hint="eastAsia"/>
                <w:sz w:val="24"/>
                <w:szCs w:val="24"/>
                <w:vertAlign w:val="subscript"/>
              </w:rPr>
              <w:t>plij</w:t>
            </w:r>
            <w:r>
              <w:rPr>
                <w:rFonts w:hint="eastAsia"/>
                <w:sz w:val="24"/>
                <w:szCs w:val="24"/>
              </w:rPr>
              <w:t>——室内 j 声源 i 倍频带的声压级，dB；</w:t>
            </w:r>
          </w:p>
          <w:p>
            <w:pPr>
              <w:ind w:firstLine="480"/>
              <w:rPr>
                <w:sz w:val="24"/>
                <w:szCs w:val="24"/>
              </w:rPr>
            </w:pPr>
            <w:r>
              <w:rPr>
                <w:rFonts w:hint="eastAsia"/>
                <w:sz w:val="24"/>
                <w:szCs w:val="24"/>
              </w:rPr>
              <w:t>N ——室内声源总数。</w:t>
            </w:r>
          </w:p>
          <w:p>
            <w:pPr>
              <w:ind w:firstLine="480"/>
              <w:rPr>
                <w:sz w:val="24"/>
                <w:szCs w:val="24"/>
              </w:rPr>
            </w:pPr>
            <w:r>
              <w:rPr>
                <w:rFonts w:hint="eastAsia"/>
                <w:sz w:val="24"/>
                <w:szCs w:val="24"/>
              </w:rPr>
              <w:t>本项目不在夜间运行，仅对昼间噪声贡献值进行预测，预测结果见表4-17。</w:t>
            </w:r>
          </w:p>
          <w:p>
            <w:pPr>
              <w:pStyle w:val="34"/>
              <w:rPr>
                <w:b/>
                <w:sz w:val="24"/>
              </w:rPr>
            </w:pPr>
            <w:r>
              <w:rPr>
                <w:b/>
                <w:sz w:val="24"/>
              </w:rPr>
              <w:t>表</w:t>
            </w:r>
            <w:r>
              <w:rPr>
                <w:rFonts w:hint="eastAsia"/>
                <w:b/>
                <w:sz w:val="24"/>
              </w:rPr>
              <w:t>4-17</w:t>
            </w:r>
            <w:r>
              <w:rPr>
                <w:b/>
                <w:sz w:val="24"/>
              </w:rPr>
              <w:t xml:space="preserve"> </w:t>
            </w:r>
            <w:r>
              <w:rPr>
                <w:rFonts w:hint="eastAsia"/>
                <w:b/>
                <w:sz w:val="24"/>
              </w:rPr>
              <w:t xml:space="preserve"> </w:t>
            </w:r>
            <w:r>
              <w:rPr>
                <w:b/>
                <w:sz w:val="24"/>
              </w:rPr>
              <w:t>本项目</w:t>
            </w:r>
            <w:r>
              <w:rPr>
                <w:rFonts w:hint="eastAsia"/>
                <w:b/>
                <w:sz w:val="24"/>
              </w:rPr>
              <w:t>厂界</w:t>
            </w:r>
            <w:r>
              <w:rPr>
                <w:b/>
                <w:sz w:val="24"/>
              </w:rPr>
              <w:t>噪声预测结果</w:t>
            </w:r>
          </w:p>
          <w:tbl>
            <w:tblPr>
              <w:tblStyle w:val="21"/>
              <w:tblW w:w="82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992"/>
              <w:gridCol w:w="991"/>
              <w:gridCol w:w="991"/>
              <w:gridCol w:w="992"/>
              <w:gridCol w:w="1561"/>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jc w:val="center"/>
              </w:trPr>
              <w:tc>
                <w:tcPr>
                  <w:tcW w:w="1504" w:type="dxa"/>
                  <w:shd w:val="pct10" w:color="auto" w:fill="auto"/>
                  <w:vAlign w:val="center"/>
                </w:tcPr>
                <w:p>
                  <w:pPr>
                    <w:pStyle w:val="34"/>
                    <w:rPr>
                      <w:b/>
                      <w:szCs w:val="21"/>
                    </w:rPr>
                  </w:pPr>
                  <w:r>
                    <w:rPr>
                      <w:rFonts w:hint="eastAsia" w:cs="宋体"/>
                      <w:b/>
                      <w:szCs w:val="21"/>
                    </w:rPr>
                    <w:t>类别</w:t>
                  </w:r>
                </w:p>
              </w:tc>
              <w:tc>
                <w:tcPr>
                  <w:tcW w:w="992" w:type="dxa"/>
                  <w:shd w:val="pct10" w:color="auto" w:fill="auto"/>
                  <w:vAlign w:val="center"/>
                </w:tcPr>
                <w:p>
                  <w:pPr>
                    <w:pStyle w:val="34"/>
                    <w:rPr>
                      <w:b/>
                      <w:szCs w:val="21"/>
                    </w:rPr>
                  </w:pPr>
                  <w:r>
                    <w:rPr>
                      <w:rFonts w:hint="eastAsia" w:cs="宋体"/>
                      <w:b/>
                      <w:szCs w:val="21"/>
                    </w:rPr>
                    <w:t>东厂界</w:t>
                  </w:r>
                </w:p>
              </w:tc>
              <w:tc>
                <w:tcPr>
                  <w:tcW w:w="991" w:type="dxa"/>
                  <w:shd w:val="pct10" w:color="auto" w:fill="auto"/>
                  <w:vAlign w:val="center"/>
                </w:tcPr>
                <w:p>
                  <w:pPr>
                    <w:pStyle w:val="34"/>
                    <w:rPr>
                      <w:b/>
                      <w:szCs w:val="21"/>
                    </w:rPr>
                  </w:pPr>
                  <w:r>
                    <w:rPr>
                      <w:rFonts w:hint="eastAsia" w:cs="宋体"/>
                      <w:b/>
                      <w:szCs w:val="21"/>
                    </w:rPr>
                    <w:t>北厂界</w:t>
                  </w:r>
                </w:p>
              </w:tc>
              <w:tc>
                <w:tcPr>
                  <w:tcW w:w="991" w:type="dxa"/>
                  <w:shd w:val="pct10" w:color="auto" w:fill="auto"/>
                  <w:vAlign w:val="center"/>
                </w:tcPr>
                <w:p>
                  <w:pPr>
                    <w:pStyle w:val="34"/>
                    <w:rPr>
                      <w:b/>
                      <w:szCs w:val="21"/>
                    </w:rPr>
                  </w:pPr>
                  <w:r>
                    <w:rPr>
                      <w:rFonts w:hint="eastAsia" w:cs="宋体"/>
                      <w:b/>
                      <w:szCs w:val="21"/>
                    </w:rPr>
                    <w:t>西厂界</w:t>
                  </w:r>
                </w:p>
              </w:tc>
              <w:tc>
                <w:tcPr>
                  <w:tcW w:w="992" w:type="dxa"/>
                  <w:shd w:val="pct10" w:color="auto" w:fill="auto"/>
                  <w:vAlign w:val="center"/>
                </w:tcPr>
                <w:p>
                  <w:pPr>
                    <w:pStyle w:val="34"/>
                    <w:rPr>
                      <w:b/>
                      <w:szCs w:val="21"/>
                    </w:rPr>
                  </w:pPr>
                  <w:r>
                    <w:rPr>
                      <w:rFonts w:hint="eastAsia" w:cs="宋体"/>
                      <w:b/>
                      <w:szCs w:val="21"/>
                    </w:rPr>
                    <w:t>南厂界</w:t>
                  </w:r>
                </w:p>
              </w:tc>
              <w:tc>
                <w:tcPr>
                  <w:tcW w:w="1561" w:type="dxa"/>
                  <w:shd w:val="pct10" w:color="auto" w:fill="auto"/>
                  <w:vAlign w:val="center"/>
                </w:tcPr>
                <w:p>
                  <w:pPr>
                    <w:pStyle w:val="34"/>
                    <w:rPr>
                      <w:b/>
                      <w:szCs w:val="21"/>
                    </w:rPr>
                  </w:pPr>
                  <w:r>
                    <w:rPr>
                      <w:rFonts w:hint="eastAsia"/>
                      <w:b/>
                      <w:bCs/>
                      <w:szCs w:val="21"/>
                    </w:rPr>
                    <w:t>安康及时雨食品有限公司</w:t>
                  </w:r>
                </w:p>
              </w:tc>
              <w:tc>
                <w:tcPr>
                  <w:tcW w:w="1266" w:type="dxa"/>
                  <w:shd w:val="pct10" w:color="auto" w:fill="auto"/>
                  <w:vAlign w:val="center"/>
                </w:tcPr>
                <w:p>
                  <w:pPr>
                    <w:pStyle w:val="34"/>
                    <w:rPr>
                      <w:rFonts w:cs="宋体"/>
                      <w:b/>
                      <w:szCs w:val="21"/>
                    </w:rPr>
                  </w:pPr>
                  <w:r>
                    <w:rPr>
                      <w:rFonts w:hint="eastAsia" w:cs="宋体"/>
                      <w:b/>
                      <w:szCs w:val="21"/>
                    </w:rPr>
                    <w:t>东北侧</w:t>
                  </w:r>
                </w:p>
                <w:p>
                  <w:pPr>
                    <w:pStyle w:val="34"/>
                    <w:rPr>
                      <w:rFonts w:cs="宋体"/>
                      <w:b/>
                      <w:szCs w:val="21"/>
                    </w:rPr>
                  </w:pPr>
                  <w:r>
                    <w:rPr>
                      <w:rFonts w:hint="eastAsia" w:cs="宋体"/>
                      <w:b/>
                      <w:szCs w:val="21"/>
                    </w:rPr>
                    <w:t>村户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04" w:type="dxa"/>
                  <w:vAlign w:val="center"/>
                </w:tcPr>
                <w:p>
                  <w:pPr>
                    <w:pStyle w:val="34"/>
                    <w:rPr>
                      <w:rFonts w:cs="宋体"/>
                      <w:szCs w:val="21"/>
                    </w:rPr>
                  </w:pPr>
                  <w:r>
                    <w:rPr>
                      <w:rFonts w:hint="eastAsia" w:cs="宋体"/>
                      <w:szCs w:val="21"/>
                    </w:rPr>
                    <w:t>噪声贡献值</w:t>
                  </w:r>
                </w:p>
                <w:p>
                  <w:pPr>
                    <w:pStyle w:val="34"/>
                    <w:rPr>
                      <w:szCs w:val="21"/>
                    </w:rPr>
                  </w:pPr>
                  <w:r>
                    <w:rPr>
                      <w:szCs w:val="21"/>
                    </w:rPr>
                    <w:t>d</w:t>
                  </w:r>
                  <w:r>
                    <w:rPr>
                      <w:rFonts w:hint="eastAsia"/>
                      <w:szCs w:val="21"/>
                    </w:rPr>
                    <w:t>B</w:t>
                  </w:r>
                  <w:r>
                    <w:rPr>
                      <w:rFonts w:hint="eastAsia" w:cs="宋体"/>
                      <w:szCs w:val="21"/>
                    </w:rPr>
                    <w:t>（</w:t>
                  </w:r>
                  <w:r>
                    <w:rPr>
                      <w:szCs w:val="21"/>
                    </w:rPr>
                    <w:t>A</w:t>
                  </w:r>
                  <w:r>
                    <w:rPr>
                      <w:rFonts w:hint="eastAsia" w:cs="宋体"/>
                      <w:szCs w:val="21"/>
                    </w:rPr>
                    <w:t>）</w:t>
                  </w:r>
                </w:p>
              </w:tc>
              <w:tc>
                <w:tcPr>
                  <w:tcW w:w="992" w:type="dxa"/>
                  <w:vAlign w:val="center"/>
                </w:tcPr>
                <w:p>
                  <w:pPr>
                    <w:pStyle w:val="34"/>
                    <w:rPr>
                      <w:szCs w:val="21"/>
                    </w:rPr>
                  </w:pPr>
                  <w:r>
                    <w:rPr>
                      <w:rFonts w:hint="eastAsia"/>
                      <w:szCs w:val="21"/>
                    </w:rPr>
                    <w:t>52.6</w:t>
                  </w:r>
                </w:p>
              </w:tc>
              <w:tc>
                <w:tcPr>
                  <w:tcW w:w="991" w:type="dxa"/>
                  <w:vAlign w:val="center"/>
                </w:tcPr>
                <w:p>
                  <w:pPr>
                    <w:pStyle w:val="34"/>
                    <w:rPr>
                      <w:szCs w:val="21"/>
                    </w:rPr>
                  </w:pPr>
                  <w:r>
                    <w:rPr>
                      <w:rFonts w:hint="eastAsia"/>
                      <w:szCs w:val="21"/>
                    </w:rPr>
                    <w:t>42.3</w:t>
                  </w:r>
                </w:p>
              </w:tc>
              <w:tc>
                <w:tcPr>
                  <w:tcW w:w="991" w:type="dxa"/>
                  <w:vAlign w:val="center"/>
                </w:tcPr>
                <w:p>
                  <w:pPr>
                    <w:pStyle w:val="34"/>
                    <w:rPr>
                      <w:szCs w:val="21"/>
                    </w:rPr>
                  </w:pPr>
                  <w:r>
                    <w:rPr>
                      <w:rFonts w:hint="eastAsia"/>
                      <w:szCs w:val="21"/>
                    </w:rPr>
                    <w:t>48.4</w:t>
                  </w:r>
                </w:p>
              </w:tc>
              <w:tc>
                <w:tcPr>
                  <w:tcW w:w="992" w:type="dxa"/>
                  <w:vAlign w:val="center"/>
                </w:tcPr>
                <w:p>
                  <w:pPr>
                    <w:pStyle w:val="34"/>
                    <w:rPr>
                      <w:szCs w:val="21"/>
                    </w:rPr>
                  </w:pPr>
                  <w:r>
                    <w:rPr>
                      <w:rFonts w:hint="eastAsia"/>
                      <w:szCs w:val="21"/>
                    </w:rPr>
                    <w:t>53.1</w:t>
                  </w:r>
                </w:p>
              </w:tc>
              <w:tc>
                <w:tcPr>
                  <w:tcW w:w="1561" w:type="dxa"/>
                  <w:vAlign w:val="center"/>
                </w:tcPr>
                <w:p>
                  <w:pPr>
                    <w:pStyle w:val="34"/>
                    <w:rPr>
                      <w:szCs w:val="21"/>
                    </w:rPr>
                  </w:pPr>
                  <w:r>
                    <w:rPr>
                      <w:rFonts w:hint="eastAsia"/>
                      <w:szCs w:val="21"/>
                    </w:rPr>
                    <w:t>52.3</w:t>
                  </w:r>
                </w:p>
              </w:tc>
              <w:tc>
                <w:tcPr>
                  <w:tcW w:w="1266" w:type="dxa"/>
                  <w:vAlign w:val="center"/>
                </w:tcPr>
                <w:p>
                  <w:pPr>
                    <w:pStyle w:val="34"/>
                    <w:rPr>
                      <w:szCs w:val="21"/>
                    </w:rPr>
                  </w:pPr>
                  <w:r>
                    <w:rPr>
                      <w:rFonts w:hint="eastAsia"/>
                      <w:szCs w:val="21"/>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04" w:type="dxa"/>
                  <w:vAlign w:val="center"/>
                </w:tcPr>
                <w:p>
                  <w:pPr>
                    <w:pStyle w:val="34"/>
                    <w:rPr>
                      <w:rFonts w:cs="宋体"/>
                      <w:szCs w:val="21"/>
                    </w:rPr>
                  </w:pPr>
                  <w:r>
                    <w:rPr>
                      <w:rFonts w:hint="eastAsia" w:cs="宋体"/>
                      <w:szCs w:val="21"/>
                    </w:rPr>
                    <w:t>昼间标准值</w:t>
                  </w:r>
                </w:p>
                <w:p>
                  <w:pPr>
                    <w:pStyle w:val="34"/>
                    <w:rPr>
                      <w:szCs w:val="21"/>
                    </w:rPr>
                  </w:pPr>
                  <w:r>
                    <w:rPr>
                      <w:szCs w:val="21"/>
                    </w:rPr>
                    <w:t>d</w:t>
                  </w:r>
                  <w:r>
                    <w:rPr>
                      <w:rFonts w:hint="eastAsia"/>
                      <w:szCs w:val="21"/>
                    </w:rPr>
                    <w:t>B</w:t>
                  </w:r>
                  <w:r>
                    <w:rPr>
                      <w:rFonts w:hint="eastAsia" w:cs="宋体"/>
                      <w:szCs w:val="21"/>
                    </w:rPr>
                    <w:t>（</w:t>
                  </w:r>
                  <w:r>
                    <w:rPr>
                      <w:szCs w:val="21"/>
                    </w:rPr>
                    <w:t>A</w:t>
                  </w:r>
                  <w:r>
                    <w:rPr>
                      <w:rFonts w:hint="eastAsia" w:cs="宋体"/>
                      <w:szCs w:val="21"/>
                    </w:rPr>
                    <w:t>）</w:t>
                  </w:r>
                </w:p>
              </w:tc>
              <w:tc>
                <w:tcPr>
                  <w:tcW w:w="6793" w:type="dxa"/>
                  <w:gridSpan w:val="6"/>
                  <w:vAlign w:val="center"/>
                </w:tcPr>
                <w:p>
                  <w:pPr>
                    <w:pStyle w:val="34"/>
                    <w:rPr>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04" w:type="dxa"/>
                  <w:vAlign w:val="center"/>
                </w:tcPr>
                <w:p>
                  <w:pPr>
                    <w:pStyle w:val="34"/>
                    <w:rPr>
                      <w:szCs w:val="21"/>
                    </w:rPr>
                  </w:pPr>
                  <w:r>
                    <w:rPr>
                      <w:rFonts w:hint="eastAsia" w:cs="宋体"/>
                      <w:szCs w:val="21"/>
                    </w:rPr>
                    <w:t>达标情况</w:t>
                  </w:r>
                </w:p>
              </w:tc>
              <w:tc>
                <w:tcPr>
                  <w:tcW w:w="992" w:type="dxa"/>
                  <w:vAlign w:val="center"/>
                </w:tcPr>
                <w:p>
                  <w:pPr>
                    <w:pStyle w:val="34"/>
                    <w:rPr>
                      <w:szCs w:val="21"/>
                    </w:rPr>
                  </w:pPr>
                  <w:r>
                    <w:rPr>
                      <w:rFonts w:hint="eastAsia" w:cs="宋体"/>
                      <w:szCs w:val="21"/>
                    </w:rPr>
                    <w:t>达标</w:t>
                  </w:r>
                </w:p>
              </w:tc>
              <w:tc>
                <w:tcPr>
                  <w:tcW w:w="991" w:type="dxa"/>
                  <w:vAlign w:val="center"/>
                </w:tcPr>
                <w:p>
                  <w:pPr>
                    <w:pStyle w:val="34"/>
                    <w:rPr>
                      <w:szCs w:val="21"/>
                    </w:rPr>
                  </w:pPr>
                  <w:r>
                    <w:rPr>
                      <w:rFonts w:hint="eastAsia" w:cs="宋体"/>
                      <w:szCs w:val="21"/>
                    </w:rPr>
                    <w:t>达标</w:t>
                  </w:r>
                </w:p>
              </w:tc>
              <w:tc>
                <w:tcPr>
                  <w:tcW w:w="991" w:type="dxa"/>
                  <w:vAlign w:val="center"/>
                </w:tcPr>
                <w:p>
                  <w:pPr>
                    <w:pStyle w:val="34"/>
                    <w:rPr>
                      <w:szCs w:val="21"/>
                    </w:rPr>
                  </w:pPr>
                  <w:r>
                    <w:rPr>
                      <w:rFonts w:hint="eastAsia" w:cs="宋体"/>
                      <w:szCs w:val="21"/>
                    </w:rPr>
                    <w:t>达标</w:t>
                  </w:r>
                </w:p>
              </w:tc>
              <w:tc>
                <w:tcPr>
                  <w:tcW w:w="992" w:type="dxa"/>
                  <w:vAlign w:val="center"/>
                </w:tcPr>
                <w:p>
                  <w:pPr>
                    <w:pStyle w:val="34"/>
                    <w:rPr>
                      <w:rFonts w:cs="宋体"/>
                      <w:szCs w:val="21"/>
                    </w:rPr>
                  </w:pPr>
                  <w:r>
                    <w:rPr>
                      <w:rFonts w:hint="eastAsia" w:cs="宋体"/>
                      <w:szCs w:val="21"/>
                    </w:rPr>
                    <w:t>达标</w:t>
                  </w:r>
                </w:p>
              </w:tc>
              <w:tc>
                <w:tcPr>
                  <w:tcW w:w="1561" w:type="dxa"/>
                  <w:vAlign w:val="center"/>
                </w:tcPr>
                <w:p>
                  <w:pPr>
                    <w:pStyle w:val="34"/>
                    <w:rPr>
                      <w:szCs w:val="21"/>
                    </w:rPr>
                  </w:pPr>
                  <w:r>
                    <w:rPr>
                      <w:rFonts w:hint="eastAsia" w:cs="宋体"/>
                      <w:szCs w:val="21"/>
                    </w:rPr>
                    <w:t>达标</w:t>
                  </w:r>
                </w:p>
              </w:tc>
              <w:tc>
                <w:tcPr>
                  <w:tcW w:w="1266" w:type="dxa"/>
                  <w:vAlign w:val="center"/>
                </w:tcPr>
                <w:p>
                  <w:pPr>
                    <w:pStyle w:val="34"/>
                    <w:rPr>
                      <w:rFonts w:cs="宋体"/>
                      <w:szCs w:val="21"/>
                    </w:rPr>
                  </w:pPr>
                  <w:r>
                    <w:rPr>
                      <w:rFonts w:hint="eastAsia" w:cs="宋体"/>
                      <w:szCs w:val="21"/>
                    </w:rPr>
                    <w:t>达标</w:t>
                  </w:r>
                </w:p>
              </w:tc>
            </w:tr>
          </w:tbl>
          <w:p>
            <w:pPr>
              <w:ind w:firstLine="480"/>
              <w:rPr>
                <w:sz w:val="24"/>
                <w:szCs w:val="24"/>
              </w:rPr>
            </w:pPr>
            <w:r>
              <w:rPr>
                <w:rFonts w:hint="eastAsia"/>
                <w:sz w:val="24"/>
                <w:szCs w:val="24"/>
              </w:rPr>
              <w:t>经预测，各厂界昼间噪声预测值均满足《工业企业厂界环境噪声排放标准》（GB12348-2008）</w:t>
            </w:r>
            <w:r>
              <w:rPr>
                <w:sz w:val="24"/>
                <w:szCs w:val="24"/>
              </w:rPr>
              <w:t>2</w:t>
            </w:r>
            <w:r>
              <w:rPr>
                <w:rFonts w:hint="eastAsia"/>
                <w:sz w:val="24"/>
                <w:szCs w:val="24"/>
              </w:rPr>
              <w:t>类相关限值要求，对当地声环境影响较小。东南侧安康及时雨食品有限公司及东侧村户可满足《声环境质量标准》（GB3096-2008）2类标准值要求，东侧村户距离声源较远，本项目对周边环境的声环境影响是可以接受的。</w:t>
            </w:r>
          </w:p>
          <w:p>
            <w:pPr>
              <w:ind w:firstLine="480"/>
              <w:rPr>
                <w:sz w:val="24"/>
                <w:szCs w:val="24"/>
              </w:rPr>
            </w:pPr>
            <w:r>
              <w:rPr>
                <w:sz w:val="24"/>
                <w:szCs w:val="24"/>
              </w:rPr>
              <w:t>4</w:t>
            </w:r>
            <w:r>
              <w:rPr>
                <w:rFonts w:hint="eastAsia"/>
                <w:sz w:val="24"/>
                <w:szCs w:val="24"/>
              </w:rPr>
              <w:t>、固体废物</w:t>
            </w:r>
          </w:p>
          <w:p>
            <w:pPr>
              <w:ind w:firstLine="480"/>
              <w:rPr>
                <w:sz w:val="24"/>
                <w:szCs w:val="24"/>
              </w:rPr>
            </w:pPr>
            <w:r>
              <w:rPr>
                <w:rFonts w:hint="eastAsia"/>
                <w:sz w:val="24"/>
                <w:szCs w:val="24"/>
              </w:rPr>
              <w:t>（1）固废产生环节及处置措施</w:t>
            </w:r>
          </w:p>
          <w:p>
            <w:pPr>
              <w:ind w:firstLine="480"/>
              <w:rPr>
                <w:sz w:val="24"/>
                <w:szCs w:val="24"/>
              </w:rPr>
            </w:pPr>
            <w:r>
              <w:rPr>
                <w:rFonts w:hint="eastAsia"/>
                <w:sz w:val="24"/>
                <w:szCs w:val="24"/>
              </w:rPr>
              <w:t>本项目为报废机动车及电器拆解项目，由于其行业特征，生产过程中产生大量的固体物质，其中大部分以目前的技术水平是可利用的，在厂区内分类收集后直接出售给相关回收单位再生利用，不再进行进一步拆解破碎。其余不可利用的为本项目产生的固废，包括一般工业固废和危险废物。项目固体废物产生和处置情况见下表。</w:t>
            </w:r>
          </w:p>
          <w:p>
            <w:pPr>
              <w:ind w:firstLine="480"/>
              <w:rPr>
                <w:sz w:val="24"/>
                <w:szCs w:val="24"/>
              </w:rPr>
            </w:pPr>
            <w:r>
              <w:rPr>
                <w:rFonts w:hint="eastAsia"/>
                <w:sz w:val="24"/>
                <w:szCs w:val="24"/>
              </w:rPr>
              <w:t>本项目固废产生环节见表4-18。</w:t>
            </w:r>
          </w:p>
          <w:p>
            <w:pPr>
              <w:ind w:firstLine="480"/>
              <w:rPr>
                <w:sz w:val="24"/>
                <w:szCs w:val="24"/>
              </w:rPr>
            </w:pPr>
          </w:p>
          <w:p>
            <w:pPr>
              <w:pStyle w:val="34"/>
              <w:ind w:firstLine="480"/>
              <w:rPr>
                <w:b/>
                <w:sz w:val="24"/>
              </w:rPr>
            </w:pPr>
            <w:r>
              <w:rPr>
                <w:b/>
                <w:sz w:val="24"/>
              </w:rPr>
              <w:t>表</w:t>
            </w:r>
            <w:r>
              <w:rPr>
                <w:rFonts w:hint="eastAsia"/>
                <w:b/>
                <w:sz w:val="24"/>
              </w:rPr>
              <w:t>4-18</w:t>
            </w:r>
            <w:r>
              <w:rPr>
                <w:b/>
                <w:sz w:val="24"/>
              </w:rPr>
              <w:t xml:space="preserve">  </w:t>
            </w:r>
            <w:r>
              <w:rPr>
                <w:rFonts w:hint="eastAsia"/>
                <w:b/>
                <w:sz w:val="24"/>
              </w:rPr>
              <w:t>固体废物产生环节及处置措施</w:t>
            </w:r>
          </w:p>
          <w:tbl>
            <w:tblPr>
              <w:tblStyle w:val="21"/>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852"/>
              <w:gridCol w:w="1559"/>
              <w:gridCol w:w="709"/>
              <w:gridCol w:w="852"/>
              <w:gridCol w:w="1280"/>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blHeader/>
              </w:trPr>
              <w:tc>
                <w:tcPr>
                  <w:tcW w:w="1926" w:type="dxa"/>
                  <w:shd w:val="pct10" w:color="auto" w:fill="auto"/>
                  <w:vAlign w:val="center"/>
                </w:tcPr>
                <w:p>
                  <w:pPr>
                    <w:pStyle w:val="34"/>
                    <w:rPr>
                      <w:b/>
                      <w:szCs w:val="21"/>
                    </w:rPr>
                  </w:pPr>
                  <w:r>
                    <w:rPr>
                      <w:b/>
                      <w:szCs w:val="21"/>
                    </w:rPr>
                    <w:t>名称</w:t>
                  </w:r>
                </w:p>
              </w:tc>
              <w:tc>
                <w:tcPr>
                  <w:tcW w:w="852" w:type="dxa"/>
                  <w:shd w:val="pct10" w:color="auto" w:fill="auto"/>
                  <w:vAlign w:val="center"/>
                </w:tcPr>
                <w:p>
                  <w:pPr>
                    <w:pStyle w:val="34"/>
                    <w:rPr>
                      <w:b/>
                      <w:szCs w:val="21"/>
                    </w:rPr>
                  </w:pPr>
                  <w:r>
                    <w:rPr>
                      <w:b/>
                      <w:szCs w:val="21"/>
                    </w:rPr>
                    <w:t>固体废物类别</w:t>
                  </w:r>
                </w:p>
              </w:tc>
              <w:tc>
                <w:tcPr>
                  <w:tcW w:w="1559" w:type="dxa"/>
                  <w:shd w:val="pct10" w:color="auto" w:fill="auto"/>
                  <w:vAlign w:val="center"/>
                </w:tcPr>
                <w:p>
                  <w:pPr>
                    <w:pStyle w:val="34"/>
                    <w:rPr>
                      <w:b/>
                      <w:szCs w:val="21"/>
                    </w:rPr>
                  </w:pPr>
                  <w:r>
                    <w:rPr>
                      <w:b/>
                      <w:szCs w:val="21"/>
                    </w:rPr>
                    <w:t>产生</w:t>
                  </w:r>
                </w:p>
                <w:p>
                  <w:pPr>
                    <w:pStyle w:val="34"/>
                    <w:rPr>
                      <w:b/>
                      <w:szCs w:val="21"/>
                    </w:rPr>
                  </w:pPr>
                  <w:r>
                    <w:rPr>
                      <w:b/>
                      <w:szCs w:val="21"/>
                    </w:rPr>
                    <w:t>环节</w:t>
                  </w:r>
                </w:p>
              </w:tc>
              <w:tc>
                <w:tcPr>
                  <w:tcW w:w="709" w:type="dxa"/>
                  <w:shd w:val="pct10" w:color="auto" w:fill="auto"/>
                  <w:vAlign w:val="center"/>
                </w:tcPr>
                <w:p>
                  <w:pPr>
                    <w:pStyle w:val="34"/>
                    <w:rPr>
                      <w:b/>
                      <w:szCs w:val="21"/>
                    </w:rPr>
                  </w:pPr>
                  <w:r>
                    <w:rPr>
                      <w:b/>
                      <w:szCs w:val="21"/>
                    </w:rPr>
                    <w:t>产生量</w:t>
                  </w:r>
                  <w:r>
                    <w:rPr>
                      <w:rFonts w:hint="eastAsia"/>
                      <w:b/>
                      <w:szCs w:val="21"/>
                    </w:rPr>
                    <w:t>t/a</w:t>
                  </w:r>
                </w:p>
              </w:tc>
              <w:tc>
                <w:tcPr>
                  <w:tcW w:w="852" w:type="dxa"/>
                  <w:shd w:val="pct10" w:color="auto" w:fill="auto"/>
                  <w:vAlign w:val="center"/>
                </w:tcPr>
                <w:p>
                  <w:pPr>
                    <w:pStyle w:val="34"/>
                    <w:rPr>
                      <w:b/>
                      <w:szCs w:val="21"/>
                    </w:rPr>
                  </w:pPr>
                  <w:r>
                    <w:rPr>
                      <w:b/>
                      <w:szCs w:val="21"/>
                    </w:rPr>
                    <w:t>形态</w:t>
                  </w:r>
                </w:p>
              </w:tc>
              <w:tc>
                <w:tcPr>
                  <w:tcW w:w="1280" w:type="dxa"/>
                  <w:shd w:val="pct10" w:color="auto" w:fill="auto"/>
                  <w:vAlign w:val="center"/>
                </w:tcPr>
                <w:p>
                  <w:pPr>
                    <w:pStyle w:val="34"/>
                    <w:rPr>
                      <w:b/>
                      <w:szCs w:val="21"/>
                    </w:rPr>
                  </w:pPr>
                  <w:r>
                    <w:rPr>
                      <w:b/>
                      <w:szCs w:val="21"/>
                    </w:rPr>
                    <w:t>处置方式</w:t>
                  </w:r>
                </w:p>
              </w:tc>
              <w:tc>
                <w:tcPr>
                  <w:tcW w:w="1122" w:type="dxa"/>
                  <w:shd w:val="pct10" w:color="auto" w:fill="auto"/>
                  <w:vAlign w:val="center"/>
                </w:tcPr>
                <w:p>
                  <w:pPr>
                    <w:pStyle w:val="34"/>
                    <w:rPr>
                      <w:b/>
                      <w:szCs w:val="21"/>
                    </w:rPr>
                  </w:pPr>
                  <w:r>
                    <w:rPr>
                      <w:b/>
                      <w:szCs w:val="21"/>
                    </w:rPr>
                    <w:t>处置或</w:t>
                  </w:r>
                </w:p>
                <w:p>
                  <w:pPr>
                    <w:pStyle w:val="34"/>
                    <w:rPr>
                      <w:b/>
                      <w:szCs w:val="21"/>
                    </w:rPr>
                  </w:pPr>
                  <w:r>
                    <w:rPr>
                      <w:b/>
                      <w:szCs w:val="21"/>
                    </w:rPr>
                    <w:t>利用量</w:t>
                  </w:r>
                  <w:r>
                    <w:rPr>
                      <w:rFonts w:hint="eastAsia"/>
                      <w:b/>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cs="宋体"/>
                      <w:szCs w:val="21"/>
                    </w:rPr>
                    <w:t>生活垃圾</w:t>
                  </w:r>
                </w:p>
              </w:tc>
              <w:tc>
                <w:tcPr>
                  <w:tcW w:w="852" w:type="dxa"/>
                  <w:vAlign w:val="center"/>
                </w:tcPr>
                <w:p>
                  <w:pPr>
                    <w:pStyle w:val="34"/>
                    <w:rPr>
                      <w:szCs w:val="21"/>
                    </w:rPr>
                  </w:pPr>
                  <w:r>
                    <w:rPr>
                      <w:szCs w:val="21"/>
                    </w:rPr>
                    <w:t>生活</w:t>
                  </w:r>
                </w:p>
                <w:p>
                  <w:pPr>
                    <w:pStyle w:val="34"/>
                    <w:rPr>
                      <w:szCs w:val="21"/>
                    </w:rPr>
                  </w:pPr>
                  <w:r>
                    <w:rPr>
                      <w:szCs w:val="21"/>
                    </w:rPr>
                    <w:t>垃圾</w:t>
                  </w:r>
                </w:p>
              </w:tc>
              <w:tc>
                <w:tcPr>
                  <w:tcW w:w="1559" w:type="dxa"/>
                  <w:vAlign w:val="center"/>
                </w:tcPr>
                <w:p>
                  <w:pPr>
                    <w:pStyle w:val="34"/>
                    <w:rPr>
                      <w:szCs w:val="21"/>
                    </w:rPr>
                  </w:pPr>
                  <w:r>
                    <w:rPr>
                      <w:szCs w:val="21"/>
                    </w:rPr>
                    <w:t>员工</w:t>
                  </w:r>
                  <w:r>
                    <w:rPr>
                      <w:rFonts w:hint="eastAsia"/>
                      <w:szCs w:val="21"/>
                    </w:rPr>
                    <w:t>办公</w:t>
                  </w:r>
                  <w:r>
                    <w:rPr>
                      <w:szCs w:val="21"/>
                    </w:rPr>
                    <w:t>生活</w:t>
                  </w:r>
                </w:p>
              </w:tc>
              <w:tc>
                <w:tcPr>
                  <w:tcW w:w="709" w:type="dxa"/>
                  <w:vAlign w:val="center"/>
                </w:tcPr>
                <w:p>
                  <w:pPr>
                    <w:pStyle w:val="34"/>
                    <w:rPr>
                      <w:szCs w:val="21"/>
                    </w:rPr>
                  </w:pPr>
                  <w:r>
                    <w:rPr>
                      <w:rFonts w:hint="eastAsia"/>
                      <w:szCs w:val="21"/>
                    </w:rPr>
                    <w:t>6</w:t>
                  </w:r>
                </w:p>
              </w:tc>
              <w:tc>
                <w:tcPr>
                  <w:tcW w:w="852" w:type="dxa"/>
                  <w:vAlign w:val="center"/>
                </w:tcPr>
                <w:p>
                  <w:pPr>
                    <w:pStyle w:val="34"/>
                    <w:rPr>
                      <w:szCs w:val="21"/>
                    </w:rPr>
                  </w:pPr>
                  <w:r>
                    <w:rPr>
                      <w:rFonts w:hint="eastAsia"/>
                      <w:szCs w:val="21"/>
                    </w:rPr>
                    <w:t>固态</w:t>
                  </w:r>
                </w:p>
              </w:tc>
              <w:tc>
                <w:tcPr>
                  <w:tcW w:w="1280" w:type="dxa"/>
                  <w:vAlign w:val="center"/>
                </w:tcPr>
                <w:p>
                  <w:pPr>
                    <w:pStyle w:val="34"/>
                    <w:rPr>
                      <w:szCs w:val="21"/>
                    </w:rPr>
                  </w:pPr>
                  <w:r>
                    <w:rPr>
                      <w:rFonts w:hint="eastAsia"/>
                      <w:szCs w:val="21"/>
                    </w:rPr>
                    <w:t>交由当地环卫部门处置</w:t>
                  </w:r>
                </w:p>
              </w:tc>
              <w:tc>
                <w:tcPr>
                  <w:tcW w:w="1122" w:type="dxa"/>
                  <w:vAlign w:val="center"/>
                </w:tcPr>
                <w:p>
                  <w:pPr>
                    <w:pStyle w:val="34"/>
                    <w:rPr>
                      <w:szCs w:val="21"/>
                    </w:rPr>
                  </w:pPr>
                  <w:r>
                    <w:rPr>
                      <w:rFonts w:hint="eastAsia"/>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szCs w:val="21"/>
                    </w:rPr>
                    <w:t>废玻璃</w:t>
                  </w:r>
                </w:p>
              </w:tc>
              <w:tc>
                <w:tcPr>
                  <w:tcW w:w="852" w:type="dxa"/>
                  <w:vMerge w:val="restart"/>
                  <w:vAlign w:val="center"/>
                </w:tcPr>
                <w:p>
                  <w:pPr>
                    <w:pStyle w:val="34"/>
                    <w:rPr>
                      <w:szCs w:val="21"/>
                    </w:rPr>
                  </w:pPr>
                  <w:r>
                    <w:rPr>
                      <w:szCs w:val="21"/>
                    </w:rPr>
                    <w:t>一般</w:t>
                  </w:r>
                </w:p>
                <w:p>
                  <w:pPr>
                    <w:pStyle w:val="34"/>
                    <w:rPr>
                      <w:szCs w:val="21"/>
                    </w:rPr>
                  </w:pPr>
                  <w:r>
                    <w:rPr>
                      <w:rFonts w:hint="eastAsia"/>
                      <w:szCs w:val="21"/>
                    </w:rPr>
                    <w:t>固废</w:t>
                  </w:r>
                </w:p>
              </w:tc>
              <w:tc>
                <w:tcPr>
                  <w:tcW w:w="1559" w:type="dxa"/>
                  <w:vMerge w:val="restart"/>
                  <w:vAlign w:val="center"/>
                </w:tcPr>
                <w:p>
                  <w:pPr>
                    <w:pStyle w:val="34"/>
                    <w:rPr>
                      <w:szCs w:val="21"/>
                    </w:rPr>
                  </w:pPr>
                  <w:r>
                    <w:rPr>
                      <w:rFonts w:hint="eastAsia"/>
                      <w:szCs w:val="21"/>
                    </w:rPr>
                    <w:t>机动车</w:t>
                  </w:r>
                </w:p>
                <w:p>
                  <w:pPr>
                    <w:pStyle w:val="34"/>
                    <w:rPr>
                      <w:szCs w:val="21"/>
                    </w:rPr>
                  </w:pPr>
                  <w:r>
                    <w:rPr>
                      <w:rFonts w:hint="eastAsia"/>
                      <w:szCs w:val="21"/>
                    </w:rPr>
                    <w:t>拆解过程</w:t>
                  </w:r>
                </w:p>
              </w:tc>
              <w:tc>
                <w:tcPr>
                  <w:tcW w:w="709" w:type="dxa"/>
                  <w:vAlign w:val="center"/>
                </w:tcPr>
                <w:p>
                  <w:pPr>
                    <w:pStyle w:val="34"/>
                    <w:rPr>
                      <w:szCs w:val="21"/>
                    </w:rPr>
                  </w:pPr>
                  <w:r>
                    <w:rPr>
                      <w:rFonts w:eastAsiaTheme="minorEastAsia"/>
                      <w:szCs w:val="21"/>
                    </w:rPr>
                    <w:t>485.1</w:t>
                  </w:r>
                </w:p>
              </w:tc>
              <w:tc>
                <w:tcPr>
                  <w:tcW w:w="852" w:type="dxa"/>
                  <w:vAlign w:val="center"/>
                </w:tcPr>
                <w:p>
                  <w:pPr>
                    <w:pStyle w:val="34"/>
                    <w:rPr>
                      <w:szCs w:val="21"/>
                    </w:rPr>
                  </w:pPr>
                  <w:r>
                    <w:rPr>
                      <w:rFonts w:hint="eastAsia"/>
                      <w:szCs w:val="21"/>
                    </w:rPr>
                    <w:t>固态</w:t>
                  </w:r>
                </w:p>
              </w:tc>
              <w:tc>
                <w:tcPr>
                  <w:tcW w:w="1280" w:type="dxa"/>
                  <w:vMerge w:val="restart"/>
                  <w:vAlign w:val="center"/>
                </w:tcPr>
                <w:p>
                  <w:pPr>
                    <w:pStyle w:val="34"/>
                    <w:rPr>
                      <w:szCs w:val="21"/>
                    </w:rPr>
                  </w:pPr>
                  <w:r>
                    <w:rPr>
                      <w:rFonts w:hint="eastAsia"/>
                      <w:szCs w:val="21"/>
                    </w:rPr>
                    <w:t>委托环卫部门统一清运处理</w:t>
                  </w:r>
                </w:p>
              </w:tc>
              <w:tc>
                <w:tcPr>
                  <w:tcW w:w="1122" w:type="dxa"/>
                  <w:vAlign w:val="center"/>
                </w:tcPr>
                <w:p>
                  <w:pPr>
                    <w:pStyle w:val="34"/>
                    <w:rPr>
                      <w:szCs w:val="21"/>
                    </w:rPr>
                  </w:pPr>
                  <w:r>
                    <w:rPr>
                      <w:rFonts w:eastAsiaTheme="minorEastAsia"/>
                      <w:szCs w:val="21"/>
                    </w:rPr>
                    <w:t>485.1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szCs w:val="21"/>
                    </w:rPr>
                    <w:t>废尼龙布、废皮革</w:t>
                  </w:r>
                </w:p>
              </w:tc>
              <w:tc>
                <w:tcPr>
                  <w:tcW w:w="852" w:type="dxa"/>
                  <w:vMerge w:val="continue"/>
                  <w:vAlign w:val="center"/>
                </w:tcPr>
                <w:p>
                  <w:pPr>
                    <w:pStyle w:val="34"/>
                    <w:rPr>
                      <w:szCs w:val="21"/>
                    </w:rPr>
                  </w:pPr>
                </w:p>
              </w:tc>
              <w:tc>
                <w:tcPr>
                  <w:tcW w:w="1559" w:type="dxa"/>
                  <w:vMerge w:val="continue"/>
                  <w:vAlign w:val="center"/>
                </w:tcPr>
                <w:p>
                  <w:pPr>
                    <w:pStyle w:val="34"/>
                    <w:rPr>
                      <w:szCs w:val="21"/>
                    </w:rPr>
                  </w:pPr>
                </w:p>
              </w:tc>
              <w:tc>
                <w:tcPr>
                  <w:tcW w:w="709" w:type="dxa"/>
                  <w:vAlign w:val="center"/>
                </w:tcPr>
                <w:p>
                  <w:pPr>
                    <w:pStyle w:val="34"/>
                    <w:rPr>
                      <w:szCs w:val="21"/>
                    </w:rPr>
                  </w:pPr>
                  <w:r>
                    <w:rPr>
                      <w:rFonts w:eastAsiaTheme="minorEastAsia"/>
                      <w:szCs w:val="21"/>
                    </w:rPr>
                    <w:t>88.9</w:t>
                  </w:r>
                </w:p>
              </w:tc>
              <w:tc>
                <w:tcPr>
                  <w:tcW w:w="852" w:type="dxa"/>
                  <w:vAlign w:val="center"/>
                </w:tcPr>
                <w:p>
                  <w:pPr>
                    <w:pStyle w:val="34"/>
                    <w:rPr>
                      <w:szCs w:val="21"/>
                    </w:rPr>
                  </w:pPr>
                  <w:r>
                    <w:rPr>
                      <w:rFonts w:hint="eastAsia"/>
                      <w:szCs w:val="21"/>
                    </w:rPr>
                    <w:t>固态</w:t>
                  </w:r>
                </w:p>
              </w:tc>
              <w:tc>
                <w:tcPr>
                  <w:tcW w:w="1280" w:type="dxa"/>
                  <w:vMerge w:val="continue"/>
                  <w:vAlign w:val="center"/>
                </w:tcPr>
                <w:p>
                  <w:pPr>
                    <w:pStyle w:val="34"/>
                    <w:rPr>
                      <w:szCs w:val="21"/>
                    </w:rPr>
                  </w:pPr>
                </w:p>
              </w:tc>
              <w:tc>
                <w:tcPr>
                  <w:tcW w:w="1122" w:type="dxa"/>
                  <w:vAlign w:val="center"/>
                </w:tcPr>
                <w:p>
                  <w:pPr>
                    <w:pStyle w:val="34"/>
                    <w:rPr>
                      <w:szCs w:val="21"/>
                    </w:rPr>
                  </w:pPr>
                  <w:r>
                    <w:rPr>
                      <w:rFonts w:eastAsiaTheme="minorEastAsia"/>
                      <w:szCs w:val="21"/>
                    </w:rPr>
                    <w:t>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szCs w:val="21"/>
                    </w:rPr>
                    <w:t>其他不可利用物</w:t>
                  </w:r>
                </w:p>
              </w:tc>
              <w:tc>
                <w:tcPr>
                  <w:tcW w:w="852" w:type="dxa"/>
                  <w:vMerge w:val="continue"/>
                  <w:vAlign w:val="center"/>
                </w:tcPr>
                <w:p>
                  <w:pPr>
                    <w:pStyle w:val="34"/>
                    <w:rPr>
                      <w:szCs w:val="21"/>
                    </w:rPr>
                  </w:pPr>
                </w:p>
              </w:tc>
              <w:tc>
                <w:tcPr>
                  <w:tcW w:w="1559" w:type="dxa"/>
                  <w:vMerge w:val="continue"/>
                  <w:vAlign w:val="center"/>
                </w:tcPr>
                <w:p>
                  <w:pPr>
                    <w:pStyle w:val="34"/>
                    <w:rPr>
                      <w:szCs w:val="21"/>
                    </w:rPr>
                  </w:pPr>
                </w:p>
              </w:tc>
              <w:tc>
                <w:tcPr>
                  <w:tcW w:w="709" w:type="dxa"/>
                  <w:vAlign w:val="center"/>
                </w:tcPr>
                <w:p>
                  <w:pPr>
                    <w:pStyle w:val="34"/>
                    <w:rPr>
                      <w:szCs w:val="21"/>
                    </w:rPr>
                  </w:pPr>
                  <w:r>
                    <w:rPr>
                      <w:rFonts w:eastAsiaTheme="minorEastAsia"/>
                      <w:szCs w:val="21"/>
                    </w:rPr>
                    <w:t>803.4</w:t>
                  </w:r>
                </w:p>
              </w:tc>
              <w:tc>
                <w:tcPr>
                  <w:tcW w:w="852" w:type="dxa"/>
                  <w:vAlign w:val="center"/>
                </w:tcPr>
                <w:p>
                  <w:pPr>
                    <w:pStyle w:val="34"/>
                    <w:rPr>
                      <w:szCs w:val="21"/>
                    </w:rPr>
                  </w:pPr>
                  <w:r>
                    <w:rPr>
                      <w:rFonts w:hint="eastAsia"/>
                      <w:szCs w:val="21"/>
                    </w:rPr>
                    <w:t>固态</w:t>
                  </w:r>
                </w:p>
              </w:tc>
              <w:tc>
                <w:tcPr>
                  <w:tcW w:w="1280" w:type="dxa"/>
                  <w:vMerge w:val="continue"/>
                  <w:vAlign w:val="center"/>
                </w:tcPr>
                <w:p>
                  <w:pPr>
                    <w:pStyle w:val="34"/>
                    <w:rPr>
                      <w:szCs w:val="21"/>
                    </w:rPr>
                  </w:pPr>
                </w:p>
              </w:tc>
              <w:tc>
                <w:tcPr>
                  <w:tcW w:w="1122" w:type="dxa"/>
                  <w:vAlign w:val="center"/>
                </w:tcPr>
                <w:p>
                  <w:pPr>
                    <w:pStyle w:val="34"/>
                    <w:rPr>
                      <w:szCs w:val="21"/>
                    </w:rPr>
                  </w:pPr>
                  <w:r>
                    <w:rPr>
                      <w:rFonts w:eastAsiaTheme="minorEastAsia"/>
                      <w:szCs w:val="21"/>
                    </w:rPr>
                    <w:t>803.4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szCs w:val="21"/>
                    </w:rPr>
                    <w:t>废</w:t>
                  </w:r>
                  <w:r>
                    <w:rPr>
                      <w:rFonts w:hint="eastAsia"/>
                      <w:szCs w:val="21"/>
                    </w:rPr>
                    <w:t>动力蓄电池</w:t>
                  </w:r>
                </w:p>
              </w:tc>
              <w:tc>
                <w:tcPr>
                  <w:tcW w:w="852" w:type="dxa"/>
                  <w:vMerge w:val="continue"/>
                  <w:vAlign w:val="center"/>
                </w:tcPr>
                <w:p>
                  <w:pPr>
                    <w:pStyle w:val="34"/>
                    <w:rPr>
                      <w:szCs w:val="21"/>
                    </w:rPr>
                  </w:pPr>
                </w:p>
              </w:tc>
              <w:tc>
                <w:tcPr>
                  <w:tcW w:w="1559" w:type="dxa"/>
                  <w:vAlign w:val="center"/>
                </w:tcPr>
                <w:p>
                  <w:pPr>
                    <w:pStyle w:val="34"/>
                    <w:rPr>
                      <w:szCs w:val="21"/>
                    </w:rPr>
                  </w:pPr>
                  <w:r>
                    <w:rPr>
                      <w:rFonts w:hint="eastAsia"/>
                      <w:szCs w:val="21"/>
                    </w:rPr>
                    <w:t>电动汽车预处理过程</w:t>
                  </w:r>
                </w:p>
              </w:tc>
              <w:tc>
                <w:tcPr>
                  <w:tcW w:w="709" w:type="dxa"/>
                  <w:vAlign w:val="center"/>
                </w:tcPr>
                <w:p>
                  <w:pPr>
                    <w:pStyle w:val="34"/>
                    <w:rPr>
                      <w:szCs w:val="21"/>
                    </w:rPr>
                  </w:pPr>
                  <w:r>
                    <w:rPr>
                      <w:rFonts w:eastAsiaTheme="minorEastAsia"/>
                      <w:szCs w:val="21"/>
                    </w:rPr>
                    <w:t>1050</w:t>
                  </w:r>
                </w:p>
              </w:tc>
              <w:tc>
                <w:tcPr>
                  <w:tcW w:w="852" w:type="dxa"/>
                  <w:vAlign w:val="center"/>
                </w:tcPr>
                <w:p>
                  <w:pPr>
                    <w:pStyle w:val="34"/>
                    <w:rPr>
                      <w:szCs w:val="21"/>
                    </w:rPr>
                  </w:pPr>
                  <w:r>
                    <w:rPr>
                      <w:rFonts w:hint="eastAsia"/>
                      <w:szCs w:val="21"/>
                    </w:rPr>
                    <w:t>固态</w:t>
                  </w:r>
                </w:p>
              </w:tc>
              <w:tc>
                <w:tcPr>
                  <w:tcW w:w="1280" w:type="dxa"/>
                  <w:vAlign w:val="center"/>
                </w:tcPr>
                <w:p>
                  <w:pPr>
                    <w:pStyle w:val="34"/>
                    <w:rPr>
                      <w:szCs w:val="21"/>
                    </w:rPr>
                  </w:pPr>
                  <w:r>
                    <w:rPr>
                      <w:rFonts w:hint="eastAsia"/>
                      <w:szCs w:val="21"/>
                    </w:rPr>
                    <w:t>移交至回收服务网点</w:t>
                  </w:r>
                </w:p>
              </w:tc>
              <w:tc>
                <w:tcPr>
                  <w:tcW w:w="1122" w:type="dxa"/>
                  <w:vAlign w:val="center"/>
                </w:tcPr>
                <w:p>
                  <w:pPr>
                    <w:pStyle w:val="34"/>
                    <w:rPr>
                      <w:szCs w:val="21"/>
                    </w:rPr>
                  </w:pPr>
                  <w:r>
                    <w:rPr>
                      <w:rFonts w:eastAsiaTheme="minorEastAsia"/>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szCs w:val="21"/>
                    </w:rPr>
                    <w:t>废燃料油</w:t>
                  </w:r>
                </w:p>
              </w:tc>
              <w:tc>
                <w:tcPr>
                  <w:tcW w:w="852" w:type="dxa"/>
                  <w:vMerge w:val="restart"/>
                  <w:vAlign w:val="center"/>
                </w:tcPr>
                <w:p>
                  <w:pPr>
                    <w:pStyle w:val="34"/>
                    <w:rPr>
                      <w:szCs w:val="21"/>
                    </w:rPr>
                  </w:pPr>
                  <w:r>
                    <w:rPr>
                      <w:szCs w:val="21"/>
                    </w:rPr>
                    <w:t>危险</w:t>
                  </w:r>
                </w:p>
                <w:p>
                  <w:pPr>
                    <w:pStyle w:val="34"/>
                    <w:rPr>
                      <w:szCs w:val="21"/>
                    </w:rPr>
                  </w:pPr>
                  <w:r>
                    <w:rPr>
                      <w:szCs w:val="21"/>
                    </w:rPr>
                    <w:t>废物</w:t>
                  </w:r>
                </w:p>
              </w:tc>
              <w:tc>
                <w:tcPr>
                  <w:tcW w:w="1559" w:type="dxa"/>
                  <w:vMerge w:val="restart"/>
                  <w:vAlign w:val="center"/>
                </w:tcPr>
                <w:p>
                  <w:pPr>
                    <w:pStyle w:val="34"/>
                    <w:rPr>
                      <w:szCs w:val="21"/>
                    </w:rPr>
                  </w:pPr>
                  <w:r>
                    <w:rPr>
                      <w:rFonts w:hint="eastAsia"/>
                      <w:szCs w:val="21"/>
                    </w:rPr>
                    <w:t>废油液</w:t>
                  </w:r>
                </w:p>
                <w:p>
                  <w:pPr>
                    <w:pStyle w:val="34"/>
                    <w:rPr>
                      <w:szCs w:val="21"/>
                    </w:rPr>
                  </w:pPr>
                  <w:r>
                    <w:rPr>
                      <w:rFonts w:hint="eastAsia"/>
                      <w:szCs w:val="21"/>
                    </w:rPr>
                    <w:t>回收过程</w:t>
                  </w:r>
                </w:p>
              </w:tc>
              <w:tc>
                <w:tcPr>
                  <w:tcW w:w="709" w:type="dxa"/>
                  <w:vAlign w:val="center"/>
                </w:tcPr>
                <w:p>
                  <w:pPr>
                    <w:pStyle w:val="34"/>
                    <w:rPr>
                      <w:szCs w:val="21"/>
                    </w:rPr>
                  </w:pPr>
                  <w:r>
                    <w:rPr>
                      <w:szCs w:val="21"/>
                    </w:rPr>
                    <w:t>10.8</w:t>
                  </w:r>
                </w:p>
              </w:tc>
              <w:tc>
                <w:tcPr>
                  <w:tcW w:w="852" w:type="dxa"/>
                  <w:vAlign w:val="center"/>
                </w:tcPr>
                <w:p>
                  <w:pPr>
                    <w:pStyle w:val="34"/>
                    <w:rPr>
                      <w:szCs w:val="21"/>
                    </w:rPr>
                  </w:pPr>
                  <w:r>
                    <w:rPr>
                      <w:rFonts w:hint="eastAsia"/>
                      <w:szCs w:val="21"/>
                    </w:rPr>
                    <w:t>液态</w:t>
                  </w:r>
                </w:p>
              </w:tc>
              <w:tc>
                <w:tcPr>
                  <w:tcW w:w="1280" w:type="dxa"/>
                  <w:vMerge w:val="restart"/>
                  <w:vAlign w:val="center"/>
                </w:tcPr>
                <w:p>
                  <w:pPr>
                    <w:pStyle w:val="34"/>
                    <w:rPr>
                      <w:szCs w:val="21"/>
                    </w:rPr>
                  </w:pPr>
                  <w:r>
                    <w:rPr>
                      <w:rFonts w:hint="eastAsia"/>
                      <w:szCs w:val="21"/>
                    </w:rPr>
                    <w:t>暂存于危废间内，与有资质单位签订处置协议，交由有资质单位处置</w:t>
                  </w:r>
                </w:p>
              </w:tc>
              <w:tc>
                <w:tcPr>
                  <w:tcW w:w="1122" w:type="dxa"/>
                  <w:vAlign w:val="center"/>
                </w:tcPr>
                <w:p>
                  <w:pPr>
                    <w:pStyle w:val="34"/>
                    <w:rPr>
                      <w:szCs w:val="21"/>
                    </w:rPr>
                  </w:pPr>
                  <w:r>
                    <w:rPr>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rFonts w:cs="宋体"/>
                      <w:szCs w:val="21"/>
                    </w:rPr>
                  </w:pPr>
                  <w:r>
                    <w:rPr>
                      <w:rFonts w:hint="eastAsia"/>
                      <w:szCs w:val="21"/>
                    </w:rPr>
                    <w:t>废油液</w:t>
                  </w:r>
                </w:p>
              </w:tc>
              <w:tc>
                <w:tcPr>
                  <w:tcW w:w="852" w:type="dxa"/>
                  <w:vMerge w:val="continue"/>
                  <w:vAlign w:val="center"/>
                </w:tcPr>
                <w:p>
                  <w:pPr>
                    <w:pStyle w:val="34"/>
                    <w:rPr>
                      <w:szCs w:val="21"/>
                    </w:rPr>
                  </w:pPr>
                </w:p>
              </w:tc>
              <w:tc>
                <w:tcPr>
                  <w:tcW w:w="1559" w:type="dxa"/>
                  <w:vMerge w:val="continue"/>
                  <w:vAlign w:val="center"/>
                </w:tcPr>
                <w:p>
                  <w:pPr>
                    <w:pStyle w:val="34"/>
                    <w:rPr>
                      <w:szCs w:val="21"/>
                    </w:rPr>
                  </w:pPr>
                </w:p>
              </w:tc>
              <w:tc>
                <w:tcPr>
                  <w:tcW w:w="709" w:type="dxa"/>
                  <w:vAlign w:val="center"/>
                </w:tcPr>
                <w:p>
                  <w:pPr>
                    <w:pStyle w:val="34"/>
                    <w:rPr>
                      <w:szCs w:val="21"/>
                    </w:rPr>
                  </w:pPr>
                  <w:r>
                    <w:rPr>
                      <w:szCs w:val="21"/>
                    </w:rPr>
                    <w:t>176.1</w:t>
                  </w:r>
                </w:p>
              </w:tc>
              <w:tc>
                <w:tcPr>
                  <w:tcW w:w="852" w:type="dxa"/>
                  <w:vAlign w:val="center"/>
                </w:tcPr>
                <w:p>
                  <w:pPr>
                    <w:pStyle w:val="34"/>
                    <w:rPr>
                      <w:szCs w:val="21"/>
                    </w:rPr>
                  </w:pPr>
                  <w:r>
                    <w:rPr>
                      <w:rFonts w:hint="eastAsia"/>
                      <w:szCs w:val="21"/>
                    </w:rPr>
                    <w:t>液态</w:t>
                  </w:r>
                </w:p>
              </w:tc>
              <w:tc>
                <w:tcPr>
                  <w:tcW w:w="1280" w:type="dxa"/>
                  <w:vMerge w:val="continue"/>
                  <w:vAlign w:val="center"/>
                </w:tcPr>
                <w:p>
                  <w:pPr>
                    <w:pStyle w:val="34"/>
                    <w:rPr>
                      <w:szCs w:val="21"/>
                    </w:rPr>
                  </w:pPr>
                </w:p>
              </w:tc>
              <w:tc>
                <w:tcPr>
                  <w:tcW w:w="1122" w:type="dxa"/>
                  <w:vAlign w:val="center"/>
                </w:tcPr>
                <w:p>
                  <w:pPr>
                    <w:pStyle w:val="34"/>
                    <w:rPr>
                      <w:szCs w:val="21"/>
                    </w:rPr>
                  </w:pPr>
                  <w:r>
                    <w:rPr>
                      <w:szCs w:val="21"/>
                    </w:rPr>
                    <w:t>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szCs w:val="21"/>
                    </w:rPr>
                    <w:t>废防冻液</w:t>
                  </w:r>
                </w:p>
              </w:tc>
              <w:tc>
                <w:tcPr>
                  <w:tcW w:w="852" w:type="dxa"/>
                  <w:vMerge w:val="continue"/>
                  <w:vAlign w:val="center"/>
                </w:tcPr>
                <w:p>
                  <w:pPr>
                    <w:pStyle w:val="34"/>
                    <w:rPr>
                      <w:szCs w:val="21"/>
                    </w:rPr>
                  </w:pPr>
                </w:p>
              </w:tc>
              <w:tc>
                <w:tcPr>
                  <w:tcW w:w="1559" w:type="dxa"/>
                  <w:vAlign w:val="center"/>
                </w:tcPr>
                <w:p>
                  <w:pPr>
                    <w:pStyle w:val="34"/>
                    <w:rPr>
                      <w:szCs w:val="21"/>
                    </w:rPr>
                  </w:pPr>
                  <w:r>
                    <w:rPr>
                      <w:rFonts w:hint="eastAsia"/>
                      <w:szCs w:val="21"/>
                    </w:rPr>
                    <w:t>废防冻液回收过程</w:t>
                  </w:r>
                </w:p>
              </w:tc>
              <w:tc>
                <w:tcPr>
                  <w:tcW w:w="709" w:type="dxa"/>
                  <w:vAlign w:val="center"/>
                </w:tcPr>
                <w:p>
                  <w:pPr>
                    <w:pStyle w:val="34"/>
                    <w:rPr>
                      <w:szCs w:val="21"/>
                    </w:rPr>
                  </w:pPr>
                  <w:r>
                    <w:rPr>
                      <w:szCs w:val="21"/>
                    </w:rPr>
                    <w:t>11.7</w:t>
                  </w:r>
                </w:p>
              </w:tc>
              <w:tc>
                <w:tcPr>
                  <w:tcW w:w="852" w:type="dxa"/>
                  <w:vAlign w:val="center"/>
                </w:tcPr>
                <w:p>
                  <w:pPr>
                    <w:pStyle w:val="34"/>
                    <w:rPr>
                      <w:szCs w:val="21"/>
                    </w:rPr>
                  </w:pPr>
                  <w:r>
                    <w:rPr>
                      <w:rFonts w:hint="eastAsia"/>
                      <w:szCs w:val="21"/>
                    </w:rPr>
                    <w:t>液态</w:t>
                  </w:r>
                </w:p>
              </w:tc>
              <w:tc>
                <w:tcPr>
                  <w:tcW w:w="1280" w:type="dxa"/>
                  <w:vMerge w:val="continue"/>
                  <w:vAlign w:val="center"/>
                </w:tcPr>
                <w:p>
                  <w:pPr>
                    <w:pStyle w:val="34"/>
                    <w:rPr>
                      <w:szCs w:val="21"/>
                    </w:rPr>
                  </w:pPr>
                </w:p>
              </w:tc>
              <w:tc>
                <w:tcPr>
                  <w:tcW w:w="1122" w:type="dxa"/>
                  <w:vAlign w:val="center"/>
                </w:tcPr>
                <w:p>
                  <w:pPr>
                    <w:pStyle w:val="34"/>
                    <w:rPr>
                      <w:szCs w:val="21"/>
                    </w:rPr>
                  </w:pPr>
                  <w:r>
                    <w:rPr>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szCs w:val="21"/>
                    </w:rPr>
                    <w:t>废电路板</w:t>
                  </w:r>
                </w:p>
                <w:p>
                  <w:pPr>
                    <w:pStyle w:val="34"/>
                    <w:rPr>
                      <w:rFonts w:cs="宋体"/>
                      <w:szCs w:val="21"/>
                    </w:rPr>
                  </w:pPr>
                  <w:r>
                    <w:rPr>
                      <w:rFonts w:hint="eastAsia"/>
                      <w:szCs w:val="21"/>
                    </w:rPr>
                    <w:t>(含</w:t>
                  </w:r>
                  <w:r>
                    <w:rPr>
                      <w:szCs w:val="21"/>
                    </w:rPr>
                    <w:t>电容器</w:t>
                  </w:r>
                  <w:r>
                    <w:rPr>
                      <w:rFonts w:hint="eastAsia"/>
                      <w:szCs w:val="21"/>
                    </w:rPr>
                    <w:t>)</w:t>
                  </w:r>
                </w:p>
              </w:tc>
              <w:tc>
                <w:tcPr>
                  <w:tcW w:w="852" w:type="dxa"/>
                  <w:vMerge w:val="continue"/>
                  <w:vAlign w:val="center"/>
                </w:tcPr>
                <w:p>
                  <w:pPr>
                    <w:pStyle w:val="34"/>
                    <w:rPr>
                      <w:szCs w:val="21"/>
                    </w:rPr>
                  </w:pPr>
                </w:p>
              </w:tc>
              <w:tc>
                <w:tcPr>
                  <w:tcW w:w="1559" w:type="dxa"/>
                  <w:vAlign w:val="center"/>
                </w:tcPr>
                <w:p>
                  <w:pPr>
                    <w:pStyle w:val="34"/>
                    <w:rPr>
                      <w:szCs w:val="21"/>
                    </w:rPr>
                  </w:pPr>
                  <w:r>
                    <w:rPr>
                      <w:rFonts w:hint="eastAsia"/>
                      <w:szCs w:val="21"/>
                    </w:rPr>
                    <w:t>汽车电子控制模块拆卸过程</w:t>
                  </w:r>
                </w:p>
              </w:tc>
              <w:tc>
                <w:tcPr>
                  <w:tcW w:w="709" w:type="dxa"/>
                  <w:vAlign w:val="center"/>
                </w:tcPr>
                <w:p>
                  <w:pPr>
                    <w:pStyle w:val="34"/>
                    <w:rPr>
                      <w:szCs w:val="21"/>
                    </w:rPr>
                  </w:pPr>
                  <w:r>
                    <w:rPr>
                      <w:szCs w:val="21"/>
                    </w:rPr>
                    <w:t>17.1</w:t>
                  </w:r>
                </w:p>
              </w:tc>
              <w:tc>
                <w:tcPr>
                  <w:tcW w:w="852" w:type="dxa"/>
                  <w:vAlign w:val="center"/>
                </w:tcPr>
                <w:p>
                  <w:pPr>
                    <w:pStyle w:val="34"/>
                    <w:rPr>
                      <w:szCs w:val="21"/>
                    </w:rPr>
                  </w:pPr>
                  <w:r>
                    <w:rPr>
                      <w:rFonts w:hint="eastAsia"/>
                      <w:szCs w:val="21"/>
                    </w:rPr>
                    <w:t>固态</w:t>
                  </w:r>
                </w:p>
              </w:tc>
              <w:tc>
                <w:tcPr>
                  <w:tcW w:w="1280" w:type="dxa"/>
                  <w:vMerge w:val="continue"/>
                  <w:vAlign w:val="center"/>
                </w:tcPr>
                <w:p>
                  <w:pPr>
                    <w:pStyle w:val="34"/>
                    <w:rPr>
                      <w:szCs w:val="21"/>
                    </w:rPr>
                  </w:pPr>
                </w:p>
              </w:tc>
              <w:tc>
                <w:tcPr>
                  <w:tcW w:w="1122" w:type="dxa"/>
                  <w:vAlign w:val="center"/>
                </w:tcPr>
                <w:p>
                  <w:pPr>
                    <w:pStyle w:val="34"/>
                    <w:rPr>
                      <w:szCs w:val="21"/>
                    </w:rPr>
                  </w:pPr>
                  <w:r>
                    <w:rPr>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szCs w:val="21"/>
                    </w:rPr>
                    <w:t>废</w:t>
                  </w:r>
                  <w:r>
                    <w:rPr>
                      <w:szCs w:val="21"/>
                    </w:rPr>
                    <w:t>铅蓄电池</w:t>
                  </w:r>
                </w:p>
              </w:tc>
              <w:tc>
                <w:tcPr>
                  <w:tcW w:w="852" w:type="dxa"/>
                  <w:vMerge w:val="continue"/>
                  <w:vAlign w:val="center"/>
                </w:tcPr>
                <w:p>
                  <w:pPr>
                    <w:pStyle w:val="34"/>
                    <w:rPr>
                      <w:szCs w:val="21"/>
                    </w:rPr>
                  </w:pPr>
                </w:p>
              </w:tc>
              <w:tc>
                <w:tcPr>
                  <w:tcW w:w="1559" w:type="dxa"/>
                  <w:vAlign w:val="center"/>
                </w:tcPr>
                <w:p>
                  <w:pPr>
                    <w:pStyle w:val="34"/>
                    <w:rPr>
                      <w:szCs w:val="21"/>
                    </w:rPr>
                  </w:pPr>
                  <w:r>
                    <w:rPr>
                      <w:rFonts w:hint="eastAsia"/>
                      <w:szCs w:val="21"/>
                    </w:rPr>
                    <w:t>废</w:t>
                  </w:r>
                  <w:r>
                    <w:rPr>
                      <w:szCs w:val="21"/>
                    </w:rPr>
                    <w:t>铅蓄电池拆卸过程</w:t>
                  </w:r>
                </w:p>
              </w:tc>
              <w:tc>
                <w:tcPr>
                  <w:tcW w:w="709" w:type="dxa"/>
                  <w:vAlign w:val="center"/>
                </w:tcPr>
                <w:p>
                  <w:pPr>
                    <w:pStyle w:val="34"/>
                    <w:rPr>
                      <w:szCs w:val="21"/>
                    </w:rPr>
                  </w:pPr>
                  <w:r>
                    <w:rPr>
                      <w:szCs w:val="21"/>
                    </w:rPr>
                    <w:t>234.2</w:t>
                  </w:r>
                </w:p>
              </w:tc>
              <w:tc>
                <w:tcPr>
                  <w:tcW w:w="852" w:type="dxa"/>
                  <w:vAlign w:val="center"/>
                </w:tcPr>
                <w:p>
                  <w:pPr>
                    <w:pStyle w:val="34"/>
                    <w:rPr>
                      <w:szCs w:val="21"/>
                    </w:rPr>
                  </w:pPr>
                  <w:r>
                    <w:rPr>
                      <w:rFonts w:hint="eastAsia"/>
                      <w:szCs w:val="21"/>
                    </w:rPr>
                    <w:t>固态</w:t>
                  </w:r>
                </w:p>
              </w:tc>
              <w:tc>
                <w:tcPr>
                  <w:tcW w:w="1280" w:type="dxa"/>
                  <w:vMerge w:val="continue"/>
                  <w:vAlign w:val="center"/>
                </w:tcPr>
                <w:p>
                  <w:pPr>
                    <w:pStyle w:val="34"/>
                    <w:rPr>
                      <w:szCs w:val="21"/>
                    </w:rPr>
                  </w:pPr>
                </w:p>
              </w:tc>
              <w:tc>
                <w:tcPr>
                  <w:tcW w:w="1122" w:type="dxa"/>
                  <w:vAlign w:val="center"/>
                </w:tcPr>
                <w:p>
                  <w:pPr>
                    <w:pStyle w:val="34"/>
                    <w:rPr>
                      <w:szCs w:val="21"/>
                    </w:rPr>
                  </w:pPr>
                  <w:r>
                    <w:rPr>
                      <w:szCs w:val="21"/>
                    </w:rPr>
                    <w:t>234.2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szCs w:val="21"/>
                    </w:rPr>
                    <w:t>污水处理废油泥</w:t>
                  </w:r>
                </w:p>
              </w:tc>
              <w:tc>
                <w:tcPr>
                  <w:tcW w:w="852" w:type="dxa"/>
                  <w:vMerge w:val="continue"/>
                  <w:vAlign w:val="center"/>
                </w:tcPr>
                <w:p>
                  <w:pPr>
                    <w:pStyle w:val="34"/>
                    <w:rPr>
                      <w:szCs w:val="21"/>
                    </w:rPr>
                  </w:pPr>
                </w:p>
              </w:tc>
              <w:tc>
                <w:tcPr>
                  <w:tcW w:w="1559" w:type="dxa"/>
                  <w:vAlign w:val="center"/>
                </w:tcPr>
                <w:p>
                  <w:pPr>
                    <w:pStyle w:val="34"/>
                    <w:rPr>
                      <w:szCs w:val="21"/>
                    </w:rPr>
                  </w:pPr>
                  <w:r>
                    <w:rPr>
                      <w:rFonts w:hint="eastAsia"/>
                      <w:szCs w:val="21"/>
                    </w:rPr>
                    <w:t>车间冲洗废水处置</w:t>
                  </w:r>
                </w:p>
              </w:tc>
              <w:tc>
                <w:tcPr>
                  <w:tcW w:w="709" w:type="dxa"/>
                  <w:vAlign w:val="center"/>
                </w:tcPr>
                <w:p>
                  <w:pPr>
                    <w:pStyle w:val="34"/>
                    <w:rPr>
                      <w:szCs w:val="21"/>
                    </w:rPr>
                  </w:pPr>
                  <w:r>
                    <w:rPr>
                      <w:rFonts w:hint="eastAsia"/>
                      <w:szCs w:val="21"/>
                    </w:rPr>
                    <w:t>0.9</w:t>
                  </w:r>
                </w:p>
              </w:tc>
              <w:tc>
                <w:tcPr>
                  <w:tcW w:w="852" w:type="dxa"/>
                  <w:vAlign w:val="center"/>
                </w:tcPr>
                <w:p>
                  <w:pPr>
                    <w:pStyle w:val="34"/>
                    <w:rPr>
                      <w:szCs w:val="21"/>
                    </w:rPr>
                  </w:pPr>
                  <w:r>
                    <w:rPr>
                      <w:rFonts w:hint="eastAsia"/>
                      <w:szCs w:val="21"/>
                    </w:rPr>
                    <w:t>固态</w:t>
                  </w:r>
                </w:p>
              </w:tc>
              <w:tc>
                <w:tcPr>
                  <w:tcW w:w="1280" w:type="dxa"/>
                  <w:vMerge w:val="continue"/>
                  <w:vAlign w:val="center"/>
                </w:tcPr>
                <w:p>
                  <w:pPr>
                    <w:pStyle w:val="34"/>
                    <w:rPr>
                      <w:szCs w:val="21"/>
                    </w:rPr>
                  </w:pPr>
                </w:p>
              </w:tc>
              <w:tc>
                <w:tcPr>
                  <w:tcW w:w="1122" w:type="dxa"/>
                  <w:vAlign w:val="center"/>
                </w:tcPr>
                <w:p>
                  <w:pPr>
                    <w:pStyle w:val="34"/>
                    <w:rPr>
                      <w:szCs w:val="21"/>
                    </w:rPr>
                  </w:pPr>
                  <w:r>
                    <w:rPr>
                      <w:rFonts w:hint="eastAsia"/>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szCs w:val="21"/>
                    </w:rPr>
                    <w:t>废尾气净化催化剂</w:t>
                  </w:r>
                </w:p>
              </w:tc>
              <w:tc>
                <w:tcPr>
                  <w:tcW w:w="852" w:type="dxa"/>
                  <w:vMerge w:val="continue"/>
                  <w:vAlign w:val="center"/>
                </w:tcPr>
                <w:p>
                  <w:pPr>
                    <w:pStyle w:val="34"/>
                    <w:rPr>
                      <w:szCs w:val="21"/>
                    </w:rPr>
                  </w:pPr>
                </w:p>
              </w:tc>
              <w:tc>
                <w:tcPr>
                  <w:tcW w:w="1559" w:type="dxa"/>
                  <w:vAlign w:val="center"/>
                </w:tcPr>
                <w:p>
                  <w:pPr>
                    <w:pStyle w:val="34"/>
                    <w:rPr>
                      <w:szCs w:val="21"/>
                    </w:rPr>
                  </w:pPr>
                  <w:r>
                    <w:rPr>
                      <w:rFonts w:hint="eastAsia"/>
                      <w:szCs w:val="21"/>
                    </w:rPr>
                    <w:t>尾气净化催化系统回收过程</w:t>
                  </w:r>
                </w:p>
              </w:tc>
              <w:tc>
                <w:tcPr>
                  <w:tcW w:w="709" w:type="dxa"/>
                  <w:vAlign w:val="center"/>
                </w:tcPr>
                <w:p>
                  <w:pPr>
                    <w:pStyle w:val="34"/>
                    <w:rPr>
                      <w:szCs w:val="21"/>
                    </w:rPr>
                  </w:pPr>
                  <w:r>
                    <w:rPr>
                      <w:szCs w:val="21"/>
                    </w:rPr>
                    <w:t>22</w:t>
                  </w:r>
                </w:p>
              </w:tc>
              <w:tc>
                <w:tcPr>
                  <w:tcW w:w="852" w:type="dxa"/>
                  <w:vAlign w:val="center"/>
                </w:tcPr>
                <w:p>
                  <w:pPr>
                    <w:pStyle w:val="34"/>
                    <w:rPr>
                      <w:szCs w:val="21"/>
                    </w:rPr>
                  </w:pPr>
                  <w:r>
                    <w:rPr>
                      <w:rFonts w:hint="eastAsia"/>
                      <w:szCs w:val="21"/>
                    </w:rPr>
                    <w:t>固态</w:t>
                  </w:r>
                </w:p>
              </w:tc>
              <w:tc>
                <w:tcPr>
                  <w:tcW w:w="1280" w:type="dxa"/>
                  <w:vMerge w:val="continue"/>
                  <w:vAlign w:val="center"/>
                </w:tcPr>
                <w:p>
                  <w:pPr>
                    <w:pStyle w:val="34"/>
                    <w:rPr>
                      <w:szCs w:val="21"/>
                    </w:rPr>
                  </w:pPr>
                </w:p>
              </w:tc>
              <w:tc>
                <w:tcPr>
                  <w:tcW w:w="1122" w:type="dxa"/>
                  <w:vAlign w:val="center"/>
                </w:tcPr>
                <w:p>
                  <w:pPr>
                    <w:pStyle w:val="34"/>
                    <w:rPr>
                      <w:szCs w:val="21"/>
                    </w:rPr>
                  </w:pPr>
                  <w:r>
                    <w:rPr>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26" w:type="dxa"/>
                  <w:vAlign w:val="center"/>
                </w:tcPr>
                <w:p>
                  <w:pPr>
                    <w:pStyle w:val="34"/>
                    <w:rPr>
                      <w:szCs w:val="21"/>
                    </w:rPr>
                  </w:pPr>
                  <w:r>
                    <w:rPr>
                      <w:rFonts w:hint="eastAsia"/>
                      <w:szCs w:val="21"/>
                    </w:rPr>
                    <w:t>废</w:t>
                  </w:r>
                  <w:r>
                    <w:rPr>
                      <w:szCs w:val="21"/>
                    </w:rPr>
                    <w:t>活性炭</w:t>
                  </w:r>
                </w:p>
              </w:tc>
              <w:tc>
                <w:tcPr>
                  <w:tcW w:w="852" w:type="dxa"/>
                  <w:vMerge w:val="continue"/>
                  <w:vAlign w:val="center"/>
                </w:tcPr>
                <w:p>
                  <w:pPr>
                    <w:pStyle w:val="34"/>
                    <w:rPr>
                      <w:szCs w:val="21"/>
                    </w:rPr>
                  </w:pPr>
                </w:p>
              </w:tc>
              <w:tc>
                <w:tcPr>
                  <w:tcW w:w="1559" w:type="dxa"/>
                  <w:vAlign w:val="center"/>
                </w:tcPr>
                <w:p>
                  <w:pPr>
                    <w:pStyle w:val="34"/>
                    <w:rPr>
                      <w:szCs w:val="21"/>
                    </w:rPr>
                  </w:pPr>
                  <w:r>
                    <w:rPr>
                      <w:rFonts w:hint="eastAsia"/>
                      <w:szCs w:val="21"/>
                    </w:rPr>
                    <w:t>废气处理过程</w:t>
                  </w:r>
                </w:p>
              </w:tc>
              <w:tc>
                <w:tcPr>
                  <w:tcW w:w="709" w:type="dxa"/>
                  <w:vAlign w:val="center"/>
                </w:tcPr>
                <w:p>
                  <w:pPr>
                    <w:pStyle w:val="34"/>
                    <w:rPr>
                      <w:szCs w:val="21"/>
                    </w:rPr>
                  </w:pPr>
                  <w:r>
                    <w:rPr>
                      <w:rFonts w:hint="eastAsia"/>
                      <w:szCs w:val="21"/>
                    </w:rPr>
                    <w:t>0</w:t>
                  </w:r>
                  <w:r>
                    <w:rPr>
                      <w:szCs w:val="21"/>
                    </w:rPr>
                    <w:t>.</w:t>
                  </w:r>
                  <w:r>
                    <w:rPr>
                      <w:rFonts w:hint="eastAsia"/>
                      <w:szCs w:val="21"/>
                    </w:rPr>
                    <w:t>24</w:t>
                  </w:r>
                </w:p>
              </w:tc>
              <w:tc>
                <w:tcPr>
                  <w:tcW w:w="852" w:type="dxa"/>
                  <w:vAlign w:val="center"/>
                </w:tcPr>
                <w:p>
                  <w:pPr>
                    <w:pStyle w:val="34"/>
                    <w:rPr>
                      <w:szCs w:val="21"/>
                    </w:rPr>
                  </w:pPr>
                  <w:r>
                    <w:rPr>
                      <w:rFonts w:hint="eastAsia"/>
                      <w:szCs w:val="21"/>
                    </w:rPr>
                    <w:t>固态</w:t>
                  </w:r>
                </w:p>
              </w:tc>
              <w:tc>
                <w:tcPr>
                  <w:tcW w:w="1280" w:type="dxa"/>
                  <w:vMerge w:val="continue"/>
                  <w:vAlign w:val="center"/>
                </w:tcPr>
                <w:p>
                  <w:pPr>
                    <w:pStyle w:val="34"/>
                    <w:rPr>
                      <w:szCs w:val="21"/>
                    </w:rPr>
                  </w:pPr>
                </w:p>
              </w:tc>
              <w:tc>
                <w:tcPr>
                  <w:tcW w:w="1122" w:type="dxa"/>
                  <w:vAlign w:val="center"/>
                </w:tcPr>
                <w:p>
                  <w:pPr>
                    <w:pStyle w:val="34"/>
                    <w:rPr>
                      <w:szCs w:val="21"/>
                    </w:rPr>
                  </w:pPr>
                  <w:r>
                    <w:rPr>
                      <w:rFonts w:hint="eastAsia"/>
                      <w:szCs w:val="21"/>
                    </w:rPr>
                    <w:t>0</w:t>
                  </w:r>
                  <w:r>
                    <w:rPr>
                      <w:szCs w:val="21"/>
                    </w:rPr>
                    <w:t>.</w:t>
                  </w:r>
                  <w:r>
                    <w:rPr>
                      <w:rFonts w:hint="eastAsia"/>
                      <w:szCs w:val="21"/>
                    </w:rPr>
                    <w:t>24</w:t>
                  </w:r>
                </w:p>
              </w:tc>
            </w:tr>
          </w:tbl>
          <w:p>
            <w:pPr>
              <w:pStyle w:val="34"/>
              <w:ind w:firstLine="480"/>
              <w:rPr>
                <w:b/>
                <w:sz w:val="24"/>
              </w:rPr>
            </w:pPr>
            <w:r>
              <w:rPr>
                <w:rFonts w:hint="eastAsia"/>
                <w:b/>
                <w:sz w:val="24"/>
              </w:rPr>
              <w:t>表4-19  本项目危险废物汇总表</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560"/>
              <w:gridCol w:w="2409"/>
              <w:gridCol w:w="1134"/>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512" w:type="dxa"/>
                  <w:shd w:val="pct10" w:color="auto" w:fill="auto"/>
                  <w:vAlign w:val="center"/>
                </w:tcPr>
                <w:p>
                  <w:pPr>
                    <w:pStyle w:val="34"/>
                    <w:rPr>
                      <w:b/>
                      <w:szCs w:val="21"/>
                    </w:rPr>
                  </w:pPr>
                  <w:r>
                    <w:rPr>
                      <w:rFonts w:hint="eastAsia" w:cs="宋体"/>
                      <w:b/>
                      <w:szCs w:val="21"/>
                    </w:rPr>
                    <w:t>危废名称</w:t>
                  </w:r>
                </w:p>
              </w:tc>
              <w:tc>
                <w:tcPr>
                  <w:tcW w:w="1560" w:type="dxa"/>
                  <w:shd w:val="pct10" w:color="auto" w:fill="auto"/>
                  <w:vAlign w:val="center"/>
                </w:tcPr>
                <w:p>
                  <w:pPr>
                    <w:pStyle w:val="34"/>
                    <w:rPr>
                      <w:b/>
                      <w:szCs w:val="21"/>
                    </w:rPr>
                  </w:pPr>
                  <w:r>
                    <w:rPr>
                      <w:rFonts w:hint="eastAsia" w:cs="宋体"/>
                      <w:b/>
                      <w:szCs w:val="21"/>
                    </w:rPr>
                    <w:t>危废代码</w:t>
                  </w:r>
                </w:p>
              </w:tc>
              <w:tc>
                <w:tcPr>
                  <w:tcW w:w="2409" w:type="dxa"/>
                  <w:shd w:val="pct10" w:color="auto" w:fill="auto"/>
                  <w:vAlign w:val="center"/>
                </w:tcPr>
                <w:p>
                  <w:pPr>
                    <w:pStyle w:val="34"/>
                    <w:rPr>
                      <w:b/>
                      <w:szCs w:val="21"/>
                    </w:rPr>
                  </w:pPr>
                  <w:r>
                    <w:rPr>
                      <w:rFonts w:hint="eastAsia" w:cs="宋体"/>
                      <w:b/>
                      <w:szCs w:val="21"/>
                    </w:rPr>
                    <w:t>产生环节</w:t>
                  </w:r>
                </w:p>
              </w:tc>
              <w:tc>
                <w:tcPr>
                  <w:tcW w:w="1134" w:type="dxa"/>
                  <w:shd w:val="pct10" w:color="auto" w:fill="auto"/>
                  <w:vAlign w:val="center"/>
                </w:tcPr>
                <w:p>
                  <w:pPr>
                    <w:pStyle w:val="34"/>
                    <w:rPr>
                      <w:b/>
                      <w:szCs w:val="21"/>
                    </w:rPr>
                  </w:pPr>
                  <w:r>
                    <w:rPr>
                      <w:rFonts w:hint="eastAsia" w:cs="宋体"/>
                      <w:b/>
                      <w:szCs w:val="21"/>
                    </w:rPr>
                    <w:t>形态</w:t>
                  </w:r>
                </w:p>
              </w:tc>
              <w:tc>
                <w:tcPr>
                  <w:tcW w:w="1685" w:type="dxa"/>
                  <w:shd w:val="pct10" w:color="auto" w:fill="auto"/>
                  <w:vAlign w:val="center"/>
                </w:tcPr>
                <w:p>
                  <w:pPr>
                    <w:pStyle w:val="34"/>
                    <w:rPr>
                      <w:b/>
                      <w:szCs w:val="21"/>
                    </w:rPr>
                  </w:pPr>
                  <w:r>
                    <w:rPr>
                      <w:rFonts w:hint="eastAsia" w:cs="宋体"/>
                      <w:b/>
                      <w:szCs w:val="21"/>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2" w:type="dxa"/>
                  <w:vAlign w:val="center"/>
                </w:tcPr>
                <w:p>
                  <w:pPr>
                    <w:pStyle w:val="34"/>
                    <w:rPr>
                      <w:szCs w:val="21"/>
                    </w:rPr>
                  </w:pPr>
                  <w:r>
                    <w:rPr>
                      <w:rFonts w:hint="eastAsia"/>
                      <w:szCs w:val="21"/>
                    </w:rPr>
                    <w:t>废燃料油</w:t>
                  </w:r>
                </w:p>
              </w:tc>
              <w:tc>
                <w:tcPr>
                  <w:tcW w:w="1560" w:type="dxa"/>
                  <w:vAlign w:val="center"/>
                </w:tcPr>
                <w:p>
                  <w:pPr>
                    <w:pStyle w:val="34"/>
                    <w:rPr>
                      <w:szCs w:val="21"/>
                    </w:rPr>
                  </w:pPr>
                  <w:r>
                    <w:rPr>
                      <w:szCs w:val="21"/>
                    </w:rPr>
                    <w:t>900-199-08</w:t>
                  </w:r>
                </w:p>
              </w:tc>
              <w:tc>
                <w:tcPr>
                  <w:tcW w:w="2409" w:type="dxa"/>
                  <w:vAlign w:val="center"/>
                </w:tcPr>
                <w:p>
                  <w:pPr>
                    <w:pStyle w:val="34"/>
                    <w:rPr>
                      <w:szCs w:val="21"/>
                    </w:rPr>
                  </w:pPr>
                  <w:r>
                    <w:rPr>
                      <w:rFonts w:hint="eastAsia"/>
                      <w:szCs w:val="21"/>
                    </w:rPr>
                    <w:t>废油液回收过程</w:t>
                  </w:r>
                </w:p>
              </w:tc>
              <w:tc>
                <w:tcPr>
                  <w:tcW w:w="1134" w:type="dxa"/>
                  <w:vAlign w:val="center"/>
                </w:tcPr>
                <w:p>
                  <w:pPr>
                    <w:pStyle w:val="34"/>
                    <w:rPr>
                      <w:szCs w:val="21"/>
                    </w:rPr>
                  </w:pPr>
                  <w:r>
                    <w:rPr>
                      <w:rFonts w:hint="eastAsia"/>
                      <w:szCs w:val="21"/>
                    </w:rPr>
                    <w:t>液态</w:t>
                  </w:r>
                </w:p>
              </w:tc>
              <w:tc>
                <w:tcPr>
                  <w:tcW w:w="1685" w:type="dxa"/>
                  <w:vAlign w:val="center"/>
                </w:tcPr>
                <w:p>
                  <w:pPr>
                    <w:pStyle w:val="34"/>
                    <w:rPr>
                      <w:szCs w:val="21"/>
                    </w:rPr>
                  </w:pPr>
                  <w:r>
                    <w:rPr>
                      <w:rFonts w:hint="eastAsia"/>
                      <w:szCs w:val="21"/>
                    </w:rPr>
                    <w:t>毒性、易燃性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2" w:type="dxa"/>
                  <w:vAlign w:val="center"/>
                </w:tcPr>
                <w:p>
                  <w:pPr>
                    <w:pStyle w:val="34"/>
                    <w:rPr>
                      <w:szCs w:val="21"/>
                    </w:rPr>
                  </w:pPr>
                  <w:r>
                    <w:rPr>
                      <w:rFonts w:hint="eastAsia"/>
                      <w:szCs w:val="21"/>
                    </w:rPr>
                    <w:t>废油液</w:t>
                  </w:r>
                </w:p>
              </w:tc>
              <w:tc>
                <w:tcPr>
                  <w:tcW w:w="1560" w:type="dxa"/>
                  <w:vAlign w:val="center"/>
                </w:tcPr>
                <w:p>
                  <w:pPr>
                    <w:pStyle w:val="34"/>
                    <w:rPr>
                      <w:szCs w:val="21"/>
                    </w:rPr>
                  </w:pPr>
                  <w:r>
                    <w:rPr>
                      <w:szCs w:val="21"/>
                    </w:rPr>
                    <w:t>900-199-08</w:t>
                  </w:r>
                </w:p>
              </w:tc>
              <w:tc>
                <w:tcPr>
                  <w:tcW w:w="2409" w:type="dxa"/>
                  <w:vAlign w:val="center"/>
                </w:tcPr>
                <w:p>
                  <w:pPr>
                    <w:pStyle w:val="34"/>
                    <w:rPr>
                      <w:szCs w:val="21"/>
                    </w:rPr>
                  </w:pPr>
                  <w:r>
                    <w:rPr>
                      <w:rFonts w:hint="eastAsia"/>
                      <w:szCs w:val="21"/>
                    </w:rPr>
                    <w:t>废油液回收过程</w:t>
                  </w:r>
                </w:p>
              </w:tc>
              <w:tc>
                <w:tcPr>
                  <w:tcW w:w="1134" w:type="dxa"/>
                  <w:vAlign w:val="center"/>
                </w:tcPr>
                <w:p>
                  <w:pPr>
                    <w:pStyle w:val="34"/>
                    <w:rPr>
                      <w:szCs w:val="21"/>
                    </w:rPr>
                  </w:pPr>
                  <w:r>
                    <w:rPr>
                      <w:rFonts w:hint="eastAsia"/>
                      <w:szCs w:val="21"/>
                    </w:rPr>
                    <w:t>液态</w:t>
                  </w:r>
                </w:p>
              </w:tc>
              <w:tc>
                <w:tcPr>
                  <w:tcW w:w="1685" w:type="dxa"/>
                  <w:vAlign w:val="center"/>
                </w:tcPr>
                <w:p>
                  <w:pPr>
                    <w:pStyle w:val="34"/>
                    <w:rPr>
                      <w:szCs w:val="21"/>
                    </w:rPr>
                  </w:pPr>
                  <w:r>
                    <w:rPr>
                      <w:rFonts w:hint="eastAsia"/>
                      <w:szCs w:val="21"/>
                    </w:rPr>
                    <w:t>毒性、易燃性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2" w:type="dxa"/>
                  <w:vAlign w:val="center"/>
                </w:tcPr>
                <w:p>
                  <w:pPr>
                    <w:pStyle w:val="34"/>
                    <w:rPr>
                      <w:szCs w:val="21"/>
                    </w:rPr>
                  </w:pPr>
                  <w:r>
                    <w:rPr>
                      <w:rFonts w:hint="eastAsia"/>
                      <w:szCs w:val="21"/>
                    </w:rPr>
                    <w:t>废防冻液</w:t>
                  </w:r>
                </w:p>
              </w:tc>
              <w:tc>
                <w:tcPr>
                  <w:tcW w:w="1560" w:type="dxa"/>
                  <w:vAlign w:val="center"/>
                </w:tcPr>
                <w:p>
                  <w:pPr>
                    <w:pStyle w:val="34"/>
                    <w:rPr>
                      <w:szCs w:val="21"/>
                    </w:rPr>
                  </w:pPr>
                  <w:r>
                    <w:rPr>
                      <w:rFonts w:hint="eastAsia"/>
                      <w:szCs w:val="21"/>
                    </w:rPr>
                    <w:t>900</w:t>
                  </w:r>
                  <w:r>
                    <w:rPr>
                      <w:szCs w:val="21"/>
                    </w:rPr>
                    <w:t>-007-09</w:t>
                  </w:r>
                </w:p>
              </w:tc>
              <w:tc>
                <w:tcPr>
                  <w:tcW w:w="2409" w:type="dxa"/>
                  <w:vAlign w:val="center"/>
                </w:tcPr>
                <w:p>
                  <w:pPr>
                    <w:pStyle w:val="34"/>
                    <w:rPr>
                      <w:szCs w:val="21"/>
                    </w:rPr>
                  </w:pPr>
                  <w:r>
                    <w:rPr>
                      <w:rFonts w:hint="eastAsia"/>
                      <w:szCs w:val="21"/>
                    </w:rPr>
                    <w:t>废防冻液回收过程</w:t>
                  </w:r>
                </w:p>
              </w:tc>
              <w:tc>
                <w:tcPr>
                  <w:tcW w:w="1134" w:type="dxa"/>
                  <w:vAlign w:val="center"/>
                </w:tcPr>
                <w:p>
                  <w:pPr>
                    <w:pStyle w:val="34"/>
                    <w:rPr>
                      <w:szCs w:val="21"/>
                    </w:rPr>
                  </w:pPr>
                  <w:r>
                    <w:rPr>
                      <w:rFonts w:hint="eastAsia"/>
                      <w:szCs w:val="21"/>
                    </w:rPr>
                    <w:t>液态</w:t>
                  </w:r>
                </w:p>
              </w:tc>
              <w:tc>
                <w:tcPr>
                  <w:tcW w:w="1685" w:type="dxa"/>
                  <w:vAlign w:val="center"/>
                </w:tcPr>
                <w:p>
                  <w:pPr>
                    <w:pStyle w:val="34"/>
                    <w:rPr>
                      <w:szCs w:val="21"/>
                    </w:rPr>
                  </w:pPr>
                  <w:r>
                    <w:rPr>
                      <w:rFonts w:hint="eastAsia"/>
                      <w:szCs w:val="21"/>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2" w:type="dxa"/>
                  <w:vAlign w:val="center"/>
                </w:tcPr>
                <w:p>
                  <w:pPr>
                    <w:pStyle w:val="34"/>
                    <w:rPr>
                      <w:szCs w:val="21"/>
                    </w:rPr>
                  </w:pPr>
                  <w:r>
                    <w:rPr>
                      <w:rFonts w:hint="eastAsia"/>
                      <w:szCs w:val="21"/>
                    </w:rPr>
                    <w:t>废电路板</w:t>
                  </w:r>
                </w:p>
                <w:p>
                  <w:pPr>
                    <w:pStyle w:val="34"/>
                    <w:rPr>
                      <w:rFonts w:cs="宋体"/>
                      <w:szCs w:val="21"/>
                    </w:rPr>
                  </w:pPr>
                  <w:r>
                    <w:rPr>
                      <w:rFonts w:hint="eastAsia"/>
                      <w:szCs w:val="21"/>
                    </w:rPr>
                    <w:t>(含</w:t>
                  </w:r>
                  <w:r>
                    <w:rPr>
                      <w:szCs w:val="21"/>
                    </w:rPr>
                    <w:t>电容器</w:t>
                  </w:r>
                  <w:r>
                    <w:rPr>
                      <w:rFonts w:hint="eastAsia"/>
                      <w:szCs w:val="21"/>
                    </w:rPr>
                    <w:t>)</w:t>
                  </w:r>
                </w:p>
              </w:tc>
              <w:tc>
                <w:tcPr>
                  <w:tcW w:w="1560" w:type="dxa"/>
                  <w:vAlign w:val="center"/>
                </w:tcPr>
                <w:p>
                  <w:pPr>
                    <w:pStyle w:val="34"/>
                    <w:rPr>
                      <w:szCs w:val="21"/>
                    </w:rPr>
                  </w:pPr>
                  <w:r>
                    <w:rPr>
                      <w:szCs w:val="21"/>
                    </w:rPr>
                    <w:t>900-045-49</w:t>
                  </w:r>
                </w:p>
              </w:tc>
              <w:tc>
                <w:tcPr>
                  <w:tcW w:w="2409" w:type="dxa"/>
                  <w:vAlign w:val="center"/>
                </w:tcPr>
                <w:p>
                  <w:pPr>
                    <w:pStyle w:val="34"/>
                    <w:rPr>
                      <w:szCs w:val="21"/>
                    </w:rPr>
                  </w:pPr>
                  <w:r>
                    <w:rPr>
                      <w:rFonts w:hint="eastAsia"/>
                      <w:szCs w:val="21"/>
                    </w:rPr>
                    <w:t>汽车电子控制模块拆卸过程</w:t>
                  </w:r>
                </w:p>
              </w:tc>
              <w:tc>
                <w:tcPr>
                  <w:tcW w:w="1134" w:type="dxa"/>
                  <w:vAlign w:val="center"/>
                </w:tcPr>
                <w:p>
                  <w:pPr>
                    <w:pStyle w:val="34"/>
                    <w:rPr>
                      <w:szCs w:val="21"/>
                    </w:rPr>
                  </w:pPr>
                  <w:r>
                    <w:rPr>
                      <w:rFonts w:hint="eastAsia"/>
                      <w:szCs w:val="21"/>
                    </w:rPr>
                    <w:t>固态</w:t>
                  </w:r>
                </w:p>
              </w:tc>
              <w:tc>
                <w:tcPr>
                  <w:tcW w:w="1685" w:type="dxa"/>
                  <w:vAlign w:val="center"/>
                </w:tcPr>
                <w:p>
                  <w:pPr>
                    <w:pStyle w:val="34"/>
                    <w:rPr>
                      <w:szCs w:val="21"/>
                    </w:rPr>
                  </w:pPr>
                  <w:r>
                    <w:rPr>
                      <w:rFonts w:hint="eastAsia"/>
                      <w:szCs w:val="21"/>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2" w:type="dxa"/>
                  <w:vAlign w:val="center"/>
                </w:tcPr>
                <w:p>
                  <w:pPr>
                    <w:pStyle w:val="34"/>
                    <w:rPr>
                      <w:rFonts w:cs="宋体"/>
                      <w:szCs w:val="21"/>
                    </w:rPr>
                  </w:pPr>
                  <w:r>
                    <w:rPr>
                      <w:rFonts w:hint="eastAsia"/>
                      <w:szCs w:val="21"/>
                    </w:rPr>
                    <w:t>废</w:t>
                  </w:r>
                  <w:r>
                    <w:rPr>
                      <w:szCs w:val="21"/>
                    </w:rPr>
                    <w:t>铅蓄电池</w:t>
                  </w:r>
                </w:p>
              </w:tc>
              <w:tc>
                <w:tcPr>
                  <w:tcW w:w="1560" w:type="dxa"/>
                  <w:vAlign w:val="center"/>
                </w:tcPr>
                <w:p>
                  <w:pPr>
                    <w:pStyle w:val="34"/>
                    <w:rPr>
                      <w:szCs w:val="21"/>
                    </w:rPr>
                  </w:pPr>
                  <w:r>
                    <w:rPr>
                      <w:szCs w:val="21"/>
                    </w:rPr>
                    <w:t>900-052-31</w:t>
                  </w:r>
                </w:p>
              </w:tc>
              <w:tc>
                <w:tcPr>
                  <w:tcW w:w="2409" w:type="dxa"/>
                  <w:vAlign w:val="center"/>
                </w:tcPr>
                <w:p>
                  <w:pPr>
                    <w:pStyle w:val="34"/>
                    <w:rPr>
                      <w:szCs w:val="21"/>
                    </w:rPr>
                  </w:pPr>
                  <w:r>
                    <w:rPr>
                      <w:rFonts w:hint="eastAsia"/>
                      <w:szCs w:val="21"/>
                    </w:rPr>
                    <w:t>废</w:t>
                  </w:r>
                  <w:r>
                    <w:rPr>
                      <w:szCs w:val="21"/>
                    </w:rPr>
                    <w:t>铅蓄电池拆卸过程</w:t>
                  </w:r>
                </w:p>
              </w:tc>
              <w:tc>
                <w:tcPr>
                  <w:tcW w:w="1134" w:type="dxa"/>
                  <w:vAlign w:val="center"/>
                </w:tcPr>
                <w:p>
                  <w:pPr>
                    <w:pStyle w:val="34"/>
                    <w:rPr>
                      <w:szCs w:val="21"/>
                    </w:rPr>
                  </w:pPr>
                  <w:r>
                    <w:rPr>
                      <w:rFonts w:hint="eastAsia"/>
                      <w:szCs w:val="21"/>
                    </w:rPr>
                    <w:t>固态</w:t>
                  </w:r>
                </w:p>
              </w:tc>
              <w:tc>
                <w:tcPr>
                  <w:tcW w:w="1685" w:type="dxa"/>
                  <w:vAlign w:val="center"/>
                </w:tcPr>
                <w:p>
                  <w:pPr>
                    <w:pStyle w:val="34"/>
                    <w:rPr>
                      <w:szCs w:val="21"/>
                    </w:rPr>
                  </w:pPr>
                  <w:r>
                    <w:rPr>
                      <w:rFonts w:hint="eastAsia"/>
                      <w:szCs w:val="21"/>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2" w:type="dxa"/>
                  <w:vAlign w:val="center"/>
                </w:tcPr>
                <w:p>
                  <w:pPr>
                    <w:pStyle w:val="34"/>
                    <w:rPr>
                      <w:szCs w:val="21"/>
                    </w:rPr>
                  </w:pPr>
                  <w:r>
                    <w:rPr>
                      <w:rFonts w:hint="eastAsia"/>
                      <w:szCs w:val="21"/>
                    </w:rPr>
                    <w:t>污水处理</w:t>
                  </w:r>
                </w:p>
                <w:p>
                  <w:pPr>
                    <w:pStyle w:val="34"/>
                    <w:rPr>
                      <w:szCs w:val="21"/>
                    </w:rPr>
                  </w:pPr>
                  <w:r>
                    <w:rPr>
                      <w:rFonts w:hint="eastAsia"/>
                      <w:szCs w:val="21"/>
                    </w:rPr>
                    <w:t>废油泥</w:t>
                  </w:r>
                </w:p>
              </w:tc>
              <w:tc>
                <w:tcPr>
                  <w:tcW w:w="1560" w:type="dxa"/>
                  <w:vAlign w:val="center"/>
                </w:tcPr>
                <w:p>
                  <w:pPr>
                    <w:pStyle w:val="34"/>
                    <w:rPr>
                      <w:szCs w:val="21"/>
                    </w:rPr>
                  </w:pPr>
                  <w:r>
                    <w:rPr>
                      <w:rFonts w:hint="eastAsia"/>
                      <w:szCs w:val="21"/>
                    </w:rPr>
                    <w:t>900-210-08</w:t>
                  </w:r>
                </w:p>
              </w:tc>
              <w:tc>
                <w:tcPr>
                  <w:tcW w:w="2409" w:type="dxa"/>
                  <w:vAlign w:val="center"/>
                </w:tcPr>
                <w:p>
                  <w:pPr>
                    <w:pStyle w:val="34"/>
                    <w:rPr>
                      <w:szCs w:val="21"/>
                    </w:rPr>
                  </w:pPr>
                  <w:r>
                    <w:rPr>
                      <w:rFonts w:hint="eastAsia"/>
                      <w:szCs w:val="21"/>
                    </w:rPr>
                    <w:t>车间冲洗废水处置</w:t>
                  </w:r>
                </w:p>
              </w:tc>
              <w:tc>
                <w:tcPr>
                  <w:tcW w:w="1134" w:type="dxa"/>
                  <w:vAlign w:val="center"/>
                </w:tcPr>
                <w:p>
                  <w:pPr>
                    <w:pStyle w:val="34"/>
                    <w:rPr>
                      <w:szCs w:val="21"/>
                    </w:rPr>
                  </w:pPr>
                  <w:r>
                    <w:rPr>
                      <w:rFonts w:hint="eastAsia"/>
                      <w:szCs w:val="21"/>
                    </w:rPr>
                    <w:t>固态</w:t>
                  </w:r>
                </w:p>
              </w:tc>
              <w:tc>
                <w:tcPr>
                  <w:tcW w:w="1685" w:type="dxa"/>
                  <w:vAlign w:val="center"/>
                </w:tcPr>
                <w:p>
                  <w:pPr>
                    <w:pStyle w:val="34"/>
                    <w:rPr>
                      <w:szCs w:val="21"/>
                    </w:rPr>
                  </w:pPr>
                  <w:r>
                    <w:rPr>
                      <w:rFonts w:hint="eastAsia"/>
                      <w:szCs w:val="21"/>
                    </w:rPr>
                    <w:t>毒性、易燃性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2" w:type="dxa"/>
                  <w:vAlign w:val="center"/>
                </w:tcPr>
                <w:p>
                  <w:pPr>
                    <w:pStyle w:val="34"/>
                    <w:rPr>
                      <w:rFonts w:cs="宋体"/>
                      <w:szCs w:val="21"/>
                    </w:rPr>
                  </w:pPr>
                  <w:r>
                    <w:rPr>
                      <w:rFonts w:hint="eastAsia"/>
                      <w:szCs w:val="21"/>
                    </w:rPr>
                    <w:t>废尾气净化催化剂</w:t>
                  </w:r>
                </w:p>
              </w:tc>
              <w:tc>
                <w:tcPr>
                  <w:tcW w:w="1560" w:type="dxa"/>
                  <w:vAlign w:val="center"/>
                </w:tcPr>
                <w:p>
                  <w:pPr>
                    <w:pStyle w:val="34"/>
                    <w:rPr>
                      <w:szCs w:val="21"/>
                    </w:rPr>
                  </w:pPr>
                  <w:r>
                    <w:rPr>
                      <w:szCs w:val="21"/>
                    </w:rPr>
                    <w:t>900-049-50</w:t>
                  </w:r>
                </w:p>
              </w:tc>
              <w:tc>
                <w:tcPr>
                  <w:tcW w:w="2409" w:type="dxa"/>
                  <w:vAlign w:val="center"/>
                </w:tcPr>
                <w:p>
                  <w:pPr>
                    <w:pStyle w:val="34"/>
                    <w:rPr>
                      <w:szCs w:val="21"/>
                    </w:rPr>
                  </w:pPr>
                  <w:r>
                    <w:rPr>
                      <w:rFonts w:hint="eastAsia"/>
                      <w:szCs w:val="21"/>
                    </w:rPr>
                    <w:t>尾气净化催化系统回收过程</w:t>
                  </w:r>
                </w:p>
              </w:tc>
              <w:tc>
                <w:tcPr>
                  <w:tcW w:w="1134" w:type="dxa"/>
                  <w:vAlign w:val="center"/>
                </w:tcPr>
                <w:p>
                  <w:pPr>
                    <w:pStyle w:val="34"/>
                    <w:rPr>
                      <w:szCs w:val="21"/>
                    </w:rPr>
                  </w:pPr>
                  <w:r>
                    <w:rPr>
                      <w:rFonts w:hint="eastAsia"/>
                      <w:szCs w:val="21"/>
                    </w:rPr>
                    <w:t>固态</w:t>
                  </w:r>
                </w:p>
              </w:tc>
              <w:tc>
                <w:tcPr>
                  <w:tcW w:w="1685" w:type="dxa"/>
                  <w:vAlign w:val="center"/>
                </w:tcPr>
                <w:p>
                  <w:pPr>
                    <w:pStyle w:val="34"/>
                    <w:rPr>
                      <w:szCs w:val="21"/>
                    </w:rPr>
                  </w:pPr>
                  <w:r>
                    <w:rPr>
                      <w:rFonts w:hint="eastAsia"/>
                      <w:szCs w:val="21"/>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2" w:type="dxa"/>
                  <w:vAlign w:val="center"/>
                </w:tcPr>
                <w:p>
                  <w:pPr>
                    <w:pStyle w:val="34"/>
                    <w:rPr>
                      <w:szCs w:val="21"/>
                    </w:rPr>
                  </w:pPr>
                  <w:r>
                    <w:rPr>
                      <w:rFonts w:hint="eastAsia"/>
                      <w:szCs w:val="21"/>
                    </w:rPr>
                    <w:t>废</w:t>
                  </w:r>
                  <w:r>
                    <w:rPr>
                      <w:szCs w:val="21"/>
                    </w:rPr>
                    <w:t>活性炭</w:t>
                  </w:r>
                </w:p>
              </w:tc>
              <w:tc>
                <w:tcPr>
                  <w:tcW w:w="1560" w:type="dxa"/>
                  <w:vAlign w:val="center"/>
                </w:tcPr>
                <w:p>
                  <w:pPr>
                    <w:pStyle w:val="34"/>
                    <w:rPr>
                      <w:szCs w:val="21"/>
                    </w:rPr>
                  </w:pPr>
                  <w:r>
                    <w:rPr>
                      <w:rFonts w:hint="eastAsia"/>
                      <w:szCs w:val="21"/>
                    </w:rPr>
                    <w:t>900</w:t>
                  </w:r>
                  <w:r>
                    <w:rPr>
                      <w:szCs w:val="21"/>
                    </w:rPr>
                    <w:t>-039-49</w:t>
                  </w:r>
                </w:p>
              </w:tc>
              <w:tc>
                <w:tcPr>
                  <w:tcW w:w="2409" w:type="dxa"/>
                  <w:vAlign w:val="center"/>
                </w:tcPr>
                <w:p>
                  <w:pPr>
                    <w:pStyle w:val="34"/>
                    <w:rPr>
                      <w:szCs w:val="21"/>
                    </w:rPr>
                  </w:pPr>
                  <w:r>
                    <w:rPr>
                      <w:rFonts w:hint="eastAsia"/>
                      <w:szCs w:val="21"/>
                    </w:rPr>
                    <w:t>废气处理过程</w:t>
                  </w:r>
                </w:p>
              </w:tc>
              <w:tc>
                <w:tcPr>
                  <w:tcW w:w="1134" w:type="dxa"/>
                  <w:vAlign w:val="center"/>
                </w:tcPr>
                <w:p>
                  <w:pPr>
                    <w:pStyle w:val="34"/>
                    <w:rPr>
                      <w:szCs w:val="21"/>
                    </w:rPr>
                  </w:pPr>
                  <w:r>
                    <w:rPr>
                      <w:rFonts w:hint="eastAsia"/>
                      <w:szCs w:val="21"/>
                    </w:rPr>
                    <w:t>固态</w:t>
                  </w:r>
                </w:p>
              </w:tc>
              <w:tc>
                <w:tcPr>
                  <w:tcW w:w="1685" w:type="dxa"/>
                  <w:vAlign w:val="center"/>
                </w:tcPr>
                <w:p>
                  <w:pPr>
                    <w:pStyle w:val="34"/>
                    <w:rPr>
                      <w:szCs w:val="21"/>
                    </w:rPr>
                  </w:pPr>
                  <w:r>
                    <w:rPr>
                      <w:rFonts w:hint="eastAsia"/>
                      <w:szCs w:val="21"/>
                    </w:rPr>
                    <w:t>沾染性</w:t>
                  </w:r>
                </w:p>
              </w:tc>
            </w:tr>
          </w:tbl>
          <w:p>
            <w:pPr>
              <w:ind w:firstLine="480"/>
              <w:rPr>
                <w:sz w:val="24"/>
                <w:szCs w:val="24"/>
              </w:rPr>
            </w:pPr>
            <w:r>
              <w:rPr>
                <w:sz w:val="24"/>
                <w:szCs w:val="24"/>
              </w:rPr>
              <w:t>（2）固体废物环境管理要求</w:t>
            </w:r>
          </w:p>
          <w:p>
            <w:pPr>
              <w:ind w:firstLine="480"/>
              <w:rPr>
                <w:sz w:val="24"/>
              </w:rPr>
            </w:pPr>
            <w:r>
              <w:rPr>
                <w:rFonts w:hint="eastAsia"/>
                <w:sz w:val="24"/>
              </w:rPr>
              <w:t>本</w:t>
            </w:r>
            <w:r>
              <w:rPr>
                <w:sz w:val="24"/>
              </w:rPr>
              <w:t>项目产生的一般工业固废</w:t>
            </w:r>
            <w:r>
              <w:rPr>
                <w:rFonts w:hint="eastAsia"/>
                <w:sz w:val="24"/>
              </w:rPr>
              <w:t>可回收</w:t>
            </w:r>
            <w:r>
              <w:rPr>
                <w:sz w:val="24"/>
              </w:rPr>
              <w:t>利用的</w:t>
            </w:r>
            <w:r>
              <w:rPr>
                <w:rFonts w:hint="eastAsia"/>
                <w:sz w:val="24"/>
              </w:rPr>
              <w:t>出售给</w:t>
            </w:r>
            <w:r>
              <w:rPr>
                <w:sz w:val="24"/>
              </w:rPr>
              <w:t>相应</w:t>
            </w:r>
            <w:r>
              <w:rPr>
                <w:rFonts w:hint="eastAsia"/>
                <w:sz w:val="24"/>
              </w:rPr>
              <w:t>回收</w:t>
            </w:r>
            <w:r>
              <w:rPr>
                <w:sz w:val="24"/>
              </w:rPr>
              <w:t>单位</w:t>
            </w:r>
            <w:r>
              <w:rPr>
                <w:rFonts w:hint="eastAsia"/>
                <w:sz w:val="24"/>
              </w:rPr>
              <w:t>，</w:t>
            </w:r>
            <w:r>
              <w:rPr>
                <w:sz w:val="24"/>
              </w:rPr>
              <w:t>碎玻璃、废</w:t>
            </w:r>
            <w:r>
              <w:rPr>
                <w:rFonts w:hint="eastAsia"/>
                <w:sz w:val="24"/>
              </w:rPr>
              <w:t>尼龙</w:t>
            </w:r>
            <w:r>
              <w:rPr>
                <w:sz w:val="24"/>
              </w:rPr>
              <w:t>皮革等不可回收利用废物在厂区垃圾池存放后交由环卫部门处置，</w:t>
            </w:r>
            <w:r>
              <w:rPr>
                <w:rFonts w:hint="eastAsia"/>
                <w:sz w:val="24"/>
              </w:rPr>
              <w:t>报废新</w:t>
            </w:r>
            <w:r>
              <w:rPr>
                <w:sz w:val="24"/>
              </w:rPr>
              <w:t>能源车产生的</w:t>
            </w:r>
            <w:r>
              <w:rPr>
                <w:rFonts w:hint="eastAsia"/>
                <w:sz w:val="24"/>
              </w:rPr>
              <w:t>废</w:t>
            </w:r>
            <w:r>
              <w:rPr>
                <w:sz w:val="24"/>
              </w:rPr>
              <w:t>动力蓄电池设置</w:t>
            </w:r>
            <w:r>
              <w:rPr>
                <w:rFonts w:hint="eastAsia"/>
                <w:sz w:val="24"/>
              </w:rPr>
              <w:t>专用贮存库房</w:t>
            </w:r>
            <w:r>
              <w:rPr>
                <w:sz w:val="24"/>
              </w:rPr>
              <w:t>，按重点防渗区域</w:t>
            </w:r>
            <w:r>
              <w:rPr>
                <w:rFonts w:hint="eastAsia"/>
                <w:sz w:val="24"/>
              </w:rPr>
              <w:t>建造</w:t>
            </w:r>
            <w:r>
              <w:rPr>
                <w:sz w:val="24"/>
              </w:rPr>
              <w:t>，</w:t>
            </w:r>
            <w:r>
              <w:rPr>
                <w:rFonts w:hint="eastAsia"/>
                <w:sz w:val="24"/>
              </w:rPr>
              <w:t>暂存后</w:t>
            </w:r>
            <w:r>
              <w:rPr>
                <w:sz w:val="24"/>
              </w:rPr>
              <w:t>交由蓄电池回收服务网点回收利用，</w:t>
            </w:r>
            <w:r>
              <w:rPr>
                <w:rFonts w:hint="eastAsia"/>
                <w:sz w:val="24"/>
              </w:rPr>
              <w:t>本</w:t>
            </w:r>
            <w:r>
              <w:rPr>
                <w:sz w:val="24"/>
              </w:rPr>
              <w:t>评价</w:t>
            </w:r>
            <w:r>
              <w:rPr>
                <w:rFonts w:hint="eastAsia"/>
                <w:sz w:val="24"/>
              </w:rPr>
              <w:t>根据</w:t>
            </w:r>
            <w:r>
              <w:rPr>
                <w:sz w:val="24"/>
              </w:rPr>
              <w:t>《一般工业固体废物储存、处置场污染控制标准》（GB18599-2001）及其修改单对一般工业废物处置贮存提出以下要求：</w:t>
            </w:r>
          </w:p>
          <w:p>
            <w:pPr>
              <w:ind w:firstLine="480"/>
              <w:rPr>
                <w:sz w:val="24"/>
              </w:rPr>
            </w:pPr>
            <w:r>
              <w:rPr>
                <w:rFonts w:hint="eastAsia"/>
                <w:sz w:val="24"/>
              </w:rPr>
              <w:t>①</w:t>
            </w:r>
            <w:r>
              <w:rPr>
                <w:sz w:val="24"/>
              </w:rPr>
              <w:t>贮存区设分隔设施，不同类型的固体废物分开贮存。</w:t>
            </w:r>
          </w:p>
          <w:p>
            <w:pPr>
              <w:ind w:firstLine="480"/>
              <w:rPr>
                <w:sz w:val="24"/>
              </w:rPr>
            </w:pPr>
            <w:r>
              <w:rPr>
                <w:rFonts w:hint="eastAsia"/>
                <w:sz w:val="24"/>
              </w:rPr>
              <w:t>②</w:t>
            </w:r>
            <w:r>
              <w:rPr>
                <w:sz w:val="24"/>
              </w:rPr>
              <w:t>一般工业固体废物暂存区</w:t>
            </w:r>
            <w:r>
              <w:rPr>
                <w:rFonts w:hint="eastAsia"/>
                <w:sz w:val="24"/>
              </w:rPr>
              <w:t>应</w:t>
            </w:r>
            <w:r>
              <w:rPr>
                <w:sz w:val="24"/>
              </w:rPr>
              <w:t>避免雨水冲刷。</w:t>
            </w:r>
          </w:p>
          <w:p>
            <w:pPr>
              <w:ind w:firstLine="480"/>
              <w:rPr>
                <w:sz w:val="24"/>
              </w:rPr>
            </w:pPr>
            <w:r>
              <w:rPr>
                <w:rFonts w:hint="eastAsia"/>
                <w:sz w:val="24"/>
              </w:rPr>
              <w:t>③</w:t>
            </w:r>
            <w:r>
              <w:rPr>
                <w:sz w:val="24"/>
              </w:rPr>
              <w:t>一般工业固体废物暂存区地面均采用4～6cm厚水泥防渗，经防渗处理后渗透系数≤10</w:t>
            </w:r>
            <w:r>
              <w:rPr>
                <w:sz w:val="24"/>
                <w:vertAlign w:val="superscript"/>
              </w:rPr>
              <w:t>-7</w:t>
            </w:r>
            <w:r>
              <w:rPr>
                <w:sz w:val="24"/>
              </w:rPr>
              <w:t>cm/s。</w:t>
            </w:r>
          </w:p>
          <w:p>
            <w:pPr>
              <w:ind w:firstLine="480"/>
              <w:rPr>
                <w:sz w:val="24"/>
              </w:rPr>
            </w:pPr>
            <w:r>
              <w:rPr>
                <w:rFonts w:hint="eastAsia"/>
                <w:sz w:val="24"/>
              </w:rPr>
              <w:t>④</w:t>
            </w:r>
            <w:r>
              <w:rPr>
                <w:sz w:val="24"/>
              </w:rPr>
              <w:t>为加强管理监督，贮存、处置场所地按《环境保护图形标志-固体废物贮存</w:t>
            </w:r>
            <w:r>
              <w:rPr>
                <w:rFonts w:hint="eastAsia" w:ascii="宋体" w:hAnsi="宋体"/>
                <w:sz w:val="24"/>
              </w:rPr>
              <w:t>(</w:t>
            </w:r>
            <w:r>
              <w:rPr>
                <w:sz w:val="24"/>
              </w:rPr>
              <w:t>处置</w:t>
            </w:r>
            <w:r>
              <w:rPr>
                <w:rFonts w:hint="eastAsia" w:ascii="宋体" w:hAnsi="宋体"/>
                <w:sz w:val="24"/>
              </w:rPr>
              <w:t>)</w:t>
            </w:r>
            <w:r>
              <w:rPr>
                <w:sz w:val="24"/>
              </w:rPr>
              <w:t>场所》</w:t>
            </w:r>
            <w:r>
              <w:rPr>
                <w:rFonts w:hint="eastAsia" w:ascii="宋体" w:hAnsi="宋体"/>
                <w:sz w:val="24"/>
              </w:rPr>
              <w:t>(</w:t>
            </w:r>
            <w:r>
              <w:rPr>
                <w:sz w:val="24"/>
              </w:rPr>
              <w:t>GB15562.2-1995</w:t>
            </w:r>
            <w:r>
              <w:rPr>
                <w:rFonts w:hint="eastAsia" w:ascii="宋体" w:hAnsi="宋体"/>
                <w:sz w:val="24"/>
              </w:rPr>
              <w:t>)</w:t>
            </w:r>
            <w:r>
              <w:rPr>
                <w:sz w:val="24"/>
              </w:rPr>
              <w:t>设置环境保护图形标志。</w:t>
            </w:r>
          </w:p>
          <w:p>
            <w:pPr>
              <w:ind w:firstLine="480"/>
              <w:rPr>
                <w:sz w:val="24"/>
              </w:rPr>
            </w:pPr>
            <w:r>
              <w:rPr>
                <w:rFonts w:hint="eastAsia"/>
                <w:sz w:val="24"/>
              </w:rPr>
              <w:t>⑤废动力电池暂存间防渗按照重点防渗，并</w:t>
            </w:r>
            <w:r>
              <w:rPr>
                <w:sz w:val="24"/>
              </w:rPr>
              <w:t>设置防腐防渗的1m</w:t>
            </w:r>
            <w:r>
              <w:rPr>
                <w:sz w:val="24"/>
                <w:vertAlign w:val="superscript"/>
              </w:rPr>
              <w:t>3</w:t>
            </w:r>
            <w:r>
              <w:rPr>
                <w:sz w:val="24"/>
              </w:rPr>
              <w:t>电解液、冷却液专用</w:t>
            </w:r>
            <w:r>
              <w:rPr>
                <w:rFonts w:hint="eastAsia"/>
                <w:sz w:val="24"/>
              </w:rPr>
              <w:t>紧急</w:t>
            </w:r>
            <w:r>
              <w:rPr>
                <w:sz w:val="24"/>
              </w:rPr>
              <w:t>收集池</w:t>
            </w:r>
            <w:r>
              <w:rPr>
                <w:rFonts w:hint="eastAsia"/>
                <w:sz w:val="24"/>
              </w:rPr>
              <w:t>。</w:t>
            </w:r>
          </w:p>
          <w:p>
            <w:pPr>
              <w:ind w:firstLine="480"/>
              <w:rPr>
                <w:sz w:val="24"/>
                <w:szCs w:val="24"/>
              </w:rPr>
            </w:pPr>
            <w:r>
              <w:rPr>
                <w:rFonts w:hint="eastAsia"/>
                <w:sz w:val="24"/>
                <w:szCs w:val="24"/>
              </w:rPr>
              <w:t>（3）危险废物管理要求</w:t>
            </w:r>
          </w:p>
          <w:p>
            <w:pPr>
              <w:pStyle w:val="8"/>
              <w:snapToGrid/>
              <w:spacing w:after="0"/>
              <w:ind w:firstLine="480"/>
              <w:rPr>
                <w:sz w:val="24"/>
              </w:rPr>
            </w:pPr>
            <w:r>
              <w:rPr>
                <w:rFonts w:hint="eastAsia"/>
                <w:sz w:val="24"/>
              </w:rPr>
              <w:t>①危险废物贮存容器应满足以下要求:应当使用符合标准的容器盛装危险废物；装载危险废物的容器及材质要满足相应的强度要求；装载危险废物的容器必须完好无损；盛装危险废物的容器材质和衬里要与危险废物相容（不相互反应）。</w:t>
            </w:r>
          </w:p>
          <w:p>
            <w:pPr>
              <w:pStyle w:val="8"/>
              <w:snapToGrid/>
              <w:spacing w:after="0"/>
              <w:ind w:firstLine="480"/>
              <w:rPr>
                <w:sz w:val="24"/>
              </w:rPr>
            </w:pPr>
            <w:r>
              <w:rPr>
                <w:rFonts w:hint="eastAsia"/>
                <w:sz w:val="24"/>
              </w:rPr>
              <w:t>②液态危险废物收集贮存</w:t>
            </w:r>
            <w:r>
              <w:rPr>
                <w:sz w:val="24"/>
              </w:rPr>
              <w:t>设施必须加盖</w:t>
            </w:r>
            <w:r>
              <w:rPr>
                <w:rFonts w:hint="eastAsia"/>
                <w:sz w:val="24"/>
              </w:rPr>
              <w:t>密闭</w:t>
            </w:r>
            <w:r>
              <w:rPr>
                <w:sz w:val="24"/>
              </w:rPr>
              <w:t>，</w:t>
            </w:r>
            <w:r>
              <w:rPr>
                <w:rFonts w:hint="eastAsia"/>
                <w:sz w:val="24"/>
              </w:rPr>
              <w:t>收集设施</w:t>
            </w:r>
            <w:r>
              <w:rPr>
                <w:sz w:val="24"/>
              </w:rPr>
              <w:t>须</w:t>
            </w:r>
            <w:r>
              <w:rPr>
                <w:rFonts w:hint="eastAsia"/>
                <w:sz w:val="24"/>
              </w:rPr>
              <w:t>置于</w:t>
            </w:r>
            <w:r>
              <w:rPr>
                <w:sz w:val="24"/>
              </w:rPr>
              <w:t>带沿托盘</w:t>
            </w:r>
            <w:r>
              <w:rPr>
                <w:rFonts w:hint="eastAsia"/>
                <w:sz w:val="24"/>
              </w:rPr>
              <w:t>之上</w:t>
            </w:r>
            <w:r>
              <w:rPr>
                <w:sz w:val="24"/>
              </w:rPr>
              <w:t>，且重量不能超过托盘最大承重值得</w:t>
            </w:r>
            <w:r>
              <w:rPr>
                <w:rFonts w:hint="eastAsia"/>
                <w:sz w:val="24"/>
              </w:rPr>
              <w:t>2/3。废</w:t>
            </w:r>
            <w:r>
              <w:rPr>
                <w:sz w:val="24"/>
              </w:rPr>
              <w:t>铅蓄电池必须使用塑料托盘防范破损</w:t>
            </w:r>
            <w:r>
              <w:rPr>
                <w:rFonts w:hint="eastAsia"/>
                <w:sz w:val="24"/>
              </w:rPr>
              <w:t>电池</w:t>
            </w:r>
            <w:r>
              <w:rPr>
                <w:sz w:val="24"/>
              </w:rPr>
              <w:t>逸漏</w:t>
            </w:r>
            <w:r>
              <w:rPr>
                <w:rFonts w:hint="eastAsia"/>
                <w:sz w:val="24"/>
              </w:rPr>
              <w:t>的</w:t>
            </w:r>
            <w:r>
              <w:rPr>
                <w:sz w:val="24"/>
              </w:rPr>
              <w:t>酸液。</w:t>
            </w:r>
          </w:p>
          <w:p>
            <w:pPr>
              <w:pStyle w:val="8"/>
              <w:snapToGrid/>
              <w:spacing w:after="0"/>
              <w:ind w:firstLine="480"/>
              <w:rPr>
                <w:sz w:val="24"/>
              </w:rPr>
            </w:pPr>
            <w:r>
              <w:rPr>
                <w:rFonts w:hint="eastAsia"/>
                <w:sz w:val="24"/>
              </w:rPr>
              <w:t>③危险危废存储是严禁与其他固废混合存放，堆放时宜按危废种类分类堆放。对危险废物进行密闭包装。并应严格按照《危险废物贮存污染控制标准》(GB18597-2001)及其2013年修改单和《危险废物转移联单管理办法》中的规定，设管理制度，责任落实到具体度负责人，并设台账进行管理和登记，做好转移联单。</w:t>
            </w:r>
          </w:p>
          <w:p>
            <w:pPr>
              <w:ind w:firstLine="480"/>
              <w:rPr>
                <w:rFonts w:ascii="宋体" w:hAnsi="宋体" w:cs="宋体"/>
                <w:sz w:val="24"/>
                <w:szCs w:val="24"/>
              </w:rPr>
            </w:pPr>
            <w:r>
              <w:rPr>
                <w:rFonts w:hint="eastAsia"/>
                <w:sz w:val="24"/>
              </w:rPr>
              <w:t>④危险暂存场所和暂存危险废物的容器上必须粘贴符合《危险废物贮存污染控制标准》</w:t>
            </w:r>
            <w:r>
              <w:rPr>
                <w:rFonts w:hint="eastAsia" w:ascii="宋体" w:hAnsi="宋体"/>
                <w:sz w:val="24"/>
              </w:rPr>
              <w:t>(</w:t>
            </w:r>
            <w:r>
              <w:rPr>
                <w:rFonts w:hint="eastAsia"/>
                <w:sz w:val="24"/>
              </w:rPr>
              <w:t>GB18597-2001</w:t>
            </w:r>
            <w:r>
              <w:rPr>
                <w:rFonts w:hint="eastAsia" w:ascii="宋体" w:hAnsi="宋体"/>
                <w:sz w:val="24"/>
              </w:rPr>
              <w:t>)</w:t>
            </w:r>
            <w:r>
              <w:rPr>
                <w:rFonts w:hint="eastAsia"/>
                <w:sz w:val="24"/>
              </w:rPr>
              <w:t>附录A所示的标签。</w:t>
            </w:r>
          </w:p>
          <w:p>
            <w:pPr>
              <w:ind w:firstLine="480"/>
              <w:rPr>
                <w:sz w:val="24"/>
                <w:szCs w:val="24"/>
              </w:rPr>
            </w:pPr>
            <w:r>
              <w:rPr>
                <w:rFonts w:hint="eastAsia" w:ascii="宋体" w:hAnsi="宋体" w:cs="宋体"/>
                <w:sz w:val="24"/>
                <w:szCs w:val="24"/>
              </w:rPr>
              <w:t>⑤</w:t>
            </w:r>
            <w:r>
              <w:rPr>
                <w:sz w:val="24"/>
                <w:szCs w:val="24"/>
              </w:rPr>
              <w:t>危废暂存间按照《危险废物贮存污染控制标准》（GB18597-2001）及其修改单中有关要求进行防渗处理，使渗透系数低于10</w:t>
            </w:r>
            <w:r>
              <w:rPr>
                <w:sz w:val="24"/>
                <w:szCs w:val="24"/>
                <w:vertAlign w:val="superscript"/>
              </w:rPr>
              <w:t>-10</w:t>
            </w:r>
            <w:r>
              <w:rPr>
                <w:sz w:val="24"/>
                <w:szCs w:val="24"/>
              </w:rPr>
              <w:t>cm/s，危废间满足安全设计要求，具有防渗、防雨、防盗、防风、防晒功能，有专人看管，设有警示标志，并制定完善的台账、保障制度，符合《中华人民共和国固体废物污染环境防治法》和《危险废物贮存污染控制标准》（GB18597-2001）及其修改单的有关规定要求。</w:t>
            </w:r>
          </w:p>
          <w:p>
            <w:pPr>
              <w:ind w:firstLine="480"/>
              <w:rPr>
                <w:sz w:val="24"/>
                <w:szCs w:val="24"/>
              </w:rPr>
            </w:pPr>
            <w:r>
              <w:rPr>
                <w:rFonts w:hint="eastAsia"/>
                <w:sz w:val="24"/>
                <w:szCs w:val="24"/>
              </w:rPr>
              <w:t>⑥</w:t>
            </w:r>
            <w:r>
              <w:rPr>
                <w:sz w:val="24"/>
                <w:szCs w:val="24"/>
              </w:rPr>
              <w:t>危险废物出厂运输应采取危险废物转移联单制度，保证运输安全，防止非法转移和非法处理，保证危险废物的安全监控，防止危险废物污染事故发生。</w:t>
            </w:r>
          </w:p>
          <w:p>
            <w:pPr>
              <w:ind w:firstLine="480"/>
              <w:rPr>
                <w:sz w:val="24"/>
                <w:szCs w:val="24"/>
              </w:rPr>
            </w:pPr>
            <w:r>
              <w:rPr>
                <w:sz w:val="24"/>
                <w:szCs w:val="24"/>
              </w:rPr>
              <w:t>环评要求，项目运营</w:t>
            </w:r>
            <w:r>
              <w:rPr>
                <w:rFonts w:hint="eastAsia"/>
                <w:sz w:val="24"/>
                <w:szCs w:val="24"/>
              </w:rPr>
              <w:t>期</w:t>
            </w:r>
            <w:r>
              <w:rPr>
                <w:sz w:val="24"/>
                <w:szCs w:val="24"/>
              </w:rPr>
              <w:t>，建设单位根据《危险废物贮存污染控制标准》（GB18597-2001）做好相应的贮存、转移等措施，并与有资质的单位签订委托处置协议。危险废物出厂运输应采取危险废物转移“五联单”制度，保证运输安全，防</w:t>
            </w:r>
            <w:r>
              <w:rPr>
                <w:rFonts w:hint="eastAsia"/>
                <w:sz w:val="24"/>
                <w:szCs w:val="24"/>
              </w:rPr>
              <w:t>止</w:t>
            </w:r>
            <w:r>
              <w:rPr>
                <w:sz w:val="24"/>
                <w:szCs w:val="24"/>
              </w:rPr>
              <w:t>非法转移和非法处理，保证危险废物的安全监控，防</w:t>
            </w:r>
            <w:r>
              <w:rPr>
                <w:rFonts w:hint="eastAsia"/>
                <w:sz w:val="24"/>
                <w:szCs w:val="24"/>
              </w:rPr>
              <w:t>止</w:t>
            </w:r>
            <w:r>
              <w:rPr>
                <w:sz w:val="24"/>
                <w:szCs w:val="24"/>
              </w:rPr>
              <w:t>危险废物污染事故发生。</w:t>
            </w:r>
          </w:p>
          <w:p>
            <w:pPr>
              <w:ind w:firstLine="480"/>
              <w:rPr>
                <w:sz w:val="24"/>
                <w:szCs w:val="24"/>
              </w:rPr>
            </w:pPr>
            <w:r>
              <w:rPr>
                <w:rFonts w:hint="eastAsia"/>
                <w:sz w:val="24"/>
                <w:szCs w:val="24"/>
              </w:rPr>
              <w:t>5、土壤</w:t>
            </w:r>
          </w:p>
          <w:p>
            <w:pPr>
              <w:ind w:firstLine="480"/>
              <w:rPr>
                <w:sz w:val="24"/>
              </w:rPr>
            </w:pPr>
            <w:r>
              <w:rPr>
                <w:rFonts w:hint="eastAsia" w:ascii="宋体" w:hAnsi="宋体" w:cs="宋体"/>
                <w:sz w:val="24"/>
              </w:rPr>
              <w:t>（1）</w:t>
            </w:r>
            <w:r>
              <w:rPr>
                <w:rFonts w:hint="eastAsia"/>
                <w:sz w:val="24"/>
              </w:rPr>
              <w:t>土壤</w:t>
            </w:r>
            <w:r>
              <w:rPr>
                <w:sz w:val="24"/>
              </w:rPr>
              <w:t>环境污染途径分析</w:t>
            </w:r>
          </w:p>
          <w:p>
            <w:pPr>
              <w:pStyle w:val="8"/>
              <w:spacing w:after="0"/>
              <w:ind w:firstLine="480"/>
              <w:rPr>
                <w:sz w:val="24"/>
              </w:rPr>
            </w:pPr>
            <w:r>
              <w:rPr>
                <w:rFonts w:hint="eastAsia"/>
                <w:sz w:val="24"/>
              </w:rPr>
              <w:t>本项目生产过程中涉及的工艺有拆解预处理（废油液、制冷剂抽取等）以及机动车拆解、切割等过程。对土壤的影响主要表现在：一般固体废物以及危险废物废等在厂区暂存过程中可能会出现渗漏或者是雨水淋溶液导致对土壤的污染，其次为项目生产车间产生的有机废气沉降可能导致的对土壤环境产生污染性的影响。</w:t>
            </w:r>
          </w:p>
          <w:p>
            <w:pPr>
              <w:pStyle w:val="8"/>
              <w:spacing w:after="0"/>
              <w:ind w:firstLine="480"/>
              <w:rPr>
                <w:sz w:val="24"/>
              </w:rPr>
            </w:pPr>
            <w:r>
              <w:rPr>
                <w:rFonts w:hint="eastAsia"/>
                <w:sz w:val="24"/>
              </w:rPr>
              <w:t>项目区存在的可能污染土壤的物质主要为废油液，收集的废油液存储于专用桶内，油桶置于托盘上，项目生产车间、危废暂存间等均进行防渗处理，因此，当包装桶破裂，废油液泄漏时可通过托盘得到收集，也可通过</w:t>
            </w:r>
            <w:r>
              <w:rPr>
                <w:sz w:val="24"/>
              </w:rPr>
              <w:t>导流槽流入</w:t>
            </w:r>
            <w:r>
              <w:rPr>
                <w:rFonts w:hint="eastAsia"/>
                <w:sz w:val="24"/>
              </w:rPr>
              <w:t>事故池</w:t>
            </w:r>
            <w:r>
              <w:rPr>
                <w:sz w:val="24"/>
              </w:rPr>
              <w:t>中，</w:t>
            </w:r>
            <w:r>
              <w:rPr>
                <w:rFonts w:hint="eastAsia"/>
                <w:sz w:val="24"/>
              </w:rPr>
              <w:t>不会下渗污染土壤。因此项目正常生产中无土壤污染途径，对项目区土壤环境影响较小。</w:t>
            </w:r>
          </w:p>
          <w:p>
            <w:pPr>
              <w:pStyle w:val="8"/>
              <w:spacing w:after="0"/>
              <w:ind w:firstLine="480"/>
              <w:rPr>
                <w:sz w:val="24"/>
              </w:rPr>
            </w:pPr>
            <w:r>
              <w:rPr>
                <w:rFonts w:hint="eastAsia"/>
                <w:sz w:val="24"/>
              </w:rPr>
              <w:t>（2）污染</w:t>
            </w:r>
            <w:r>
              <w:rPr>
                <w:sz w:val="24"/>
              </w:rPr>
              <w:t>预防与保护措施</w:t>
            </w:r>
          </w:p>
          <w:p>
            <w:pPr>
              <w:pStyle w:val="8"/>
              <w:spacing w:after="0"/>
              <w:ind w:firstLine="480"/>
              <w:rPr>
                <w:bCs/>
                <w:sz w:val="24"/>
              </w:rPr>
            </w:pPr>
            <w:r>
              <w:rPr>
                <w:rFonts w:hint="eastAsia"/>
                <w:bCs/>
                <w:sz w:val="24"/>
              </w:rPr>
              <w:t>①源头控制措施</w:t>
            </w:r>
          </w:p>
          <w:p>
            <w:pPr>
              <w:pStyle w:val="8"/>
              <w:kinsoku w:val="0"/>
              <w:overflowPunct w:val="0"/>
              <w:spacing w:after="0"/>
              <w:ind w:firstLine="480"/>
              <w:rPr>
                <w:sz w:val="24"/>
              </w:rPr>
            </w:pPr>
            <w:r>
              <w:rPr>
                <w:rFonts w:hint="eastAsia"/>
                <w:sz w:val="24"/>
              </w:rPr>
              <w:t>评价要求本项目运营后采取以下源头控制措施：</w:t>
            </w:r>
          </w:p>
          <w:p>
            <w:pPr>
              <w:pStyle w:val="8"/>
              <w:kinsoku w:val="0"/>
              <w:overflowPunct w:val="0"/>
              <w:spacing w:after="0"/>
              <w:ind w:firstLine="480"/>
              <w:rPr>
                <w:sz w:val="24"/>
              </w:rPr>
            </w:pPr>
            <w:r>
              <w:rPr>
                <w:rFonts w:hint="eastAsia" w:ascii="宋体" w:hAnsi="宋体" w:cs="宋体"/>
                <w:sz w:val="24"/>
              </w:rPr>
              <w:t>1）</w:t>
            </w:r>
            <w:r>
              <w:rPr>
                <w:rFonts w:hint="eastAsia"/>
                <w:sz w:val="24"/>
              </w:rPr>
              <w:t>对机动车拆解</w:t>
            </w:r>
            <w:r>
              <w:rPr>
                <w:sz w:val="24"/>
              </w:rPr>
              <w:t>车间</w:t>
            </w:r>
            <w:r>
              <w:rPr>
                <w:rFonts w:hint="eastAsia"/>
                <w:sz w:val="24"/>
              </w:rPr>
              <w:t>、危废暂存库等采取重点防渗措施，对厂区的道路、地面等进行硬化处理，防止废水发生“跑、冒、滴、漏”现象时污染土壤环境。</w:t>
            </w:r>
          </w:p>
          <w:p>
            <w:pPr>
              <w:pStyle w:val="8"/>
              <w:kinsoku w:val="0"/>
              <w:overflowPunct w:val="0"/>
              <w:spacing w:after="0"/>
              <w:ind w:firstLine="480"/>
              <w:rPr>
                <w:sz w:val="24"/>
              </w:rPr>
            </w:pPr>
            <w:r>
              <w:rPr>
                <w:rFonts w:hint="eastAsia" w:ascii="宋体" w:hAnsi="宋体" w:cs="宋体"/>
                <w:sz w:val="24"/>
              </w:rPr>
              <w:t>2）</w:t>
            </w:r>
            <w:r>
              <w:rPr>
                <w:rFonts w:hint="eastAsia"/>
                <w:sz w:val="24"/>
              </w:rPr>
              <w:t>对于所有管线等均采取防渗措施，如对地面进行碾压、夯实，并在地下设置防渗材料等，管道管材使用防腐材料，防止具有腐蚀性的液体泄露污染地下水，以保护厂址附近的土壤。</w:t>
            </w:r>
          </w:p>
          <w:p>
            <w:pPr>
              <w:pStyle w:val="8"/>
              <w:kinsoku w:val="0"/>
              <w:overflowPunct w:val="0"/>
              <w:spacing w:after="0"/>
              <w:ind w:firstLine="480"/>
              <w:rPr>
                <w:sz w:val="24"/>
              </w:rPr>
            </w:pPr>
            <w:r>
              <w:rPr>
                <w:rFonts w:hint="eastAsia" w:ascii="宋体" w:hAnsi="宋体" w:cs="宋体"/>
                <w:sz w:val="24"/>
              </w:rPr>
              <w:t>3）</w:t>
            </w:r>
            <w:r>
              <w:rPr>
                <w:rFonts w:hint="eastAsia"/>
                <w:sz w:val="24"/>
              </w:rPr>
              <w:t>在生产过程中做好对设备的维护、检修，切实杜绝“跑、冒、滴、漏”现象发生，同时，应加强关键部位的安全防护、警报措施，以便及时发现事故隐患，采取有效的应对措施以防事故的发生。</w:t>
            </w:r>
          </w:p>
          <w:p>
            <w:pPr>
              <w:pStyle w:val="8"/>
              <w:kinsoku w:val="0"/>
              <w:overflowPunct w:val="0"/>
              <w:spacing w:after="0"/>
              <w:ind w:firstLine="480"/>
              <w:rPr>
                <w:sz w:val="24"/>
              </w:rPr>
            </w:pPr>
            <w:r>
              <w:rPr>
                <w:rFonts w:hint="eastAsia" w:ascii="宋体" w:hAnsi="宋体" w:cs="宋体"/>
                <w:sz w:val="24"/>
              </w:rPr>
              <w:t>4）</w:t>
            </w:r>
            <w:r>
              <w:rPr>
                <w:rFonts w:hint="eastAsia"/>
                <w:sz w:val="24"/>
              </w:rPr>
              <w:t>加强对危险废物的管理，禁止随意堆放，要求危险废物收集后，放置在危废暂存间，减少危废</w:t>
            </w:r>
            <w:r>
              <w:rPr>
                <w:sz w:val="24"/>
              </w:rPr>
              <w:t>转移频次，避免大量</w:t>
            </w:r>
            <w:r>
              <w:rPr>
                <w:rFonts w:hint="eastAsia"/>
                <w:sz w:val="24"/>
              </w:rPr>
              <w:t>堆积。</w:t>
            </w:r>
          </w:p>
          <w:p>
            <w:pPr>
              <w:pStyle w:val="8"/>
              <w:spacing w:after="0"/>
              <w:ind w:firstLine="480"/>
              <w:rPr>
                <w:bCs/>
                <w:sz w:val="24"/>
              </w:rPr>
            </w:pPr>
            <w:r>
              <w:rPr>
                <w:rFonts w:hint="eastAsia"/>
                <w:bCs/>
                <w:sz w:val="24"/>
              </w:rPr>
              <w:t>②过程防控措施</w:t>
            </w:r>
          </w:p>
          <w:p>
            <w:pPr>
              <w:pStyle w:val="8"/>
              <w:kinsoku w:val="0"/>
              <w:overflowPunct w:val="0"/>
              <w:spacing w:after="0"/>
              <w:ind w:firstLine="480"/>
              <w:rPr>
                <w:sz w:val="24"/>
              </w:rPr>
            </w:pPr>
            <w:r>
              <w:rPr>
                <w:rFonts w:hint="eastAsia"/>
                <w:sz w:val="24"/>
              </w:rPr>
              <w:t>项目涉及大气沉降影响，应在占地范围内采取绿化措施，种植植被对有机废气有较强吸附能力的植物。严格落实厂区防渗措施，防止土壤环境的污染。</w:t>
            </w:r>
          </w:p>
          <w:p>
            <w:pPr>
              <w:pStyle w:val="8"/>
              <w:spacing w:after="0"/>
              <w:ind w:firstLine="480"/>
              <w:rPr>
                <w:sz w:val="24"/>
              </w:rPr>
            </w:pPr>
            <w:r>
              <w:rPr>
                <w:rFonts w:hint="eastAsia"/>
                <w:sz w:val="24"/>
              </w:rPr>
              <w:t>③</w:t>
            </w:r>
            <w:r>
              <w:rPr>
                <w:sz w:val="24"/>
              </w:rPr>
              <w:t>监测</w:t>
            </w:r>
            <w:r>
              <w:rPr>
                <w:rFonts w:hint="eastAsia"/>
                <w:sz w:val="24"/>
              </w:rPr>
              <w:t>计划</w:t>
            </w:r>
          </w:p>
          <w:p>
            <w:pPr>
              <w:pStyle w:val="8"/>
              <w:spacing w:after="0"/>
              <w:ind w:firstLine="480"/>
              <w:rPr>
                <w:sz w:val="24"/>
              </w:rPr>
            </w:pPr>
            <w:r>
              <w:rPr>
                <w:rFonts w:hint="eastAsia"/>
                <w:sz w:val="24"/>
              </w:rPr>
              <w:t>环评要求企业建立跟踪监测制度，按照要求定期进行土壤环境监测，以便及时发现问题，采取措施。项目跟踪监测土壤设置</w:t>
            </w:r>
            <w:r>
              <w:rPr>
                <w:sz w:val="24"/>
              </w:rPr>
              <w:t>2</w:t>
            </w:r>
            <w:r>
              <w:rPr>
                <w:rFonts w:hint="eastAsia"/>
                <w:sz w:val="24"/>
              </w:rPr>
              <w:t>个监测点，监测计划表见表</w:t>
            </w:r>
            <w:r>
              <w:rPr>
                <w:sz w:val="24"/>
              </w:rPr>
              <w:t>4-</w:t>
            </w:r>
            <w:r>
              <w:rPr>
                <w:rFonts w:hint="eastAsia"/>
                <w:sz w:val="24"/>
              </w:rPr>
              <w:t>20。</w:t>
            </w:r>
          </w:p>
          <w:p>
            <w:pPr>
              <w:spacing w:line="240" w:lineRule="auto"/>
              <w:ind w:firstLine="0" w:firstLineChars="0"/>
              <w:jc w:val="center"/>
              <w:rPr>
                <w:b/>
                <w:sz w:val="24"/>
              </w:rPr>
            </w:pPr>
            <w:r>
              <w:rPr>
                <w:rFonts w:hint="eastAsia"/>
                <w:b/>
                <w:sz w:val="24"/>
              </w:rPr>
              <w:t>表</w:t>
            </w:r>
            <w:r>
              <w:rPr>
                <w:b/>
                <w:sz w:val="24"/>
              </w:rPr>
              <w:t>4-</w:t>
            </w:r>
            <w:r>
              <w:rPr>
                <w:rFonts w:hint="eastAsia"/>
                <w:b/>
                <w:sz w:val="24"/>
              </w:rPr>
              <w:t>20</w:t>
            </w:r>
            <w:r>
              <w:rPr>
                <w:b/>
                <w:sz w:val="24"/>
              </w:rPr>
              <w:t xml:space="preserve">  </w:t>
            </w:r>
            <w:r>
              <w:rPr>
                <w:rFonts w:hint="eastAsia"/>
                <w:b/>
                <w:sz w:val="24"/>
              </w:rPr>
              <w:t>项目土壤跟踪监测计划表</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4"/>
              <w:gridCol w:w="1714"/>
              <w:gridCol w:w="1559"/>
              <w:gridCol w:w="2835"/>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74"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监测点位</w:t>
                  </w:r>
                </w:p>
              </w:tc>
              <w:tc>
                <w:tcPr>
                  <w:tcW w:w="1714"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位置</w:t>
                  </w:r>
                </w:p>
              </w:tc>
              <w:tc>
                <w:tcPr>
                  <w:tcW w:w="1559"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样点类型</w:t>
                  </w:r>
                </w:p>
              </w:tc>
              <w:tc>
                <w:tcPr>
                  <w:tcW w:w="2835"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土壤监测因子</w:t>
                  </w:r>
                </w:p>
              </w:tc>
              <w:tc>
                <w:tcPr>
                  <w:tcW w:w="1118"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74"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1#</w:t>
                  </w:r>
                </w:p>
              </w:tc>
              <w:tc>
                <w:tcPr>
                  <w:tcW w:w="1714" w:type="dxa"/>
                  <w:shd w:val="clear" w:color="auto" w:fill="auto"/>
                  <w:vAlign w:val="center"/>
                </w:tcPr>
                <w:p>
                  <w:pPr>
                    <w:pStyle w:val="55"/>
                    <w:kinsoku w:val="0"/>
                    <w:overflowPunct w:val="0"/>
                    <w:adjustRightInd w:val="0"/>
                    <w:snapToGrid w:val="0"/>
                    <w:rPr>
                      <w:rFonts w:ascii="Times New Roman" w:cs="Times New Roman" w:eastAsiaTheme="minorEastAsia"/>
                      <w:sz w:val="21"/>
                      <w:szCs w:val="21"/>
                      <w:lang w:eastAsia="zh-CN"/>
                    </w:rPr>
                  </w:pPr>
                  <w:r>
                    <w:rPr>
                      <w:rFonts w:hint="eastAsia"/>
                      <w:sz w:val="21"/>
                      <w:szCs w:val="21"/>
                      <w:lang w:eastAsia="zh-CN"/>
                    </w:rPr>
                    <w:t>危废暂存间周边空地处</w:t>
                  </w:r>
                </w:p>
              </w:tc>
              <w:tc>
                <w:tcPr>
                  <w:tcW w:w="1559"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表层样点</w:t>
                  </w:r>
                </w:p>
              </w:tc>
              <w:tc>
                <w:tcPr>
                  <w:tcW w:w="2835" w:type="dxa"/>
                  <w:shd w:val="clear" w:color="auto" w:fill="auto"/>
                  <w:vAlign w:val="center"/>
                </w:tcPr>
                <w:p>
                  <w:pPr>
                    <w:pStyle w:val="55"/>
                    <w:kinsoku w:val="0"/>
                    <w:overflowPunct w:val="0"/>
                    <w:adjustRightInd w:val="0"/>
                    <w:snapToGrid w:val="0"/>
                    <w:rPr>
                      <w:sz w:val="21"/>
                      <w:szCs w:val="21"/>
                      <w:lang w:eastAsia="zh-CN"/>
                    </w:rPr>
                  </w:pPr>
                  <w:r>
                    <w:rPr>
                      <w:rFonts w:hint="eastAsia"/>
                      <w:sz w:val="21"/>
                      <w:szCs w:val="21"/>
                      <w:lang w:eastAsia="zh-CN"/>
                    </w:rPr>
                    <w:t>建设用地</w:t>
                  </w:r>
                  <w:r>
                    <w:rPr>
                      <w:rFonts w:ascii="Times New Roman" w:cs="Times New Roman"/>
                      <w:sz w:val="21"/>
                      <w:szCs w:val="21"/>
                      <w:lang w:eastAsia="zh-CN"/>
                    </w:rPr>
                    <w:t>GB36600</w:t>
                  </w:r>
                  <w:r>
                    <w:rPr>
                      <w:rFonts w:hint="eastAsia"/>
                      <w:sz w:val="21"/>
                      <w:szCs w:val="21"/>
                      <w:lang w:eastAsia="zh-CN"/>
                    </w:rPr>
                    <w:t>标准中基本因子</w:t>
                  </w:r>
                  <w:r>
                    <w:rPr>
                      <w:rFonts w:ascii="Times New Roman" w:cs="Times New Roman"/>
                      <w:sz w:val="21"/>
                      <w:szCs w:val="21"/>
                      <w:lang w:eastAsia="zh-CN"/>
                    </w:rPr>
                    <w:t>45</w:t>
                  </w:r>
                  <w:r>
                    <w:rPr>
                      <w:rFonts w:hint="eastAsia"/>
                      <w:sz w:val="21"/>
                      <w:szCs w:val="21"/>
                      <w:lang w:eastAsia="zh-CN"/>
                    </w:rPr>
                    <w:t>个</w:t>
                  </w:r>
                  <w:r>
                    <w:rPr>
                      <w:rFonts w:ascii="Times New Roman" w:cs="Times New Roman"/>
                      <w:sz w:val="21"/>
                      <w:szCs w:val="21"/>
                      <w:lang w:eastAsia="zh-CN"/>
                    </w:rPr>
                    <w:t>+</w:t>
                  </w:r>
                  <w:r>
                    <w:rPr>
                      <w:rFonts w:hint="eastAsia"/>
                      <w:sz w:val="21"/>
                      <w:szCs w:val="21"/>
                      <w:lang w:eastAsia="zh-CN"/>
                    </w:rPr>
                    <w:t>石油烃</w:t>
                  </w:r>
                </w:p>
              </w:tc>
              <w:tc>
                <w:tcPr>
                  <w:tcW w:w="1118" w:type="dxa"/>
                  <w:vMerge w:val="restart"/>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1</w:t>
                  </w:r>
                  <w:r>
                    <w:rPr>
                      <w:rFonts w:hint="eastAsia"/>
                      <w:sz w:val="21"/>
                      <w:szCs w:val="21"/>
                    </w:rPr>
                    <w:t>次</w:t>
                  </w:r>
                  <w:r>
                    <w:rPr>
                      <w:rFonts w:ascii="Times New Roman" w:cs="Times New Roman"/>
                      <w:sz w:val="21"/>
                      <w:szCs w:val="21"/>
                    </w:rPr>
                    <w:t>/5</w:t>
                  </w:r>
                  <w:r>
                    <w:rPr>
                      <w:rFonts w:hint="eastAsia"/>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74"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2#</w:t>
                  </w:r>
                </w:p>
              </w:tc>
              <w:tc>
                <w:tcPr>
                  <w:tcW w:w="1714" w:type="dxa"/>
                  <w:shd w:val="clear" w:color="auto" w:fill="auto"/>
                  <w:vAlign w:val="center"/>
                </w:tcPr>
                <w:p>
                  <w:pPr>
                    <w:pStyle w:val="55"/>
                    <w:kinsoku w:val="0"/>
                    <w:overflowPunct w:val="0"/>
                    <w:adjustRightInd w:val="0"/>
                    <w:snapToGrid w:val="0"/>
                    <w:rPr>
                      <w:rFonts w:ascii="Times New Roman" w:cs="Times New Roman" w:eastAsiaTheme="minorEastAsia"/>
                      <w:sz w:val="21"/>
                      <w:szCs w:val="21"/>
                      <w:lang w:eastAsia="zh-CN"/>
                    </w:rPr>
                  </w:pPr>
                  <w:r>
                    <w:rPr>
                      <w:rFonts w:hint="eastAsia"/>
                      <w:sz w:val="21"/>
                      <w:szCs w:val="21"/>
                      <w:lang w:eastAsia="zh-CN"/>
                    </w:rPr>
                    <w:t>机动车拆解车间周边空地处</w:t>
                  </w:r>
                </w:p>
              </w:tc>
              <w:tc>
                <w:tcPr>
                  <w:tcW w:w="1559"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表层样点</w:t>
                  </w:r>
                </w:p>
              </w:tc>
              <w:tc>
                <w:tcPr>
                  <w:tcW w:w="2835"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石油烃</w:t>
                  </w:r>
                </w:p>
              </w:tc>
              <w:tc>
                <w:tcPr>
                  <w:tcW w:w="1118" w:type="dxa"/>
                  <w:vMerge w:val="continue"/>
                  <w:shd w:val="clear" w:color="auto" w:fill="auto"/>
                  <w:vAlign w:val="center"/>
                </w:tcPr>
                <w:p>
                  <w:pPr>
                    <w:pStyle w:val="55"/>
                    <w:kinsoku w:val="0"/>
                    <w:overflowPunct w:val="0"/>
                    <w:adjustRightInd w:val="0"/>
                    <w:snapToGrid w:val="0"/>
                    <w:rPr>
                      <w:rFonts w:asci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300" w:type="dxa"/>
                  <w:gridSpan w:val="5"/>
                  <w:shd w:val="clear" w:color="auto" w:fill="auto"/>
                  <w:vAlign w:val="center"/>
                </w:tcPr>
                <w:p>
                  <w:pPr>
                    <w:pStyle w:val="55"/>
                    <w:kinsoku w:val="0"/>
                    <w:overflowPunct w:val="0"/>
                    <w:adjustRightInd w:val="0"/>
                    <w:snapToGrid w:val="0"/>
                    <w:jc w:val="both"/>
                    <w:rPr>
                      <w:rFonts w:ascii="Times New Roman" w:cs="Times New Roman" w:eastAsiaTheme="minorEastAsia"/>
                      <w:b/>
                      <w:sz w:val="21"/>
                      <w:szCs w:val="21"/>
                      <w:lang w:eastAsia="zh-CN"/>
                    </w:rPr>
                  </w:pPr>
                  <w:r>
                    <w:rPr>
                      <w:rFonts w:hint="eastAsia"/>
                      <w:b/>
                      <w:sz w:val="21"/>
                      <w:szCs w:val="21"/>
                      <w:lang w:eastAsia="zh-CN"/>
                    </w:rPr>
                    <w:t>备注：表层样在</w:t>
                  </w:r>
                  <w:r>
                    <w:rPr>
                      <w:rFonts w:ascii="Times New Roman" w:cs="Times New Roman"/>
                      <w:b/>
                      <w:sz w:val="21"/>
                      <w:szCs w:val="21"/>
                      <w:lang w:eastAsia="zh-CN"/>
                    </w:rPr>
                    <w:t>0~0.2m</w:t>
                  </w:r>
                  <w:r>
                    <w:rPr>
                      <w:rFonts w:hint="eastAsia"/>
                      <w:b/>
                      <w:sz w:val="21"/>
                      <w:szCs w:val="21"/>
                      <w:lang w:eastAsia="zh-CN"/>
                    </w:rPr>
                    <w:t>取样。</w:t>
                  </w:r>
                </w:p>
              </w:tc>
            </w:tr>
          </w:tbl>
          <w:p>
            <w:pPr>
              <w:ind w:firstLine="480"/>
              <w:rPr>
                <w:sz w:val="24"/>
                <w:szCs w:val="24"/>
              </w:rPr>
            </w:pPr>
            <w:r>
              <w:rPr>
                <w:sz w:val="24"/>
                <w:szCs w:val="24"/>
              </w:rPr>
              <w:t>6</w:t>
            </w:r>
            <w:r>
              <w:rPr>
                <w:rFonts w:hint="eastAsia"/>
                <w:sz w:val="24"/>
                <w:szCs w:val="24"/>
              </w:rPr>
              <w:t>、地下水</w:t>
            </w:r>
          </w:p>
          <w:p>
            <w:pPr>
              <w:widowControl/>
              <w:ind w:firstLine="480"/>
              <w:rPr>
                <w:sz w:val="24"/>
              </w:rPr>
            </w:pPr>
            <w:r>
              <w:rPr>
                <w:rFonts w:hint="eastAsia"/>
                <w:sz w:val="24"/>
              </w:rPr>
              <w:t>由于项目500m范围内不存在集中式饮用水源和热水、矿泉水、温泉等地下水资源保护目标，且本项目为租用厂房，厂房已建设完成，主要作业区已硬化，故本评价不再进行污染途径分析，只提出分区防渗措施。</w:t>
            </w:r>
          </w:p>
          <w:p>
            <w:pPr>
              <w:spacing w:line="240" w:lineRule="auto"/>
              <w:ind w:firstLine="482"/>
              <w:jc w:val="center"/>
              <w:rPr>
                <w:b/>
                <w:bCs/>
                <w:sz w:val="24"/>
                <w:szCs w:val="24"/>
              </w:rPr>
            </w:pPr>
            <w:r>
              <w:rPr>
                <w:b/>
                <w:bCs/>
                <w:sz w:val="24"/>
                <w:szCs w:val="24"/>
              </w:rPr>
              <w:t>表</w:t>
            </w:r>
            <w:r>
              <w:rPr>
                <w:rFonts w:hint="eastAsia"/>
                <w:b/>
                <w:bCs/>
                <w:sz w:val="24"/>
                <w:szCs w:val="24"/>
              </w:rPr>
              <w:t>4-21</w:t>
            </w:r>
            <w:r>
              <w:rPr>
                <w:b/>
                <w:bCs/>
                <w:sz w:val="24"/>
                <w:szCs w:val="24"/>
              </w:rPr>
              <w:t xml:space="preserve">  分区防渗情况一览表</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442"/>
              <w:gridCol w:w="1260"/>
              <w:gridCol w:w="3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84" w:type="dxa"/>
                  <w:shd w:val="pct10" w:color="auto" w:fill="auto"/>
                  <w:vAlign w:val="center"/>
                </w:tcPr>
                <w:p>
                  <w:pPr>
                    <w:topLinePunct w:val="0"/>
                    <w:spacing w:line="240" w:lineRule="auto"/>
                    <w:ind w:firstLine="0" w:firstLineChars="0"/>
                    <w:jc w:val="center"/>
                    <w:rPr>
                      <w:b/>
                      <w:szCs w:val="21"/>
                    </w:rPr>
                  </w:pPr>
                  <w:r>
                    <w:rPr>
                      <w:b/>
                      <w:szCs w:val="21"/>
                    </w:rPr>
                    <w:t>分区</w:t>
                  </w:r>
                </w:p>
              </w:tc>
              <w:tc>
                <w:tcPr>
                  <w:tcW w:w="2442" w:type="dxa"/>
                  <w:shd w:val="pct10" w:color="auto" w:fill="auto"/>
                  <w:vAlign w:val="center"/>
                </w:tcPr>
                <w:p>
                  <w:pPr>
                    <w:topLinePunct w:val="0"/>
                    <w:spacing w:line="240" w:lineRule="auto"/>
                    <w:ind w:firstLine="0" w:firstLineChars="0"/>
                    <w:jc w:val="center"/>
                    <w:rPr>
                      <w:b/>
                      <w:szCs w:val="21"/>
                    </w:rPr>
                  </w:pPr>
                  <w:r>
                    <w:rPr>
                      <w:rFonts w:hint="eastAsia"/>
                      <w:b/>
                      <w:szCs w:val="21"/>
                    </w:rPr>
                    <w:t>防渗区域</w:t>
                  </w:r>
                </w:p>
              </w:tc>
              <w:tc>
                <w:tcPr>
                  <w:tcW w:w="1260" w:type="dxa"/>
                  <w:shd w:val="pct10" w:color="auto" w:fill="auto"/>
                  <w:vAlign w:val="center"/>
                </w:tcPr>
                <w:p>
                  <w:pPr>
                    <w:topLinePunct w:val="0"/>
                    <w:spacing w:line="240" w:lineRule="auto"/>
                    <w:ind w:firstLine="0" w:firstLineChars="0"/>
                    <w:jc w:val="center"/>
                    <w:rPr>
                      <w:b/>
                      <w:szCs w:val="21"/>
                    </w:rPr>
                  </w:pPr>
                  <w:r>
                    <w:rPr>
                      <w:b/>
                      <w:szCs w:val="21"/>
                    </w:rPr>
                    <w:t>防渗</w:t>
                  </w:r>
                  <w:r>
                    <w:rPr>
                      <w:rFonts w:hint="eastAsia"/>
                      <w:b/>
                      <w:szCs w:val="21"/>
                    </w:rPr>
                    <w:t>位置</w:t>
                  </w:r>
                </w:p>
              </w:tc>
              <w:tc>
                <w:tcPr>
                  <w:tcW w:w="3514" w:type="dxa"/>
                  <w:shd w:val="pct10" w:color="auto" w:fill="auto"/>
                  <w:vAlign w:val="center"/>
                </w:tcPr>
                <w:p>
                  <w:pPr>
                    <w:topLinePunct w:val="0"/>
                    <w:spacing w:line="240" w:lineRule="auto"/>
                    <w:ind w:firstLine="0" w:firstLineChars="0"/>
                    <w:jc w:val="center"/>
                    <w:rPr>
                      <w:b/>
                      <w:szCs w:val="21"/>
                    </w:rPr>
                  </w:pPr>
                  <w:r>
                    <w:rPr>
                      <w:rFonts w:hint="eastAsia"/>
                      <w:b/>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84" w:type="dxa"/>
                  <w:vAlign w:val="center"/>
                </w:tcPr>
                <w:p>
                  <w:pPr>
                    <w:spacing w:line="240" w:lineRule="auto"/>
                    <w:ind w:firstLine="0" w:firstLineChars="0"/>
                    <w:jc w:val="center"/>
                    <w:rPr>
                      <w:szCs w:val="21"/>
                    </w:rPr>
                  </w:pPr>
                  <w:r>
                    <w:rPr>
                      <w:rFonts w:hint="eastAsia"/>
                      <w:szCs w:val="21"/>
                    </w:rPr>
                    <w:t>重点</w:t>
                  </w:r>
                </w:p>
                <w:p>
                  <w:pPr>
                    <w:spacing w:line="240" w:lineRule="auto"/>
                    <w:ind w:firstLine="0" w:firstLineChars="0"/>
                    <w:jc w:val="center"/>
                    <w:rPr>
                      <w:szCs w:val="21"/>
                    </w:rPr>
                  </w:pPr>
                  <w:r>
                    <w:rPr>
                      <w:rFonts w:hint="eastAsia"/>
                      <w:szCs w:val="21"/>
                    </w:rPr>
                    <w:t>防渗区</w:t>
                  </w:r>
                </w:p>
              </w:tc>
              <w:tc>
                <w:tcPr>
                  <w:tcW w:w="2442" w:type="dxa"/>
                  <w:vAlign w:val="center"/>
                </w:tcPr>
                <w:p>
                  <w:pPr>
                    <w:spacing w:line="240" w:lineRule="auto"/>
                    <w:ind w:firstLine="0" w:firstLineChars="0"/>
                    <w:jc w:val="center"/>
                    <w:rPr>
                      <w:szCs w:val="21"/>
                    </w:rPr>
                  </w:pPr>
                  <w:r>
                    <w:rPr>
                      <w:rFonts w:hint="eastAsia"/>
                      <w:szCs w:val="21"/>
                    </w:rPr>
                    <w:t>拆解区</w:t>
                  </w:r>
                  <w:r>
                    <w:rPr>
                      <w:szCs w:val="21"/>
                    </w:rPr>
                    <w:t>、危废暂存间</w:t>
                  </w:r>
                </w:p>
              </w:tc>
              <w:tc>
                <w:tcPr>
                  <w:tcW w:w="1260" w:type="dxa"/>
                  <w:vAlign w:val="center"/>
                </w:tcPr>
                <w:p>
                  <w:pPr>
                    <w:spacing w:line="240" w:lineRule="auto"/>
                    <w:ind w:firstLine="0" w:firstLineChars="0"/>
                    <w:jc w:val="center"/>
                    <w:rPr>
                      <w:szCs w:val="21"/>
                    </w:rPr>
                  </w:pPr>
                  <w:r>
                    <w:rPr>
                      <w:rFonts w:hint="eastAsia"/>
                      <w:szCs w:val="21"/>
                    </w:rPr>
                    <w:t>地面</w:t>
                  </w:r>
                </w:p>
              </w:tc>
              <w:tc>
                <w:tcPr>
                  <w:tcW w:w="3514" w:type="dxa"/>
                  <w:vAlign w:val="center"/>
                </w:tcPr>
                <w:p>
                  <w:pPr>
                    <w:spacing w:line="240" w:lineRule="auto"/>
                    <w:ind w:firstLine="0" w:firstLineChars="0"/>
                    <w:jc w:val="center"/>
                    <w:rPr>
                      <w:szCs w:val="21"/>
                    </w:rPr>
                  </w:pPr>
                  <w:r>
                    <w:rPr>
                      <w:rFonts w:hint="eastAsia"/>
                      <w:bCs/>
                      <w:szCs w:val="21"/>
                    </w:rPr>
                    <w:t>采用防渗混凝土+环氧树脂进行防渗处理，防渗系数≤10</w:t>
                  </w:r>
                  <w:r>
                    <w:rPr>
                      <w:bCs/>
                      <w:szCs w:val="21"/>
                      <w:vertAlign w:val="superscript"/>
                    </w:rPr>
                    <w:t>-10</w:t>
                  </w:r>
                  <w:r>
                    <w:rPr>
                      <w:rFonts w:hint="eastAsia"/>
                      <w:bCs/>
                      <w:szCs w:val="21"/>
                    </w:rPr>
                    <w:t>cm/s，减少对地下水的影响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84" w:type="dxa"/>
                  <w:vAlign w:val="center"/>
                </w:tcPr>
                <w:p>
                  <w:pPr>
                    <w:topLinePunct w:val="0"/>
                    <w:spacing w:line="240" w:lineRule="auto"/>
                    <w:ind w:firstLine="0" w:firstLineChars="0"/>
                    <w:jc w:val="center"/>
                    <w:rPr>
                      <w:szCs w:val="21"/>
                    </w:rPr>
                  </w:pPr>
                  <w:r>
                    <w:rPr>
                      <w:szCs w:val="21"/>
                    </w:rPr>
                    <w:t>一般</w:t>
                  </w:r>
                </w:p>
                <w:p>
                  <w:pPr>
                    <w:topLinePunct w:val="0"/>
                    <w:spacing w:line="240" w:lineRule="auto"/>
                    <w:ind w:firstLine="0" w:firstLineChars="0"/>
                    <w:jc w:val="center"/>
                    <w:rPr>
                      <w:szCs w:val="21"/>
                    </w:rPr>
                  </w:pPr>
                  <w:r>
                    <w:rPr>
                      <w:szCs w:val="21"/>
                    </w:rPr>
                    <w:t>防渗区</w:t>
                  </w:r>
                </w:p>
              </w:tc>
              <w:tc>
                <w:tcPr>
                  <w:tcW w:w="2442" w:type="dxa"/>
                  <w:vAlign w:val="center"/>
                </w:tcPr>
                <w:p>
                  <w:pPr>
                    <w:spacing w:line="240" w:lineRule="auto"/>
                    <w:ind w:firstLine="0" w:firstLineChars="0"/>
                    <w:jc w:val="center"/>
                    <w:rPr>
                      <w:szCs w:val="21"/>
                    </w:rPr>
                  </w:pPr>
                  <w:r>
                    <w:rPr>
                      <w:rFonts w:hint="eastAsia"/>
                      <w:szCs w:val="21"/>
                    </w:rPr>
                    <w:t>报废车辆</w:t>
                  </w:r>
                  <w:r>
                    <w:rPr>
                      <w:szCs w:val="21"/>
                    </w:rPr>
                    <w:t>贮存区、</w:t>
                  </w:r>
                  <w:r>
                    <w:rPr>
                      <w:rFonts w:hint="eastAsia"/>
                      <w:szCs w:val="21"/>
                    </w:rPr>
                    <w:t>成品</w:t>
                  </w:r>
                  <w:r>
                    <w:rPr>
                      <w:szCs w:val="21"/>
                    </w:rPr>
                    <w:t>（</w:t>
                  </w:r>
                  <w:r>
                    <w:rPr>
                      <w:rFonts w:hint="eastAsia"/>
                      <w:szCs w:val="21"/>
                    </w:rPr>
                    <w:t>半成品</w:t>
                  </w:r>
                  <w:r>
                    <w:rPr>
                      <w:szCs w:val="21"/>
                    </w:rPr>
                    <w:t>）</w:t>
                  </w:r>
                  <w:r>
                    <w:rPr>
                      <w:rFonts w:hint="eastAsia"/>
                      <w:szCs w:val="21"/>
                    </w:rPr>
                    <w:t>存放区</w:t>
                  </w:r>
                  <w:r>
                    <w:rPr>
                      <w:szCs w:val="21"/>
                    </w:rPr>
                    <w:t>、</w:t>
                  </w:r>
                  <w:r>
                    <w:rPr>
                      <w:rFonts w:hint="eastAsia"/>
                      <w:szCs w:val="21"/>
                    </w:rPr>
                    <w:t>一般固废存放区</w:t>
                  </w:r>
                </w:p>
              </w:tc>
              <w:tc>
                <w:tcPr>
                  <w:tcW w:w="1260" w:type="dxa"/>
                  <w:vAlign w:val="center"/>
                </w:tcPr>
                <w:p>
                  <w:pPr>
                    <w:spacing w:line="240" w:lineRule="auto"/>
                    <w:ind w:firstLine="0" w:firstLineChars="0"/>
                    <w:jc w:val="center"/>
                    <w:rPr>
                      <w:szCs w:val="21"/>
                    </w:rPr>
                  </w:pPr>
                  <w:r>
                    <w:rPr>
                      <w:rFonts w:hint="eastAsia"/>
                      <w:szCs w:val="21"/>
                    </w:rPr>
                    <w:t>地面</w:t>
                  </w:r>
                </w:p>
              </w:tc>
              <w:tc>
                <w:tcPr>
                  <w:tcW w:w="3514" w:type="dxa"/>
                  <w:vAlign w:val="center"/>
                </w:tcPr>
                <w:p>
                  <w:pPr>
                    <w:spacing w:line="240" w:lineRule="auto"/>
                    <w:ind w:firstLine="0" w:firstLineChars="0"/>
                    <w:jc w:val="center"/>
                    <w:rPr>
                      <w:szCs w:val="21"/>
                    </w:rPr>
                  </w:pPr>
                  <w:r>
                    <w:rPr>
                      <w:rFonts w:hint="eastAsia"/>
                      <w:bCs/>
                      <w:szCs w:val="21"/>
                    </w:rPr>
                    <w:t>采用防渗混凝土+环氧树脂进行防渗处理，防渗系数≤10</w:t>
                  </w:r>
                  <w:r>
                    <w:rPr>
                      <w:bCs/>
                      <w:szCs w:val="21"/>
                      <w:vertAlign w:val="superscript"/>
                    </w:rPr>
                    <w:t>-</w:t>
                  </w:r>
                  <w:r>
                    <w:rPr>
                      <w:rFonts w:hint="eastAsia"/>
                      <w:bCs/>
                      <w:szCs w:val="21"/>
                      <w:vertAlign w:val="superscript"/>
                    </w:rPr>
                    <w:t>7</w:t>
                  </w:r>
                  <w:r>
                    <w:rPr>
                      <w:rFonts w:hint="eastAsia"/>
                      <w:bCs/>
                      <w:szCs w:val="21"/>
                    </w:rPr>
                    <w:t>cm/s，减少对地下水的影响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84" w:type="dxa"/>
                  <w:vAlign w:val="center"/>
                </w:tcPr>
                <w:p>
                  <w:pPr>
                    <w:topLinePunct w:val="0"/>
                    <w:spacing w:line="240" w:lineRule="auto"/>
                    <w:ind w:firstLine="0" w:firstLineChars="0"/>
                    <w:jc w:val="center"/>
                    <w:rPr>
                      <w:szCs w:val="21"/>
                    </w:rPr>
                  </w:pPr>
                  <w:r>
                    <w:rPr>
                      <w:rFonts w:hint="eastAsia"/>
                      <w:szCs w:val="21"/>
                    </w:rPr>
                    <w:t>简单</w:t>
                  </w:r>
                </w:p>
                <w:p>
                  <w:pPr>
                    <w:topLinePunct w:val="0"/>
                    <w:spacing w:line="240" w:lineRule="auto"/>
                    <w:ind w:firstLine="0" w:firstLineChars="0"/>
                    <w:jc w:val="center"/>
                    <w:rPr>
                      <w:szCs w:val="21"/>
                    </w:rPr>
                  </w:pPr>
                  <w:r>
                    <w:rPr>
                      <w:rFonts w:hint="eastAsia"/>
                      <w:szCs w:val="21"/>
                    </w:rPr>
                    <w:t>防渗区</w:t>
                  </w:r>
                </w:p>
              </w:tc>
              <w:tc>
                <w:tcPr>
                  <w:tcW w:w="2442" w:type="dxa"/>
                  <w:vAlign w:val="center"/>
                </w:tcPr>
                <w:p>
                  <w:pPr>
                    <w:spacing w:line="240" w:lineRule="auto"/>
                    <w:ind w:firstLine="0" w:firstLineChars="0"/>
                    <w:jc w:val="center"/>
                    <w:rPr>
                      <w:szCs w:val="21"/>
                    </w:rPr>
                  </w:pPr>
                  <w:r>
                    <w:rPr>
                      <w:rFonts w:hint="eastAsia"/>
                      <w:szCs w:val="21"/>
                    </w:rPr>
                    <w:t>办公区</w:t>
                  </w:r>
                </w:p>
              </w:tc>
              <w:tc>
                <w:tcPr>
                  <w:tcW w:w="1260" w:type="dxa"/>
                  <w:vAlign w:val="center"/>
                </w:tcPr>
                <w:p>
                  <w:pPr>
                    <w:spacing w:line="240" w:lineRule="auto"/>
                    <w:ind w:firstLine="0" w:firstLineChars="0"/>
                    <w:jc w:val="center"/>
                    <w:rPr>
                      <w:szCs w:val="21"/>
                    </w:rPr>
                  </w:pPr>
                  <w:r>
                    <w:rPr>
                      <w:rFonts w:hint="eastAsia"/>
                      <w:szCs w:val="21"/>
                    </w:rPr>
                    <w:t>一般</w:t>
                  </w:r>
                  <w:r>
                    <w:rPr>
                      <w:szCs w:val="21"/>
                    </w:rPr>
                    <w:t>地面硬化</w:t>
                  </w:r>
                </w:p>
              </w:tc>
              <w:tc>
                <w:tcPr>
                  <w:tcW w:w="3514" w:type="dxa"/>
                  <w:vAlign w:val="center"/>
                </w:tcPr>
                <w:p>
                  <w:pPr>
                    <w:spacing w:line="240" w:lineRule="auto"/>
                    <w:ind w:firstLine="0" w:firstLineChars="0"/>
                    <w:jc w:val="center"/>
                    <w:rPr>
                      <w:szCs w:val="21"/>
                    </w:rPr>
                  </w:pPr>
                  <w:r>
                    <w:rPr>
                      <w:rFonts w:hint="eastAsia"/>
                      <w:szCs w:val="21"/>
                    </w:rPr>
                    <w:t>采用混凝土地坪，对地下水产生影响轻微</w:t>
                  </w:r>
                </w:p>
              </w:tc>
            </w:tr>
          </w:tbl>
          <w:p>
            <w:pPr>
              <w:ind w:firstLine="480"/>
              <w:rPr>
                <w:sz w:val="24"/>
                <w:szCs w:val="24"/>
              </w:rPr>
            </w:pPr>
            <w:r>
              <w:rPr>
                <w:rFonts w:hint="eastAsia"/>
                <w:sz w:val="24"/>
                <w:szCs w:val="24"/>
              </w:rPr>
              <w:t>综上所述，企业在加强管理，强化防渗措施的前提下，可防止废水渗入地下水，不会对项目所在地地下水产生影响。</w:t>
            </w:r>
          </w:p>
          <w:p>
            <w:pPr>
              <w:ind w:firstLine="480"/>
            </w:pPr>
            <w:r>
              <w:rPr>
                <w:rFonts w:hint="eastAsia"/>
                <w:sz w:val="24"/>
                <w:szCs w:val="24"/>
              </w:rPr>
              <w:t>本项目设置1个地下水跟踪监测点位，位于项目东北侧，地下水跟踪监测计划见下表。</w:t>
            </w:r>
          </w:p>
          <w:p>
            <w:pPr>
              <w:spacing w:line="240" w:lineRule="auto"/>
              <w:ind w:firstLine="0" w:firstLineChars="0"/>
              <w:jc w:val="center"/>
              <w:rPr>
                <w:b/>
                <w:sz w:val="24"/>
              </w:rPr>
            </w:pPr>
            <w:r>
              <w:rPr>
                <w:rFonts w:hint="eastAsia"/>
                <w:b/>
                <w:sz w:val="24"/>
              </w:rPr>
              <w:t>表</w:t>
            </w:r>
            <w:r>
              <w:rPr>
                <w:b/>
                <w:sz w:val="24"/>
              </w:rPr>
              <w:t>4-</w:t>
            </w:r>
            <w:r>
              <w:rPr>
                <w:rFonts w:hint="eastAsia"/>
                <w:b/>
                <w:sz w:val="24"/>
              </w:rPr>
              <w:t>22</w:t>
            </w:r>
            <w:r>
              <w:rPr>
                <w:b/>
                <w:sz w:val="24"/>
              </w:rPr>
              <w:t xml:space="preserve">  </w:t>
            </w:r>
            <w:r>
              <w:rPr>
                <w:rFonts w:hint="eastAsia"/>
                <w:b/>
                <w:sz w:val="24"/>
              </w:rPr>
              <w:t>项目地下水跟踪监测计划表</w:t>
            </w:r>
          </w:p>
          <w:tbl>
            <w:tblPr>
              <w:tblStyle w:val="21"/>
              <w:tblW w:w="82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68"/>
              <w:gridCol w:w="4684"/>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768" w:type="dxa"/>
                  <w:shd w:val="pct10" w:color="auto" w:fill="auto"/>
                  <w:vAlign w:val="center"/>
                </w:tcPr>
                <w:p>
                  <w:pPr>
                    <w:pStyle w:val="55"/>
                    <w:kinsoku w:val="0"/>
                    <w:overflowPunct w:val="0"/>
                    <w:adjustRightInd w:val="0"/>
                    <w:snapToGrid w:val="0"/>
                    <w:rPr>
                      <w:rFonts w:ascii="Times New Roman" w:hAnsi="Times New Roman" w:cs="Times New Roman" w:eastAsiaTheme="minorEastAsia"/>
                      <w:b/>
                      <w:sz w:val="21"/>
                      <w:szCs w:val="21"/>
                    </w:rPr>
                  </w:pPr>
                  <w:r>
                    <w:rPr>
                      <w:rFonts w:ascii="Times New Roman" w:cs="Times New Roman"/>
                      <w:b/>
                      <w:sz w:val="21"/>
                      <w:szCs w:val="21"/>
                    </w:rPr>
                    <w:t>监测点位</w:t>
                  </w:r>
                </w:p>
              </w:tc>
              <w:tc>
                <w:tcPr>
                  <w:tcW w:w="4684" w:type="dxa"/>
                  <w:shd w:val="pct10" w:color="auto" w:fill="auto"/>
                  <w:vAlign w:val="center"/>
                </w:tcPr>
                <w:p>
                  <w:pPr>
                    <w:pStyle w:val="55"/>
                    <w:kinsoku w:val="0"/>
                    <w:overflowPunct w:val="0"/>
                    <w:adjustRightInd w:val="0"/>
                    <w:snapToGrid w:val="0"/>
                    <w:rPr>
                      <w:rFonts w:ascii="Times New Roman" w:hAnsi="Times New Roman" w:cs="Times New Roman" w:eastAsiaTheme="minorEastAsia"/>
                      <w:b/>
                      <w:sz w:val="21"/>
                      <w:szCs w:val="21"/>
                    </w:rPr>
                  </w:pPr>
                  <w:r>
                    <w:rPr>
                      <w:rFonts w:ascii="Times New Roman" w:cs="Times New Roman"/>
                      <w:b/>
                      <w:sz w:val="21"/>
                      <w:szCs w:val="21"/>
                      <w:lang w:eastAsia="zh-CN"/>
                    </w:rPr>
                    <w:t>地下水</w:t>
                  </w:r>
                  <w:r>
                    <w:rPr>
                      <w:rFonts w:ascii="Times New Roman" w:cs="Times New Roman"/>
                      <w:b/>
                      <w:sz w:val="21"/>
                      <w:szCs w:val="21"/>
                    </w:rPr>
                    <w:t>监测因子</w:t>
                  </w:r>
                </w:p>
              </w:tc>
              <w:tc>
                <w:tcPr>
                  <w:tcW w:w="1845" w:type="dxa"/>
                  <w:shd w:val="pct10" w:color="auto" w:fill="auto"/>
                  <w:vAlign w:val="center"/>
                </w:tcPr>
                <w:p>
                  <w:pPr>
                    <w:pStyle w:val="55"/>
                    <w:kinsoku w:val="0"/>
                    <w:overflowPunct w:val="0"/>
                    <w:adjustRightInd w:val="0"/>
                    <w:snapToGrid w:val="0"/>
                    <w:rPr>
                      <w:rFonts w:ascii="Times New Roman" w:hAnsi="Times New Roman" w:cs="Times New Roman" w:eastAsiaTheme="minorEastAsia"/>
                      <w:b/>
                      <w:sz w:val="21"/>
                      <w:szCs w:val="21"/>
                    </w:rPr>
                  </w:pPr>
                  <w:r>
                    <w:rPr>
                      <w:rFonts w:ascii="Times New Roman" w:cs="Times New Roman"/>
                      <w:b/>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768" w:type="dxa"/>
                  <w:shd w:val="clear" w:color="auto" w:fill="auto"/>
                  <w:vAlign w:val="center"/>
                </w:tcPr>
                <w:p>
                  <w:pPr>
                    <w:pStyle w:val="55"/>
                    <w:kinsoku w:val="0"/>
                    <w:overflowPunct w:val="0"/>
                    <w:adjustRightInd w:val="0"/>
                    <w:snapToGrid w:val="0"/>
                    <w:rPr>
                      <w:rFonts w:ascii="Times New Roman" w:hAnsi="Times New Roman" w:cs="Times New Roman" w:eastAsiaTheme="minorEastAsia"/>
                      <w:sz w:val="21"/>
                      <w:szCs w:val="21"/>
                      <w:lang w:eastAsia="zh-CN"/>
                    </w:rPr>
                  </w:pPr>
                  <w:r>
                    <w:rPr>
                      <w:rFonts w:ascii="Times New Roman" w:cs="Times New Roman"/>
                      <w:sz w:val="21"/>
                      <w:szCs w:val="21"/>
                      <w:lang w:eastAsia="zh-CN"/>
                    </w:rPr>
                    <w:t>下游井</w:t>
                  </w:r>
                </w:p>
              </w:tc>
              <w:tc>
                <w:tcPr>
                  <w:tcW w:w="4684" w:type="dxa"/>
                  <w:shd w:val="clear" w:color="auto" w:fill="auto"/>
                  <w:vAlign w:val="center"/>
                </w:tcPr>
                <w:p>
                  <w:pPr>
                    <w:pStyle w:val="55"/>
                    <w:kinsoku w:val="0"/>
                    <w:overflowPunct w:val="0"/>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K</w:t>
                  </w:r>
                  <w:r>
                    <w:rPr>
                      <w:rFonts w:ascii="Times New Roman" w:hAnsi="Times New Roman" w:cs="Times New Roman"/>
                      <w:sz w:val="21"/>
                      <w:szCs w:val="21"/>
                      <w:vertAlign w:val="superscript"/>
                      <w:lang w:eastAsia="zh-CN"/>
                    </w:rPr>
                    <w:t>+</w:t>
                  </w:r>
                  <w:r>
                    <w:rPr>
                      <w:rFonts w:ascii="Times New Roman" w:cs="Times New Roman"/>
                      <w:sz w:val="21"/>
                      <w:szCs w:val="21"/>
                      <w:lang w:eastAsia="zh-CN"/>
                    </w:rPr>
                    <w:t>、</w:t>
                  </w:r>
                  <w:r>
                    <w:rPr>
                      <w:rFonts w:ascii="Times New Roman" w:hAnsi="Times New Roman" w:cs="Times New Roman"/>
                      <w:sz w:val="21"/>
                      <w:szCs w:val="21"/>
                      <w:lang w:eastAsia="zh-CN"/>
                    </w:rPr>
                    <w:t>Na</w:t>
                  </w:r>
                  <w:r>
                    <w:rPr>
                      <w:rFonts w:ascii="Times New Roman" w:hAnsi="Times New Roman" w:cs="Times New Roman"/>
                      <w:sz w:val="21"/>
                      <w:szCs w:val="21"/>
                      <w:vertAlign w:val="superscript"/>
                      <w:lang w:eastAsia="zh-CN"/>
                    </w:rPr>
                    <w:t>+</w:t>
                  </w:r>
                  <w:r>
                    <w:rPr>
                      <w:rFonts w:ascii="Times New Roman" w:cs="Times New Roman"/>
                      <w:sz w:val="21"/>
                      <w:szCs w:val="21"/>
                      <w:lang w:eastAsia="zh-CN"/>
                    </w:rPr>
                    <w:t>、</w:t>
                  </w:r>
                  <w:r>
                    <w:rPr>
                      <w:rFonts w:ascii="Times New Roman" w:hAnsi="Times New Roman" w:cs="Times New Roman"/>
                      <w:sz w:val="21"/>
                      <w:szCs w:val="21"/>
                      <w:lang w:eastAsia="zh-CN"/>
                    </w:rPr>
                    <w:t>Ca</w:t>
                  </w:r>
                  <w:r>
                    <w:rPr>
                      <w:rFonts w:ascii="Times New Roman" w:hAnsi="Times New Roman" w:cs="Times New Roman"/>
                      <w:sz w:val="21"/>
                      <w:szCs w:val="21"/>
                      <w:vertAlign w:val="superscript"/>
                      <w:lang w:eastAsia="zh-CN"/>
                    </w:rPr>
                    <w:t>2+</w:t>
                  </w:r>
                  <w:r>
                    <w:rPr>
                      <w:rFonts w:ascii="Times New Roman" w:cs="Times New Roman"/>
                      <w:sz w:val="21"/>
                      <w:szCs w:val="21"/>
                      <w:lang w:eastAsia="zh-CN"/>
                    </w:rPr>
                    <w:t>、</w:t>
                  </w:r>
                  <w:r>
                    <w:rPr>
                      <w:rFonts w:ascii="Times New Roman" w:hAnsi="Times New Roman" w:cs="Times New Roman"/>
                      <w:sz w:val="21"/>
                      <w:szCs w:val="21"/>
                      <w:lang w:eastAsia="zh-CN"/>
                    </w:rPr>
                    <w:t>Mg</w:t>
                  </w:r>
                  <w:r>
                    <w:rPr>
                      <w:rFonts w:ascii="Times New Roman" w:hAnsi="Times New Roman" w:cs="Times New Roman"/>
                      <w:sz w:val="21"/>
                      <w:szCs w:val="21"/>
                      <w:vertAlign w:val="superscript"/>
                      <w:lang w:eastAsia="zh-CN"/>
                    </w:rPr>
                    <w:t>2+</w:t>
                  </w:r>
                  <w:r>
                    <w:rPr>
                      <w:rFonts w:ascii="Times New Roman" w:cs="Times New Roman"/>
                      <w:sz w:val="21"/>
                      <w:szCs w:val="21"/>
                      <w:lang w:eastAsia="zh-CN"/>
                    </w:rPr>
                    <w:t>、</w:t>
                  </w:r>
                  <w:r>
                    <w:rPr>
                      <w:rFonts w:ascii="Times New Roman" w:hAnsi="Times New Roman" w:cs="Times New Roman"/>
                      <w:sz w:val="21"/>
                      <w:szCs w:val="21"/>
                      <w:lang w:eastAsia="zh-CN"/>
                    </w:rPr>
                    <w:t>CO</w:t>
                  </w:r>
                  <w:r>
                    <w:rPr>
                      <w:rFonts w:ascii="Times New Roman" w:hAnsi="Times New Roman" w:cs="Times New Roman"/>
                      <w:sz w:val="21"/>
                      <w:szCs w:val="21"/>
                      <w:vertAlign w:val="subscript"/>
                      <w:lang w:eastAsia="zh-CN"/>
                    </w:rPr>
                    <w:t>3</w:t>
                  </w:r>
                  <w:r>
                    <w:rPr>
                      <w:rFonts w:ascii="Times New Roman" w:hAnsi="Times New Roman" w:cs="Times New Roman"/>
                      <w:sz w:val="21"/>
                      <w:szCs w:val="21"/>
                      <w:vertAlign w:val="superscript"/>
                      <w:lang w:eastAsia="zh-CN"/>
                    </w:rPr>
                    <w:t>2-</w:t>
                  </w:r>
                  <w:r>
                    <w:rPr>
                      <w:rFonts w:ascii="Times New Roman" w:cs="Times New Roman"/>
                      <w:sz w:val="21"/>
                      <w:szCs w:val="21"/>
                      <w:lang w:eastAsia="zh-CN"/>
                    </w:rPr>
                    <w:t>、</w:t>
                  </w:r>
                  <w:r>
                    <w:rPr>
                      <w:rFonts w:ascii="Times New Roman" w:hAnsi="Times New Roman" w:cs="Times New Roman"/>
                      <w:sz w:val="21"/>
                      <w:szCs w:val="21"/>
                      <w:lang w:eastAsia="zh-CN"/>
                    </w:rPr>
                    <w:t>HCO</w:t>
                  </w:r>
                  <w:r>
                    <w:rPr>
                      <w:rFonts w:ascii="Times New Roman" w:hAnsi="Times New Roman" w:cs="Times New Roman"/>
                      <w:sz w:val="21"/>
                      <w:szCs w:val="21"/>
                      <w:vertAlign w:val="subscript"/>
                      <w:lang w:eastAsia="zh-CN"/>
                    </w:rPr>
                    <w:t>3</w:t>
                  </w:r>
                  <w:r>
                    <w:rPr>
                      <w:rFonts w:ascii="Times New Roman" w:hAnsi="Times New Roman" w:cs="Times New Roman"/>
                      <w:sz w:val="21"/>
                      <w:szCs w:val="21"/>
                      <w:vertAlign w:val="superscript"/>
                      <w:lang w:eastAsia="zh-CN"/>
                    </w:rPr>
                    <w:t>-</w:t>
                  </w:r>
                  <w:r>
                    <w:rPr>
                      <w:rFonts w:ascii="Times New Roman" w:cs="Times New Roman"/>
                      <w:sz w:val="21"/>
                      <w:szCs w:val="21"/>
                      <w:lang w:eastAsia="zh-CN"/>
                    </w:rPr>
                    <w:t>、</w:t>
                  </w:r>
                  <w:r>
                    <w:rPr>
                      <w:rFonts w:ascii="Times New Roman" w:hAnsi="Times New Roman" w:cs="Times New Roman"/>
                      <w:sz w:val="21"/>
                      <w:szCs w:val="21"/>
                      <w:lang w:eastAsia="zh-CN"/>
                    </w:rPr>
                    <w:t>Cl</w:t>
                  </w:r>
                  <w:r>
                    <w:rPr>
                      <w:rFonts w:ascii="Times New Roman" w:hAnsi="Times New Roman" w:cs="Times New Roman"/>
                      <w:sz w:val="21"/>
                      <w:szCs w:val="21"/>
                      <w:vertAlign w:val="superscript"/>
                      <w:lang w:eastAsia="zh-CN"/>
                    </w:rPr>
                    <w:t>-</w:t>
                  </w:r>
                  <w:r>
                    <w:rPr>
                      <w:rFonts w:ascii="Times New Roman" w:cs="Times New Roman"/>
                      <w:sz w:val="21"/>
                      <w:szCs w:val="21"/>
                      <w:lang w:eastAsia="zh-CN"/>
                    </w:rPr>
                    <w:t>、</w:t>
                  </w:r>
                  <w:r>
                    <w:rPr>
                      <w:rFonts w:ascii="Times New Roman" w:hAnsi="Times New Roman" w:cs="Times New Roman"/>
                      <w:sz w:val="21"/>
                      <w:szCs w:val="21"/>
                      <w:lang w:eastAsia="zh-CN"/>
                    </w:rPr>
                    <w:t>SO</w:t>
                  </w:r>
                  <w:r>
                    <w:rPr>
                      <w:rFonts w:ascii="Times New Roman" w:hAnsi="Times New Roman" w:cs="Times New Roman"/>
                      <w:sz w:val="21"/>
                      <w:szCs w:val="21"/>
                      <w:vertAlign w:val="subscript"/>
                      <w:lang w:eastAsia="zh-CN"/>
                    </w:rPr>
                    <w:t>4</w:t>
                  </w:r>
                  <w:r>
                    <w:rPr>
                      <w:rFonts w:ascii="Times New Roman" w:hAnsi="Times New Roman" w:cs="Times New Roman"/>
                      <w:sz w:val="21"/>
                      <w:szCs w:val="21"/>
                      <w:vertAlign w:val="superscript"/>
                      <w:lang w:eastAsia="zh-CN"/>
                    </w:rPr>
                    <w:t>2-</w:t>
                  </w:r>
                  <w:r>
                    <w:rPr>
                      <w:rFonts w:ascii="Times New Roman" w:cs="Times New Roman"/>
                      <w:sz w:val="21"/>
                      <w:szCs w:val="21"/>
                      <w:lang w:eastAsia="zh-CN"/>
                    </w:rPr>
                    <w:t>、</w:t>
                  </w:r>
                  <w:r>
                    <w:rPr>
                      <w:rFonts w:ascii="Times New Roman" w:hAnsi="Times New Roman" w:cs="Times New Roman"/>
                      <w:sz w:val="21"/>
                      <w:szCs w:val="21"/>
                      <w:lang w:eastAsia="zh-CN"/>
                    </w:rPr>
                    <w:t>pH</w:t>
                  </w:r>
                  <w:r>
                    <w:rPr>
                      <w:rFonts w:ascii="Times New Roman" w:cs="Times New Roman"/>
                      <w:sz w:val="21"/>
                      <w:szCs w:val="21"/>
                      <w:lang w:eastAsia="zh-CN"/>
                    </w:rPr>
                    <w:t>值、浑浊度、氨氮、氟化物、硝酸盐、亚硝酸盐氮、氰化物、耗氧量、总硬度、溶解性总固体、汞、砷、镉、铬（六价）、铅、铁、锰、铜、锌、铝、阴离子表面活性剂、硫化物、挥发酚、石油类</w:t>
                  </w:r>
                </w:p>
              </w:tc>
              <w:tc>
                <w:tcPr>
                  <w:tcW w:w="1845" w:type="dxa"/>
                  <w:shd w:val="clear" w:color="auto" w:fill="auto"/>
                  <w:vAlign w:val="center"/>
                </w:tcPr>
                <w:p>
                  <w:pPr>
                    <w:pStyle w:val="55"/>
                    <w:kinsoku w:val="0"/>
                    <w:overflowPunct w:val="0"/>
                    <w:adjustRightInd w:val="0"/>
                    <w:snapToGrid w:val="0"/>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w:t>
                  </w:r>
                  <w:r>
                    <w:rPr>
                      <w:rFonts w:ascii="Times New Roman" w:cs="Times New Roman"/>
                      <w:sz w:val="21"/>
                      <w:szCs w:val="21"/>
                      <w:lang w:eastAsia="zh-CN"/>
                    </w:rPr>
                    <w:t>次</w:t>
                  </w:r>
                  <w:r>
                    <w:rPr>
                      <w:rFonts w:ascii="Times New Roman" w:hAnsi="Times New Roman" w:cs="Times New Roman"/>
                      <w:sz w:val="21"/>
                      <w:szCs w:val="21"/>
                      <w:lang w:eastAsia="zh-CN"/>
                    </w:rPr>
                    <w:t>/</w:t>
                  </w:r>
                  <w:r>
                    <w:rPr>
                      <w:rFonts w:ascii="Times New Roman" w:cs="Times New Roman"/>
                      <w:sz w:val="21"/>
                      <w:szCs w:val="21"/>
                      <w:lang w:eastAsia="zh-CN"/>
                    </w:rPr>
                    <w:t>年</w:t>
                  </w:r>
                </w:p>
              </w:tc>
            </w:tr>
          </w:tbl>
          <w:p>
            <w:pPr>
              <w:ind w:firstLine="480"/>
              <w:rPr>
                <w:sz w:val="24"/>
                <w:szCs w:val="24"/>
              </w:rPr>
            </w:pPr>
            <w:r>
              <w:rPr>
                <w:sz w:val="24"/>
                <w:szCs w:val="24"/>
              </w:rPr>
              <w:t>7</w:t>
            </w:r>
            <w:r>
              <w:rPr>
                <w:rFonts w:hint="eastAsia"/>
                <w:sz w:val="24"/>
                <w:szCs w:val="24"/>
              </w:rPr>
              <w:t>、环境风险</w:t>
            </w:r>
          </w:p>
          <w:p>
            <w:pPr>
              <w:ind w:firstLine="480"/>
              <w:rPr>
                <w:sz w:val="24"/>
                <w:szCs w:val="24"/>
              </w:rPr>
            </w:pPr>
            <w:r>
              <w:rPr>
                <w:rFonts w:hint="eastAsia"/>
                <w:sz w:val="24"/>
                <w:szCs w:val="24"/>
              </w:rPr>
              <w:t>（1）评价依据</w:t>
            </w:r>
          </w:p>
          <w:p>
            <w:pPr>
              <w:ind w:firstLine="480"/>
              <w:rPr>
                <w:sz w:val="24"/>
                <w:szCs w:val="24"/>
              </w:rPr>
            </w:pPr>
            <w:r>
              <w:rPr>
                <w:rFonts w:hint="eastAsia"/>
                <w:sz w:val="24"/>
                <w:szCs w:val="24"/>
              </w:rPr>
              <w:t>①风险调查</w:t>
            </w:r>
          </w:p>
          <w:p>
            <w:pPr>
              <w:ind w:firstLine="480"/>
              <w:rPr>
                <w:sz w:val="24"/>
                <w:szCs w:val="32"/>
              </w:rPr>
            </w:pPr>
            <w:r>
              <w:rPr>
                <w:rFonts w:hint="eastAsia"/>
                <w:sz w:val="24"/>
                <w:szCs w:val="32"/>
              </w:rPr>
              <w:t>根据建设项目危险物质数量和分布情况、生产工艺特点，结合《建设项目环境风险评价技术导则》（HJ169-2018）附录B。本项目运营期涉及的危险化学品主要为回收的汽油、柴油、润滑油等可燃性液体以及蓄电池中包含的酸液。</w:t>
            </w:r>
          </w:p>
          <w:p>
            <w:pPr>
              <w:ind w:firstLine="480"/>
              <w:rPr>
                <w:sz w:val="24"/>
                <w:szCs w:val="32"/>
              </w:rPr>
            </w:pPr>
            <w:r>
              <w:rPr>
                <w:rFonts w:hint="eastAsia"/>
                <w:sz w:val="24"/>
                <w:szCs w:val="32"/>
              </w:rPr>
              <w:t>②风险潜势初判</w:t>
            </w:r>
          </w:p>
          <w:p>
            <w:pPr>
              <w:ind w:firstLine="480"/>
              <w:rPr>
                <w:sz w:val="24"/>
              </w:rPr>
            </w:pPr>
            <w:r>
              <w:rPr>
                <w:rFonts w:hint="eastAsia"/>
                <w:sz w:val="24"/>
              </w:rPr>
              <w:t>根据《建设项目环境风险评价技术导则》（HJ/T169-2018）中附录C中判定方式，计算所涉及的每种危险物质在厂界内的最大储存量与其在《建设项目环境风险评价技术导则》（HJ169-2018）附录B中对应临界量的比值Q。</w:t>
            </w:r>
          </w:p>
          <w:p>
            <w:pPr>
              <w:spacing w:line="240" w:lineRule="auto"/>
              <w:ind w:firstLine="482"/>
              <w:jc w:val="center"/>
              <w:rPr>
                <w:b/>
                <w:sz w:val="24"/>
              </w:rPr>
            </w:pPr>
            <w:r>
              <w:rPr>
                <w:b/>
                <w:sz w:val="24"/>
              </w:rPr>
              <w:t>表4-</w:t>
            </w:r>
            <w:r>
              <w:rPr>
                <w:rFonts w:hint="eastAsia"/>
                <w:b/>
                <w:sz w:val="24"/>
              </w:rPr>
              <w:t xml:space="preserve">23 </w:t>
            </w:r>
            <w:r>
              <w:rPr>
                <w:b/>
                <w:sz w:val="24"/>
              </w:rPr>
              <w:t>项目危险物质与临界值比值结果表</w:t>
            </w:r>
            <w:r>
              <w:rPr>
                <w:rFonts w:hint="eastAsia"/>
                <w:b/>
                <w:sz w:val="24"/>
              </w:rPr>
              <w:t xml:space="preserve">  单位</w:t>
            </w:r>
            <w:r>
              <w:rPr>
                <w:b/>
                <w:sz w:val="24"/>
              </w:rPr>
              <w:t>：t</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5"/>
              <w:gridCol w:w="1584"/>
              <w:gridCol w:w="1521"/>
              <w:gridCol w:w="1457"/>
              <w:gridCol w:w="1275"/>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05"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单元</w:t>
                  </w:r>
                </w:p>
              </w:tc>
              <w:tc>
                <w:tcPr>
                  <w:tcW w:w="1584"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装置</w:t>
                  </w:r>
                  <w:r>
                    <w:rPr>
                      <w:rFonts w:ascii="Times New Roman" w:cs="Times New Roman"/>
                      <w:b/>
                      <w:sz w:val="21"/>
                      <w:szCs w:val="21"/>
                    </w:rPr>
                    <w:t>/</w:t>
                  </w:r>
                  <w:r>
                    <w:rPr>
                      <w:rFonts w:hint="eastAsia"/>
                      <w:b/>
                      <w:sz w:val="21"/>
                      <w:szCs w:val="21"/>
                    </w:rPr>
                    <w:t>工段</w:t>
                  </w:r>
                </w:p>
              </w:tc>
              <w:tc>
                <w:tcPr>
                  <w:tcW w:w="1521"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物质名称</w:t>
                  </w:r>
                </w:p>
              </w:tc>
              <w:tc>
                <w:tcPr>
                  <w:tcW w:w="1457" w:type="dxa"/>
                  <w:shd w:val="pct10" w:color="auto" w:fill="auto"/>
                  <w:vAlign w:val="center"/>
                </w:tcPr>
                <w:p>
                  <w:pPr>
                    <w:pStyle w:val="55"/>
                    <w:kinsoku w:val="0"/>
                    <w:overflowPunct w:val="0"/>
                    <w:adjustRightInd w:val="0"/>
                    <w:snapToGrid w:val="0"/>
                    <w:rPr>
                      <w:b/>
                      <w:sz w:val="21"/>
                      <w:szCs w:val="21"/>
                      <w:lang w:eastAsia="zh-CN"/>
                    </w:rPr>
                  </w:pPr>
                  <w:r>
                    <w:rPr>
                      <w:rFonts w:hint="eastAsia"/>
                      <w:b/>
                      <w:sz w:val="21"/>
                      <w:szCs w:val="21"/>
                      <w:lang w:eastAsia="zh-CN"/>
                    </w:rPr>
                    <w:t>一次最大</w:t>
                  </w:r>
                </w:p>
                <w:p>
                  <w:pPr>
                    <w:pStyle w:val="55"/>
                    <w:kinsoku w:val="0"/>
                    <w:overflowPunct w:val="0"/>
                    <w:adjustRightInd w:val="0"/>
                    <w:snapToGrid w:val="0"/>
                    <w:rPr>
                      <w:rFonts w:ascii="Times New Roman" w:cs="Times New Roman" w:eastAsiaTheme="minorEastAsia"/>
                      <w:b/>
                      <w:sz w:val="21"/>
                      <w:szCs w:val="21"/>
                      <w:lang w:eastAsia="zh-CN"/>
                    </w:rPr>
                  </w:pPr>
                  <w:r>
                    <w:rPr>
                      <w:rFonts w:hint="eastAsia"/>
                      <w:b/>
                      <w:sz w:val="21"/>
                      <w:szCs w:val="21"/>
                      <w:lang w:eastAsia="zh-CN"/>
                    </w:rPr>
                    <w:t>储存量/</w:t>
                  </w:r>
                  <w:r>
                    <w:rPr>
                      <w:rFonts w:ascii="Times New Roman" w:cs="Times New Roman"/>
                      <w:b/>
                      <w:sz w:val="21"/>
                      <w:szCs w:val="21"/>
                      <w:lang w:eastAsia="zh-CN"/>
                    </w:rPr>
                    <w:t>qn</w:t>
                  </w:r>
                </w:p>
              </w:tc>
              <w:tc>
                <w:tcPr>
                  <w:tcW w:w="1275"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临界量</w:t>
                  </w:r>
                  <w:r>
                    <w:rPr>
                      <w:rFonts w:hint="eastAsia"/>
                      <w:b/>
                      <w:sz w:val="21"/>
                      <w:szCs w:val="21"/>
                      <w:lang w:eastAsia="zh-CN"/>
                    </w:rPr>
                    <w:t>/</w:t>
                  </w:r>
                  <w:r>
                    <w:rPr>
                      <w:rFonts w:ascii="Times New Roman" w:cs="Times New Roman"/>
                      <w:b/>
                      <w:sz w:val="21"/>
                      <w:szCs w:val="21"/>
                    </w:rPr>
                    <w:t>Qn</w:t>
                  </w:r>
                </w:p>
              </w:tc>
              <w:tc>
                <w:tcPr>
                  <w:tcW w:w="1258"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比值</w:t>
                  </w:r>
                  <w:r>
                    <w:rPr>
                      <w:rFonts w:ascii="Times New Roman" w:cs="Times New Roman"/>
                      <w:b/>
                      <w:sz w:val="21"/>
                      <w:szCs w:val="21"/>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05" w:type="dxa"/>
                  <w:shd w:val="clear" w:color="auto" w:fill="auto"/>
                  <w:vAlign w:val="center"/>
                </w:tcPr>
                <w:p>
                  <w:pPr>
                    <w:pStyle w:val="55"/>
                    <w:kinsoku w:val="0"/>
                    <w:overflowPunct w:val="0"/>
                    <w:adjustRightInd w:val="0"/>
                    <w:snapToGrid w:val="0"/>
                    <w:rPr>
                      <w:sz w:val="21"/>
                      <w:szCs w:val="21"/>
                    </w:rPr>
                  </w:pPr>
                  <w:r>
                    <w:rPr>
                      <w:rFonts w:hint="eastAsia"/>
                      <w:sz w:val="21"/>
                      <w:szCs w:val="21"/>
                    </w:rPr>
                    <w:t>危废</w:t>
                  </w:r>
                </w:p>
                <w:p>
                  <w:pPr>
                    <w:pStyle w:val="55"/>
                    <w:kinsoku w:val="0"/>
                    <w:overflowPunct w:val="0"/>
                    <w:adjustRightInd w:val="0"/>
                    <w:snapToGrid w:val="0"/>
                    <w:rPr>
                      <w:rFonts w:ascii="Times New Roman" w:cs="Times New Roman" w:eastAsiaTheme="minorEastAsia"/>
                      <w:sz w:val="21"/>
                      <w:szCs w:val="21"/>
                    </w:rPr>
                  </w:pPr>
                  <w:r>
                    <w:rPr>
                      <w:rFonts w:hint="eastAsia"/>
                      <w:sz w:val="21"/>
                      <w:szCs w:val="21"/>
                    </w:rPr>
                    <w:t>暂存库</w:t>
                  </w:r>
                </w:p>
              </w:tc>
              <w:tc>
                <w:tcPr>
                  <w:tcW w:w="1584"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废油液收集桶</w:t>
                  </w:r>
                </w:p>
              </w:tc>
              <w:tc>
                <w:tcPr>
                  <w:tcW w:w="1521" w:type="dxa"/>
                  <w:shd w:val="clear" w:color="auto" w:fill="auto"/>
                  <w:vAlign w:val="center"/>
                </w:tcPr>
                <w:p>
                  <w:pPr>
                    <w:pStyle w:val="55"/>
                    <w:kinsoku w:val="0"/>
                    <w:overflowPunct w:val="0"/>
                    <w:adjustRightInd w:val="0"/>
                    <w:snapToGrid w:val="0"/>
                    <w:rPr>
                      <w:sz w:val="21"/>
                      <w:szCs w:val="21"/>
                      <w:lang w:eastAsia="zh-CN"/>
                    </w:rPr>
                  </w:pPr>
                  <w:r>
                    <w:rPr>
                      <w:rFonts w:hint="eastAsia"/>
                      <w:sz w:val="21"/>
                      <w:szCs w:val="21"/>
                      <w:lang w:eastAsia="zh-CN"/>
                    </w:rPr>
                    <w:t>废油液</w:t>
                  </w:r>
                </w:p>
                <w:p>
                  <w:pPr>
                    <w:pStyle w:val="55"/>
                    <w:kinsoku w:val="0"/>
                    <w:overflowPunct w:val="0"/>
                    <w:adjustRightInd w:val="0"/>
                    <w:snapToGrid w:val="0"/>
                    <w:rPr>
                      <w:sz w:val="21"/>
                      <w:szCs w:val="21"/>
                      <w:lang w:eastAsia="zh-CN"/>
                    </w:rPr>
                  </w:pPr>
                  <w:r>
                    <w:rPr>
                      <w:rFonts w:hint="eastAsia"/>
                      <w:sz w:val="21"/>
                      <w:szCs w:val="21"/>
                      <w:lang w:eastAsia="zh-CN"/>
                    </w:rPr>
                    <w:t>（汽油、柴油、润滑油等）</w:t>
                  </w:r>
                </w:p>
              </w:tc>
              <w:tc>
                <w:tcPr>
                  <w:tcW w:w="1457"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90</w:t>
                  </w:r>
                </w:p>
              </w:tc>
              <w:tc>
                <w:tcPr>
                  <w:tcW w:w="1275"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2500</w:t>
                  </w:r>
                </w:p>
              </w:tc>
              <w:tc>
                <w:tcPr>
                  <w:tcW w:w="1258"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05" w:type="dxa"/>
                  <w:shd w:val="clear" w:color="auto" w:fill="auto"/>
                  <w:vAlign w:val="center"/>
                </w:tcPr>
                <w:p>
                  <w:pPr>
                    <w:pStyle w:val="55"/>
                    <w:kinsoku w:val="0"/>
                    <w:overflowPunct w:val="0"/>
                    <w:adjustRightInd w:val="0"/>
                    <w:snapToGrid w:val="0"/>
                    <w:rPr>
                      <w:sz w:val="21"/>
                      <w:szCs w:val="21"/>
                    </w:rPr>
                  </w:pPr>
                  <w:r>
                    <w:rPr>
                      <w:rFonts w:hint="eastAsia"/>
                      <w:sz w:val="21"/>
                      <w:szCs w:val="21"/>
                    </w:rPr>
                    <w:t>危废</w:t>
                  </w:r>
                </w:p>
                <w:p>
                  <w:pPr>
                    <w:pStyle w:val="55"/>
                    <w:kinsoku w:val="0"/>
                    <w:overflowPunct w:val="0"/>
                    <w:adjustRightInd w:val="0"/>
                    <w:snapToGrid w:val="0"/>
                    <w:rPr>
                      <w:rFonts w:ascii="Times New Roman" w:cs="Times New Roman" w:eastAsiaTheme="minorEastAsia"/>
                      <w:sz w:val="21"/>
                      <w:szCs w:val="21"/>
                    </w:rPr>
                  </w:pPr>
                  <w:r>
                    <w:rPr>
                      <w:rFonts w:hint="eastAsia"/>
                      <w:sz w:val="21"/>
                      <w:szCs w:val="21"/>
                    </w:rPr>
                    <w:t>暂存库</w:t>
                  </w:r>
                </w:p>
              </w:tc>
              <w:tc>
                <w:tcPr>
                  <w:tcW w:w="1584"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蓄电池</w:t>
                  </w:r>
                </w:p>
              </w:tc>
              <w:tc>
                <w:tcPr>
                  <w:tcW w:w="1521"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硫酸</w:t>
                  </w:r>
                  <w:r>
                    <w:rPr>
                      <w:rFonts w:hint="eastAsia"/>
                      <w:sz w:val="21"/>
                      <w:szCs w:val="21"/>
                      <w:vertAlign w:val="superscript"/>
                    </w:rPr>
                    <w:t>注</w:t>
                  </w:r>
                </w:p>
              </w:tc>
              <w:tc>
                <w:tcPr>
                  <w:tcW w:w="1457"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3.9</w:t>
                  </w:r>
                </w:p>
              </w:tc>
              <w:tc>
                <w:tcPr>
                  <w:tcW w:w="1275"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10</w:t>
                  </w:r>
                </w:p>
              </w:tc>
              <w:tc>
                <w:tcPr>
                  <w:tcW w:w="1258"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042" w:type="dxa"/>
                  <w:gridSpan w:val="5"/>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合计</w:t>
                  </w:r>
                </w:p>
              </w:tc>
              <w:tc>
                <w:tcPr>
                  <w:tcW w:w="1258"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00" w:type="dxa"/>
                  <w:gridSpan w:val="6"/>
                  <w:shd w:val="clear" w:color="auto" w:fill="auto"/>
                  <w:vAlign w:val="center"/>
                </w:tcPr>
                <w:p>
                  <w:pPr>
                    <w:pStyle w:val="55"/>
                    <w:adjustRightInd w:val="0"/>
                    <w:snapToGrid w:val="0"/>
                    <w:jc w:val="both"/>
                    <w:rPr>
                      <w:rFonts w:ascii="Times New Roman" w:hAnsi="Times New Roman" w:cs="Times New Roman"/>
                      <w:sz w:val="21"/>
                      <w:szCs w:val="21"/>
                      <w:lang w:eastAsia="zh-CN"/>
                    </w:rPr>
                  </w:pPr>
                  <w:r>
                    <w:rPr>
                      <w:rFonts w:ascii="Times New Roman" w:hAnsi="Times New Roman" w:cs="Times New Roman"/>
                      <w:sz w:val="21"/>
                      <w:szCs w:val="21"/>
                      <w:lang w:eastAsia="zh-CN"/>
                    </w:rPr>
                    <w:t>注：根据《铅酸蓄电池全生命周期污染防治技术规范》(DB37/T2374-2018），铅酸蓄电池暂时贮存数量应不大于30t，时间最长不得超过10天。正常工况下10天约产生废铅酸蓄电池13t。铅酸蓄电池中硫酸电解液约占电池重量的30%。经计算，</w:t>
                  </w:r>
                  <w:r>
                    <w:rPr>
                      <w:rFonts w:hint="eastAsia" w:ascii="Times New Roman" w:hAnsi="Times New Roman" w:cs="Times New Roman"/>
                      <w:sz w:val="21"/>
                      <w:szCs w:val="21"/>
                      <w:lang w:eastAsia="zh-CN"/>
                    </w:rPr>
                    <w:t>每月</w:t>
                  </w:r>
                  <w:r>
                    <w:rPr>
                      <w:rFonts w:ascii="Times New Roman" w:hAnsi="Times New Roman" w:cs="Times New Roman"/>
                      <w:sz w:val="21"/>
                      <w:szCs w:val="21"/>
                      <w:lang w:eastAsia="zh-CN"/>
                    </w:rPr>
                    <w:t>产生的铅酸蓄电池中硫酸含量约3.9t。</w:t>
                  </w:r>
                </w:p>
              </w:tc>
            </w:tr>
          </w:tbl>
          <w:p>
            <w:pPr>
              <w:ind w:firstLine="480"/>
              <w:rPr>
                <w:sz w:val="24"/>
              </w:rPr>
            </w:pPr>
            <w:r>
              <w:rPr>
                <w:rFonts w:hint="eastAsia"/>
                <w:sz w:val="24"/>
              </w:rPr>
              <w:t>③评价等级</w:t>
            </w:r>
          </w:p>
          <w:p>
            <w:pPr>
              <w:ind w:firstLine="480"/>
              <w:rPr>
                <w:b/>
                <w:sz w:val="24"/>
              </w:rPr>
            </w:pPr>
            <w:r>
              <w:rPr>
                <w:sz w:val="24"/>
                <w:szCs w:val="32"/>
              </w:rPr>
              <w:t>项目环境风险评价等级如下表：</w:t>
            </w:r>
          </w:p>
          <w:p>
            <w:pPr>
              <w:spacing w:line="240" w:lineRule="auto"/>
              <w:ind w:firstLine="482"/>
              <w:jc w:val="center"/>
              <w:rPr>
                <w:b/>
                <w:sz w:val="24"/>
              </w:rPr>
            </w:pPr>
            <w:r>
              <w:rPr>
                <w:b/>
                <w:sz w:val="24"/>
              </w:rPr>
              <w:t>表4-2</w:t>
            </w:r>
            <w:r>
              <w:rPr>
                <w:rFonts w:hint="eastAsia"/>
                <w:b/>
                <w:sz w:val="24"/>
              </w:rPr>
              <w:t>4</w:t>
            </w:r>
            <w:r>
              <w:rPr>
                <w:b/>
                <w:sz w:val="24"/>
              </w:rPr>
              <w:t xml:space="preserve"> </w:t>
            </w:r>
            <w:r>
              <w:rPr>
                <w:rFonts w:hint="eastAsia"/>
                <w:b/>
                <w:sz w:val="24"/>
              </w:rPr>
              <w:t xml:space="preserve"> </w:t>
            </w:r>
            <w:r>
              <w:rPr>
                <w:b/>
                <w:sz w:val="24"/>
              </w:rPr>
              <w:t>项目环境风险评价等级判定</w:t>
            </w:r>
          </w:p>
          <w:tbl>
            <w:tblPr>
              <w:tblStyle w:val="21"/>
              <w:tblW w:w="82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528"/>
              <w:gridCol w:w="1660"/>
              <w:gridCol w:w="1660"/>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90" w:type="dxa"/>
                  <w:shd w:val="pct10" w:color="auto" w:fill="auto"/>
                  <w:vAlign w:val="center"/>
                </w:tcPr>
                <w:p>
                  <w:pPr>
                    <w:spacing w:line="240" w:lineRule="auto"/>
                    <w:ind w:firstLine="0" w:firstLineChars="0"/>
                    <w:jc w:val="center"/>
                    <w:rPr>
                      <w:b/>
                      <w:bCs/>
                      <w:szCs w:val="21"/>
                    </w:rPr>
                  </w:pPr>
                  <w:r>
                    <w:rPr>
                      <w:rFonts w:hint="eastAsia"/>
                      <w:b/>
                      <w:bCs/>
                      <w:szCs w:val="21"/>
                    </w:rPr>
                    <w:t>环境风险潜势</w:t>
                  </w:r>
                </w:p>
              </w:tc>
              <w:tc>
                <w:tcPr>
                  <w:tcW w:w="1528" w:type="dxa"/>
                  <w:shd w:val="pct10" w:color="auto" w:fill="auto"/>
                  <w:vAlign w:val="center"/>
                </w:tcPr>
                <w:p>
                  <w:pPr>
                    <w:spacing w:line="240" w:lineRule="auto"/>
                    <w:ind w:firstLine="0" w:firstLineChars="0"/>
                    <w:jc w:val="center"/>
                    <w:rPr>
                      <w:b/>
                      <w:bCs/>
                      <w:szCs w:val="21"/>
                    </w:rPr>
                  </w:pPr>
                  <w:r>
                    <w:rPr>
                      <w:rFonts w:hint="eastAsia"/>
                      <w:b/>
                      <w:bCs/>
                      <w:szCs w:val="21"/>
                    </w:rPr>
                    <w:t>Ⅳ、Ⅳ+</w:t>
                  </w:r>
                </w:p>
              </w:tc>
              <w:tc>
                <w:tcPr>
                  <w:tcW w:w="1660" w:type="dxa"/>
                  <w:shd w:val="pct10" w:color="auto" w:fill="auto"/>
                  <w:vAlign w:val="center"/>
                </w:tcPr>
                <w:p>
                  <w:pPr>
                    <w:spacing w:line="240" w:lineRule="auto"/>
                    <w:ind w:firstLine="0" w:firstLineChars="0"/>
                    <w:jc w:val="center"/>
                    <w:rPr>
                      <w:b/>
                      <w:bCs/>
                      <w:szCs w:val="21"/>
                    </w:rPr>
                  </w:pPr>
                  <w:r>
                    <w:rPr>
                      <w:rFonts w:hint="eastAsia"/>
                      <w:b/>
                      <w:bCs/>
                      <w:szCs w:val="21"/>
                    </w:rPr>
                    <w:t>Ⅲ</w:t>
                  </w:r>
                </w:p>
              </w:tc>
              <w:tc>
                <w:tcPr>
                  <w:tcW w:w="1660" w:type="dxa"/>
                  <w:shd w:val="pct10" w:color="auto" w:fill="auto"/>
                  <w:vAlign w:val="center"/>
                </w:tcPr>
                <w:p>
                  <w:pPr>
                    <w:spacing w:line="240" w:lineRule="auto"/>
                    <w:ind w:firstLine="0" w:firstLineChars="0"/>
                    <w:jc w:val="center"/>
                    <w:rPr>
                      <w:b/>
                      <w:bCs/>
                      <w:szCs w:val="21"/>
                    </w:rPr>
                  </w:pPr>
                  <w:r>
                    <w:rPr>
                      <w:rFonts w:hint="eastAsia"/>
                      <w:b/>
                      <w:bCs/>
                      <w:szCs w:val="21"/>
                    </w:rPr>
                    <w:t>Ⅱ</w:t>
                  </w:r>
                </w:p>
              </w:tc>
              <w:tc>
                <w:tcPr>
                  <w:tcW w:w="1659" w:type="dxa"/>
                  <w:shd w:val="pct10" w:color="auto" w:fill="auto"/>
                  <w:vAlign w:val="center"/>
                </w:tcPr>
                <w:p>
                  <w:pPr>
                    <w:spacing w:line="240" w:lineRule="auto"/>
                    <w:ind w:firstLine="0" w:firstLineChars="0"/>
                    <w:jc w:val="center"/>
                    <w:rPr>
                      <w:b/>
                      <w:bCs/>
                      <w:szCs w:val="21"/>
                    </w:rPr>
                  </w:pPr>
                  <w:r>
                    <w:rPr>
                      <w:rFonts w:hint="eastAsia"/>
                      <w:b/>
                      <w:bCs/>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90" w:type="dxa"/>
                  <w:shd w:val="clear" w:color="auto" w:fill="auto"/>
                  <w:vAlign w:val="center"/>
                </w:tcPr>
                <w:p>
                  <w:pPr>
                    <w:spacing w:line="240" w:lineRule="auto"/>
                    <w:ind w:firstLine="0" w:firstLineChars="0"/>
                    <w:jc w:val="center"/>
                    <w:rPr>
                      <w:szCs w:val="21"/>
                    </w:rPr>
                  </w:pPr>
                  <w:r>
                    <w:rPr>
                      <w:rFonts w:hint="eastAsia"/>
                      <w:szCs w:val="21"/>
                    </w:rPr>
                    <w:t>评价工作等级</w:t>
                  </w:r>
                </w:p>
              </w:tc>
              <w:tc>
                <w:tcPr>
                  <w:tcW w:w="1528" w:type="dxa"/>
                  <w:shd w:val="clear" w:color="auto" w:fill="auto"/>
                  <w:vAlign w:val="center"/>
                </w:tcPr>
                <w:p>
                  <w:pPr>
                    <w:spacing w:line="240" w:lineRule="auto"/>
                    <w:ind w:firstLine="0" w:firstLineChars="0"/>
                    <w:jc w:val="center"/>
                    <w:rPr>
                      <w:szCs w:val="21"/>
                    </w:rPr>
                  </w:pPr>
                  <w:r>
                    <w:rPr>
                      <w:rFonts w:hint="eastAsia"/>
                      <w:szCs w:val="21"/>
                    </w:rPr>
                    <w:t>一</w:t>
                  </w:r>
                </w:p>
              </w:tc>
              <w:tc>
                <w:tcPr>
                  <w:tcW w:w="1660" w:type="dxa"/>
                  <w:shd w:val="clear" w:color="auto" w:fill="auto"/>
                  <w:vAlign w:val="center"/>
                </w:tcPr>
                <w:p>
                  <w:pPr>
                    <w:spacing w:line="240" w:lineRule="auto"/>
                    <w:ind w:firstLine="0" w:firstLineChars="0"/>
                    <w:jc w:val="center"/>
                    <w:rPr>
                      <w:szCs w:val="21"/>
                    </w:rPr>
                  </w:pPr>
                  <w:r>
                    <w:rPr>
                      <w:rFonts w:hint="eastAsia"/>
                      <w:szCs w:val="21"/>
                    </w:rPr>
                    <w:t>二</w:t>
                  </w:r>
                </w:p>
              </w:tc>
              <w:tc>
                <w:tcPr>
                  <w:tcW w:w="1660" w:type="dxa"/>
                  <w:shd w:val="clear" w:color="auto" w:fill="auto"/>
                  <w:vAlign w:val="center"/>
                </w:tcPr>
                <w:p>
                  <w:pPr>
                    <w:spacing w:line="240" w:lineRule="auto"/>
                    <w:ind w:firstLine="0" w:firstLineChars="0"/>
                    <w:jc w:val="center"/>
                    <w:rPr>
                      <w:szCs w:val="21"/>
                    </w:rPr>
                  </w:pPr>
                  <w:r>
                    <w:rPr>
                      <w:rFonts w:hint="eastAsia"/>
                      <w:szCs w:val="21"/>
                    </w:rPr>
                    <w:t>三</w:t>
                  </w:r>
                </w:p>
              </w:tc>
              <w:tc>
                <w:tcPr>
                  <w:tcW w:w="1659" w:type="dxa"/>
                  <w:shd w:val="clear" w:color="auto" w:fill="auto"/>
                  <w:vAlign w:val="center"/>
                </w:tcPr>
                <w:p>
                  <w:pPr>
                    <w:spacing w:line="240" w:lineRule="auto"/>
                    <w:ind w:firstLine="0" w:firstLineChars="0"/>
                    <w:jc w:val="center"/>
                    <w:rPr>
                      <w:szCs w:val="21"/>
                    </w:rPr>
                  </w:pPr>
                  <w:r>
                    <w:rPr>
                      <w:rFonts w:hint="eastAsia"/>
                      <w:szCs w:val="21"/>
                    </w:rPr>
                    <w:t>简要分析</w:t>
                  </w:r>
                </w:p>
              </w:tc>
            </w:tr>
          </w:tbl>
          <w:p>
            <w:pPr>
              <w:ind w:firstLine="480"/>
              <w:rPr>
                <w:sz w:val="24"/>
              </w:rPr>
            </w:pPr>
            <w:r>
              <w:rPr>
                <w:sz w:val="24"/>
              </w:rPr>
              <w:t>根据《建设项目环境风险评价技术导则》（HJ/T169-2018），经计算，本项目q/Q=0.43。当Q&lt;1时，本项目环境风险潜势为</w:t>
            </w:r>
            <w:r>
              <w:rPr>
                <w:rFonts w:ascii="宋体" w:hAnsi="宋体"/>
                <w:sz w:val="24"/>
              </w:rPr>
              <w:fldChar w:fldCharType="begin"/>
            </w:r>
            <w:r>
              <w:rPr>
                <w:rFonts w:ascii="宋体" w:hAnsi="宋体"/>
                <w:sz w:val="24"/>
              </w:rPr>
              <w:instrText xml:space="preserve"> = 1 \* ROMAN </w:instrText>
            </w:r>
            <w:r>
              <w:rPr>
                <w:rFonts w:ascii="宋体" w:hAnsi="宋体"/>
                <w:sz w:val="24"/>
              </w:rPr>
              <w:fldChar w:fldCharType="separate"/>
            </w:r>
            <w:r>
              <w:rPr>
                <w:rFonts w:ascii="宋体" w:hAnsi="宋体"/>
                <w:sz w:val="24"/>
              </w:rPr>
              <w:t>I</w:t>
            </w:r>
            <w:r>
              <w:rPr>
                <w:rFonts w:ascii="宋体" w:hAnsi="宋体"/>
                <w:sz w:val="24"/>
              </w:rPr>
              <w:fldChar w:fldCharType="end"/>
            </w:r>
            <w:r>
              <w:rPr>
                <w:sz w:val="24"/>
              </w:rPr>
              <w:t>。</w:t>
            </w:r>
            <w:r>
              <w:rPr>
                <w:rFonts w:hint="eastAsia"/>
                <w:sz w:val="24"/>
              </w:rPr>
              <w:t>因此确定风险评价工作不设等级，仅进行简单分析。</w:t>
            </w:r>
          </w:p>
          <w:p>
            <w:pPr>
              <w:ind w:firstLine="480"/>
              <w:rPr>
                <w:sz w:val="24"/>
              </w:rPr>
            </w:pPr>
            <w:r>
              <w:rPr>
                <w:rFonts w:hint="eastAsia"/>
                <w:sz w:val="24"/>
              </w:rPr>
              <w:t>（</w:t>
            </w:r>
            <w:r>
              <w:rPr>
                <w:sz w:val="24"/>
              </w:rPr>
              <w:t>2</w:t>
            </w:r>
            <w:r>
              <w:rPr>
                <w:rFonts w:hint="eastAsia"/>
                <w:sz w:val="24"/>
              </w:rPr>
              <w:t>）环境风险识别</w:t>
            </w:r>
          </w:p>
          <w:p>
            <w:pPr>
              <w:ind w:firstLine="480"/>
              <w:rPr>
                <w:sz w:val="24"/>
              </w:rPr>
            </w:pPr>
            <w:r>
              <w:rPr>
                <w:rFonts w:hint="eastAsia"/>
                <w:sz w:val="24"/>
              </w:rPr>
              <w:t>①环境风险物质识别</w:t>
            </w:r>
          </w:p>
          <w:p>
            <w:pPr>
              <w:ind w:firstLine="480"/>
              <w:rPr>
                <w:sz w:val="24"/>
              </w:rPr>
            </w:pPr>
            <w:r>
              <w:rPr>
                <w:rFonts w:hint="eastAsia"/>
                <w:sz w:val="24"/>
              </w:rPr>
              <w:t>根据风险调查，项目所涉及的环境风险物质理化性质和毒性情况如下。</w:t>
            </w:r>
          </w:p>
          <w:p>
            <w:pPr>
              <w:spacing w:line="240" w:lineRule="auto"/>
              <w:ind w:firstLine="482"/>
              <w:jc w:val="center"/>
              <w:rPr>
                <w:b/>
                <w:sz w:val="24"/>
              </w:rPr>
            </w:pPr>
            <w:r>
              <w:rPr>
                <w:rFonts w:hint="eastAsia"/>
                <w:b/>
                <w:sz w:val="24"/>
              </w:rPr>
              <w:t>表</w:t>
            </w:r>
            <w:r>
              <w:rPr>
                <w:b/>
                <w:sz w:val="24"/>
              </w:rPr>
              <w:t>4-2</w:t>
            </w:r>
            <w:r>
              <w:rPr>
                <w:rFonts w:hint="eastAsia"/>
                <w:b/>
                <w:sz w:val="24"/>
              </w:rPr>
              <w:t>5  风险物质</w:t>
            </w:r>
            <w:r>
              <w:rPr>
                <w:b/>
                <w:sz w:val="24"/>
              </w:rPr>
              <w:t>的理化性质和</w:t>
            </w:r>
            <w:r>
              <w:rPr>
                <w:rFonts w:hint="eastAsia"/>
                <w:b/>
                <w:sz w:val="24"/>
              </w:rPr>
              <w:t>危害性</w:t>
            </w:r>
            <w:r>
              <w:rPr>
                <w:b/>
                <w:sz w:val="24"/>
              </w:rPr>
              <w:t>一览表</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9"/>
              <w:gridCol w:w="1267"/>
              <w:gridCol w:w="2413"/>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9" w:type="dxa"/>
                  <w:shd w:val="pct10" w:color="auto" w:fill="auto"/>
                  <w:vAlign w:val="center"/>
                </w:tcPr>
                <w:p>
                  <w:pPr>
                    <w:pStyle w:val="55"/>
                    <w:autoSpaceDE/>
                    <w:autoSpaceDN/>
                    <w:adjustRightInd w:val="0"/>
                    <w:snapToGrid w:val="0"/>
                    <w:rPr>
                      <w:rFonts w:ascii="Times New Roman" w:cs="Times New Roman" w:eastAsiaTheme="minorEastAsia"/>
                      <w:b/>
                      <w:bCs/>
                      <w:sz w:val="24"/>
                      <w:szCs w:val="24"/>
                    </w:rPr>
                  </w:pPr>
                  <w:r>
                    <w:rPr>
                      <w:rFonts w:hint="eastAsia"/>
                      <w:b/>
                      <w:bCs/>
                      <w:sz w:val="24"/>
                      <w:szCs w:val="24"/>
                    </w:rPr>
                    <w:t>名称</w:t>
                  </w:r>
                </w:p>
              </w:tc>
              <w:tc>
                <w:tcPr>
                  <w:tcW w:w="1267" w:type="dxa"/>
                  <w:shd w:val="pct10" w:color="auto" w:fill="auto"/>
                  <w:vAlign w:val="center"/>
                </w:tcPr>
                <w:p>
                  <w:pPr>
                    <w:pStyle w:val="55"/>
                    <w:autoSpaceDE/>
                    <w:autoSpaceDN/>
                    <w:adjustRightInd w:val="0"/>
                    <w:snapToGrid w:val="0"/>
                    <w:rPr>
                      <w:rFonts w:ascii="Times New Roman" w:cs="Times New Roman" w:eastAsiaTheme="minorEastAsia"/>
                      <w:b/>
                      <w:bCs/>
                      <w:sz w:val="24"/>
                      <w:szCs w:val="24"/>
                    </w:rPr>
                  </w:pPr>
                  <w:r>
                    <w:rPr>
                      <w:rFonts w:hint="eastAsia"/>
                      <w:b/>
                      <w:bCs/>
                      <w:sz w:val="24"/>
                      <w:szCs w:val="24"/>
                    </w:rPr>
                    <w:t>理化性质</w:t>
                  </w:r>
                </w:p>
              </w:tc>
              <w:tc>
                <w:tcPr>
                  <w:tcW w:w="2413" w:type="dxa"/>
                  <w:shd w:val="pct10" w:color="auto" w:fill="auto"/>
                  <w:vAlign w:val="center"/>
                </w:tcPr>
                <w:p>
                  <w:pPr>
                    <w:pStyle w:val="55"/>
                    <w:autoSpaceDE/>
                    <w:autoSpaceDN/>
                    <w:adjustRightInd w:val="0"/>
                    <w:snapToGrid w:val="0"/>
                    <w:rPr>
                      <w:rFonts w:ascii="Times New Roman" w:cs="Times New Roman" w:eastAsiaTheme="minorEastAsia"/>
                      <w:b/>
                      <w:bCs/>
                      <w:sz w:val="24"/>
                      <w:szCs w:val="24"/>
                    </w:rPr>
                  </w:pPr>
                  <w:r>
                    <w:rPr>
                      <w:rFonts w:hint="eastAsia"/>
                      <w:b/>
                      <w:bCs/>
                      <w:sz w:val="24"/>
                      <w:szCs w:val="24"/>
                    </w:rPr>
                    <w:t>燃爆危险性</w:t>
                  </w:r>
                </w:p>
              </w:tc>
              <w:tc>
                <w:tcPr>
                  <w:tcW w:w="3811" w:type="dxa"/>
                  <w:shd w:val="pct10" w:color="auto" w:fill="auto"/>
                  <w:vAlign w:val="center"/>
                </w:tcPr>
                <w:p>
                  <w:pPr>
                    <w:pStyle w:val="55"/>
                    <w:autoSpaceDE/>
                    <w:autoSpaceDN/>
                    <w:adjustRightInd w:val="0"/>
                    <w:snapToGrid w:val="0"/>
                    <w:rPr>
                      <w:rFonts w:ascii="Times New Roman" w:cs="Times New Roman" w:eastAsiaTheme="minorEastAsia"/>
                      <w:b/>
                      <w:bCs/>
                      <w:sz w:val="24"/>
                      <w:szCs w:val="24"/>
                    </w:rPr>
                  </w:pPr>
                  <w:r>
                    <w:rPr>
                      <w:rFonts w:hint="eastAsia"/>
                      <w:b/>
                      <w:bCs/>
                      <w:sz w:val="24"/>
                      <w:szCs w:val="24"/>
                    </w:rPr>
                    <w:t>毒性危害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9" w:type="dxa"/>
                  <w:vAlign w:val="center"/>
                </w:tcPr>
                <w:p>
                  <w:pPr>
                    <w:pStyle w:val="55"/>
                    <w:autoSpaceDE/>
                    <w:autoSpaceDN/>
                    <w:adjustRightInd w:val="0"/>
                    <w:snapToGrid w:val="0"/>
                    <w:rPr>
                      <w:rFonts w:ascii="Times New Roman" w:cs="Times New Roman" w:eastAsiaTheme="minorEastAsia"/>
                      <w:sz w:val="24"/>
                      <w:szCs w:val="24"/>
                    </w:rPr>
                  </w:pPr>
                  <w:r>
                    <w:rPr>
                      <w:rFonts w:hint="eastAsia"/>
                      <w:sz w:val="24"/>
                      <w:szCs w:val="24"/>
                    </w:rPr>
                    <w:t>汽油</w:t>
                  </w:r>
                </w:p>
              </w:tc>
              <w:tc>
                <w:tcPr>
                  <w:tcW w:w="1267" w:type="dxa"/>
                  <w:vAlign w:val="center"/>
                </w:tcPr>
                <w:p>
                  <w:pPr>
                    <w:pStyle w:val="55"/>
                    <w:autoSpaceDE/>
                    <w:autoSpaceDN/>
                    <w:adjustRightInd w:val="0"/>
                    <w:snapToGrid w:val="0"/>
                    <w:rPr>
                      <w:rFonts w:ascii="Times New Roman" w:cs="Times New Roman" w:eastAsiaTheme="minorEastAsia"/>
                      <w:sz w:val="24"/>
                      <w:szCs w:val="24"/>
                    </w:rPr>
                  </w:pPr>
                  <w:r>
                    <w:rPr>
                      <w:rFonts w:hint="eastAsia"/>
                      <w:sz w:val="24"/>
                      <w:szCs w:val="24"/>
                    </w:rPr>
                    <w:t>具有挥发性和易燃性</w:t>
                  </w:r>
                </w:p>
              </w:tc>
              <w:tc>
                <w:tcPr>
                  <w:tcW w:w="2413" w:type="dxa"/>
                  <w:vAlign w:val="center"/>
                </w:tcPr>
                <w:p>
                  <w:pPr>
                    <w:pStyle w:val="55"/>
                    <w:autoSpaceDE/>
                    <w:autoSpaceDN/>
                    <w:adjustRightInd w:val="0"/>
                    <w:snapToGrid w:val="0"/>
                    <w:rPr>
                      <w:rFonts w:ascii="Times New Roman" w:cs="Times New Roman" w:eastAsiaTheme="minorEastAsia"/>
                      <w:sz w:val="24"/>
                      <w:szCs w:val="24"/>
                      <w:lang w:eastAsia="zh-CN"/>
                    </w:rPr>
                  </w:pPr>
                  <w:r>
                    <w:rPr>
                      <w:rFonts w:hint="eastAsia"/>
                      <w:sz w:val="24"/>
                      <w:szCs w:val="24"/>
                      <w:lang w:eastAsia="zh-CN"/>
                    </w:rPr>
                    <w:t>爆炸危险组别</w:t>
                  </w:r>
                  <w:r>
                    <w:rPr>
                      <w:rFonts w:ascii="Times New Roman" w:cs="Times New Roman"/>
                      <w:sz w:val="24"/>
                      <w:szCs w:val="24"/>
                      <w:lang w:eastAsia="zh-CN"/>
                    </w:rPr>
                    <w:t>/</w:t>
                  </w:r>
                  <w:r>
                    <w:rPr>
                      <w:rFonts w:hint="eastAsia"/>
                      <w:sz w:val="24"/>
                      <w:szCs w:val="24"/>
                      <w:lang w:eastAsia="zh-CN"/>
                    </w:rPr>
                    <w:t>类别为</w:t>
                  </w:r>
                  <w:r>
                    <w:rPr>
                      <w:rFonts w:ascii="Times New Roman" w:cs="Times New Roman"/>
                      <w:sz w:val="24"/>
                      <w:szCs w:val="24"/>
                      <w:lang w:eastAsia="zh-CN"/>
                    </w:rPr>
                    <w:t>T3/IIA</w:t>
                  </w:r>
                  <w:r>
                    <w:rPr>
                      <w:rFonts w:hint="eastAsia"/>
                      <w:sz w:val="24"/>
                      <w:szCs w:val="24"/>
                      <w:lang w:eastAsia="zh-CN"/>
                    </w:rPr>
                    <w:t>，其闪点为</w:t>
                  </w:r>
                  <w:r>
                    <w:rPr>
                      <w:rFonts w:ascii="Times New Roman" w:cs="Times New Roman"/>
                      <w:sz w:val="24"/>
                      <w:szCs w:val="24"/>
                      <w:lang w:eastAsia="zh-CN"/>
                    </w:rPr>
                    <w:t>-50</w:t>
                  </w:r>
                  <w:r>
                    <w:rPr>
                      <w:rFonts w:hint="eastAsia"/>
                      <w:sz w:val="24"/>
                      <w:szCs w:val="24"/>
                      <w:lang w:eastAsia="zh-CN"/>
                    </w:rPr>
                    <w:t>℃，爆炸下限为</w:t>
                  </w:r>
                  <w:r>
                    <w:rPr>
                      <w:rFonts w:ascii="Times New Roman" w:cs="Times New Roman"/>
                      <w:sz w:val="24"/>
                      <w:szCs w:val="24"/>
                      <w:lang w:eastAsia="zh-CN"/>
                    </w:rPr>
                    <w:t>1%</w:t>
                  </w:r>
                  <w:r>
                    <w:rPr>
                      <w:rFonts w:hint="eastAsia"/>
                      <w:sz w:val="24"/>
                      <w:szCs w:val="24"/>
                      <w:lang w:eastAsia="zh-CN"/>
                    </w:rPr>
                    <w:t>，爆炸上限为</w:t>
                  </w:r>
                  <w:r>
                    <w:rPr>
                      <w:rFonts w:ascii="Times New Roman" w:cs="Times New Roman"/>
                      <w:sz w:val="24"/>
                      <w:szCs w:val="24"/>
                      <w:lang w:eastAsia="zh-CN"/>
                    </w:rPr>
                    <w:t>7.6%</w:t>
                  </w:r>
                  <w:r>
                    <w:rPr>
                      <w:rFonts w:hint="eastAsia"/>
                      <w:sz w:val="24"/>
                      <w:szCs w:val="24"/>
                      <w:lang w:eastAsia="zh-CN"/>
                    </w:rPr>
                    <w:t>，其蒸气与空气混合成为爆炸性混合物，遇明火、高热、氧化剂时极易引起燃烧爆炸危险。</w:t>
                  </w:r>
                </w:p>
              </w:tc>
              <w:tc>
                <w:tcPr>
                  <w:tcW w:w="3811" w:type="dxa"/>
                  <w:vAlign w:val="center"/>
                </w:tcPr>
                <w:p>
                  <w:pPr>
                    <w:pStyle w:val="55"/>
                    <w:autoSpaceDE/>
                    <w:autoSpaceDN/>
                    <w:adjustRightInd w:val="0"/>
                    <w:snapToGrid w:val="0"/>
                    <w:rPr>
                      <w:sz w:val="24"/>
                      <w:szCs w:val="24"/>
                      <w:lang w:eastAsia="zh-CN"/>
                    </w:rPr>
                  </w:pPr>
                  <w:r>
                    <w:rPr>
                      <w:rFonts w:hint="eastAsia"/>
                      <w:sz w:val="24"/>
                      <w:szCs w:val="24"/>
                      <w:lang w:eastAsia="zh-CN"/>
                    </w:rPr>
                    <w:t>急性毒性：</w:t>
                  </w:r>
                  <w:r>
                    <w:rPr>
                      <w:rFonts w:ascii="Times New Roman" w:cs="Times New Roman"/>
                      <w:sz w:val="24"/>
                      <w:szCs w:val="24"/>
                      <w:lang w:eastAsia="zh-CN"/>
                    </w:rPr>
                    <w:t>LD50 67000mg/kg</w:t>
                  </w:r>
                  <w:r>
                    <w:rPr>
                      <w:rFonts w:hint="eastAsia"/>
                      <w:sz w:val="24"/>
                      <w:szCs w:val="24"/>
                      <w:lang w:eastAsia="zh-CN"/>
                    </w:rPr>
                    <w:t>（小鼠经口）；</w:t>
                  </w:r>
                  <w:r>
                    <w:rPr>
                      <w:rFonts w:ascii="Times New Roman" w:cs="Times New Roman"/>
                      <w:sz w:val="24"/>
                      <w:szCs w:val="24"/>
                      <w:lang w:eastAsia="zh-CN"/>
                    </w:rPr>
                    <w:t>LC50 103000mg/m</w:t>
                  </w:r>
                  <w:r>
                    <w:rPr>
                      <w:rFonts w:ascii="Times New Roman" w:cs="Times New Roman"/>
                      <w:sz w:val="24"/>
                      <w:szCs w:val="24"/>
                      <w:vertAlign w:val="superscript"/>
                      <w:lang w:eastAsia="zh-CN"/>
                    </w:rPr>
                    <w:t>3</w:t>
                  </w:r>
                  <w:r>
                    <w:rPr>
                      <w:rFonts w:hint="eastAsia"/>
                      <w:sz w:val="24"/>
                      <w:szCs w:val="24"/>
                      <w:lang w:eastAsia="zh-CN"/>
                    </w:rPr>
                    <w:t>，</w:t>
                  </w:r>
                  <w:r>
                    <w:rPr>
                      <w:rFonts w:ascii="Times New Roman" w:cs="Times New Roman"/>
                      <w:sz w:val="24"/>
                      <w:szCs w:val="24"/>
                      <w:lang w:eastAsia="zh-CN"/>
                    </w:rPr>
                    <w:t>2</w:t>
                  </w:r>
                  <w:r>
                    <w:rPr>
                      <w:rFonts w:hint="eastAsia"/>
                      <w:sz w:val="24"/>
                      <w:szCs w:val="24"/>
                      <w:lang w:eastAsia="zh-CN"/>
                    </w:rPr>
                    <w:t>小时（小鼠吸入）。易于从呼吸道或溶解皮脂从皮肤侵入人体，引起急性和慢性中毒，当空气中汽油蒸气浓度达到</w:t>
                  </w:r>
                  <w:r>
                    <w:rPr>
                      <w:rFonts w:ascii="Times New Roman" w:cs="Times New Roman"/>
                      <w:sz w:val="24"/>
                      <w:szCs w:val="24"/>
                      <w:lang w:eastAsia="zh-CN"/>
                    </w:rPr>
                    <w:t>30~40mg/L</w:t>
                  </w:r>
                  <w:r>
                    <w:rPr>
                      <w:rFonts w:hint="eastAsia"/>
                      <w:sz w:val="24"/>
                      <w:szCs w:val="24"/>
                      <w:lang w:eastAsia="zh-CN"/>
                    </w:rPr>
                    <w:t>时，人呼吸半小时后，即导致生命危险。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9" w:type="dxa"/>
                  <w:vAlign w:val="center"/>
                </w:tcPr>
                <w:p>
                  <w:pPr>
                    <w:pStyle w:val="55"/>
                    <w:autoSpaceDE/>
                    <w:autoSpaceDN/>
                    <w:adjustRightInd w:val="0"/>
                    <w:snapToGrid w:val="0"/>
                    <w:rPr>
                      <w:sz w:val="24"/>
                      <w:szCs w:val="24"/>
                    </w:rPr>
                  </w:pPr>
                  <w:r>
                    <w:rPr>
                      <w:rFonts w:hint="eastAsia"/>
                      <w:sz w:val="24"/>
                      <w:szCs w:val="24"/>
                    </w:rPr>
                    <w:t>硫酸（蓄电池）</w:t>
                  </w:r>
                </w:p>
              </w:tc>
              <w:tc>
                <w:tcPr>
                  <w:tcW w:w="1267" w:type="dxa"/>
                  <w:vAlign w:val="center"/>
                </w:tcPr>
                <w:p>
                  <w:pPr>
                    <w:pStyle w:val="55"/>
                    <w:autoSpaceDE/>
                    <w:autoSpaceDN/>
                    <w:adjustRightInd w:val="0"/>
                    <w:snapToGrid w:val="0"/>
                    <w:rPr>
                      <w:rFonts w:ascii="Times New Roman" w:cs="Times New Roman" w:eastAsiaTheme="minorEastAsia"/>
                      <w:sz w:val="24"/>
                      <w:szCs w:val="24"/>
                    </w:rPr>
                  </w:pPr>
                  <w:r>
                    <w:rPr>
                      <w:rFonts w:hint="eastAsia"/>
                      <w:sz w:val="24"/>
                      <w:szCs w:val="24"/>
                    </w:rPr>
                    <w:t>对水有很大亲和力</w:t>
                  </w:r>
                </w:p>
              </w:tc>
              <w:tc>
                <w:tcPr>
                  <w:tcW w:w="2413" w:type="dxa"/>
                  <w:vAlign w:val="center"/>
                </w:tcPr>
                <w:p>
                  <w:pPr>
                    <w:pStyle w:val="55"/>
                    <w:autoSpaceDE/>
                    <w:autoSpaceDN/>
                    <w:adjustRightInd w:val="0"/>
                    <w:snapToGrid w:val="0"/>
                    <w:rPr>
                      <w:rFonts w:ascii="Times New Roman" w:cs="Times New Roman" w:eastAsiaTheme="minorEastAsia"/>
                      <w:sz w:val="24"/>
                      <w:szCs w:val="24"/>
                      <w:lang w:eastAsia="zh-CN"/>
                    </w:rPr>
                  </w:pPr>
                  <w:r>
                    <w:rPr>
                      <w:rFonts w:hint="eastAsia"/>
                      <w:sz w:val="24"/>
                      <w:szCs w:val="24"/>
                      <w:lang w:eastAsia="zh-CN"/>
                    </w:rPr>
                    <w:t>与许多物质接触能燃烧甚至爆炸</w:t>
                  </w:r>
                </w:p>
              </w:tc>
              <w:tc>
                <w:tcPr>
                  <w:tcW w:w="3811" w:type="dxa"/>
                  <w:vAlign w:val="center"/>
                </w:tcPr>
                <w:p>
                  <w:pPr>
                    <w:pStyle w:val="55"/>
                    <w:autoSpaceDE/>
                    <w:autoSpaceDN/>
                    <w:adjustRightInd w:val="0"/>
                    <w:snapToGrid w:val="0"/>
                    <w:rPr>
                      <w:rFonts w:ascii="Times New Roman" w:cs="Times New Roman"/>
                      <w:sz w:val="24"/>
                      <w:szCs w:val="24"/>
                      <w:lang w:eastAsia="zh-CN"/>
                    </w:rPr>
                  </w:pPr>
                  <w:r>
                    <w:rPr>
                      <w:rFonts w:hint="eastAsia"/>
                      <w:sz w:val="24"/>
                      <w:szCs w:val="24"/>
                      <w:lang w:eastAsia="zh-CN"/>
                    </w:rPr>
                    <w:t>很强酸性氧化剂，急性毒性：</w:t>
                  </w:r>
                  <w:r>
                    <w:rPr>
                      <w:rFonts w:ascii="Times New Roman" w:cs="Times New Roman"/>
                      <w:sz w:val="24"/>
                      <w:szCs w:val="24"/>
                      <w:lang w:eastAsia="zh-CN"/>
                    </w:rPr>
                    <w:t>LD50</w:t>
                  </w:r>
                </w:p>
                <w:p>
                  <w:pPr>
                    <w:pStyle w:val="55"/>
                    <w:autoSpaceDE/>
                    <w:autoSpaceDN/>
                    <w:adjustRightInd w:val="0"/>
                    <w:snapToGrid w:val="0"/>
                    <w:rPr>
                      <w:rFonts w:ascii="Times New Roman" w:cs="Times New Roman" w:eastAsiaTheme="minorEastAsia"/>
                      <w:sz w:val="24"/>
                      <w:szCs w:val="24"/>
                    </w:rPr>
                  </w:pPr>
                  <w:r>
                    <w:rPr>
                      <w:rFonts w:ascii="Times New Roman" w:cs="Times New Roman" w:eastAsiaTheme="minorEastAsia"/>
                      <w:sz w:val="24"/>
                      <w:szCs w:val="24"/>
                    </w:rPr>
                    <w:t>2140mg/kg</w:t>
                  </w:r>
                  <w:r>
                    <w:rPr>
                      <w:rFonts w:hint="eastAsia" w:ascii="Times New Roman" w:cs="Times New Roman" w:eastAsiaTheme="minorEastAsia"/>
                      <w:sz w:val="24"/>
                      <w:szCs w:val="24"/>
                      <w:lang w:eastAsia="zh-CN"/>
                    </w:rPr>
                    <w:t>（</w:t>
                  </w:r>
                  <w:r>
                    <w:rPr>
                      <w:rFonts w:hint="eastAsia"/>
                      <w:sz w:val="24"/>
                      <w:szCs w:val="24"/>
                    </w:rPr>
                    <w:t>大鼠经口</w:t>
                  </w:r>
                  <w:r>
                    <w:rPr>
                      <w:rFonts w:hint="eastAsia" w:ascii="Times New Roman" w:cs="Times New Roman" w:eastAsiaTheme="minorEastAsia"/>
                      <w:sz w:val="24"/>
                      <w:szCs w:val="24"/>
                      <w:lang w:eastAsia="zh-CN"/>
                    </w:rPr>
                    <w:t>）</w:t>
                  </w:r>
                  <w:r>
                    <w:rPr>
                      <w:rFonts w:hint="eastAsia"/>
                      <w:sz w:val="24"/>
                      <w:szCs w:val="24"/>
                    </w:rPr>
                    <w:t>；</w:t>
                  </w:r>
                  <w:r>
                    <w:rPr>
                      <w:rFonts w:ascii="Times New Roman" w:cs="Times New Roman"/>
                      <w:sz w:val="24"/>
                      <w:szCs w:val="24"/>
                    </w:rPr>
                    <w:t>LC50510mg/m</w:t>
                  </w:r>
                  <w:r>
                    <w:rPr>
                      <w:rFonts w:ascii="Times New Roman" w:cs="Times New Roman"/>
                      <w:sz w:val="24"/>
                      <w:szCs w:val="24"/>
                      <w:vertAlign w:val="superscript"/>
                    </w:rPr>
                    <w:t>3</w:t>
                  </w:r>
                  <w:r>
                    <w:rPr>
                      <w:rFonts w:hint="eastAsia"/>
                      <w:sz w:val="24"/>
                      <w:szCs w:val="24"/>
                    </w:rPr>
                    <w:t>，</w:t>
                  </w:r>
                  <w:r>
                    <w:rPr>
                      <w:rFonts w:ascii="Times New Roman" w:cs="Times New Roman"/>
                      <w:sz w:val="24"/>
                      <w:szCs w:val="24"/>
                    </w:rPr>
                    <w:t>2</w:t>
                  </w:r>
                  <w:r>
                    <w:rPr>
                      <w:rFonts w:hint="eastAsia"/>
                      <w:sz w:val="24"/>
                      <w:szCs w:val="24"/>
                    </w:rPr>
                    <w:t>小时</w:t>
                  </w:r>
                  <w:r>
                    <w:rPr>
                      <w:rFonts w:hint="eastAsia"/>
                      <w:sz w:val="24"/>
                      <w:szCs w:val="24"/>
                      <w:lang w:eastAsia="zh-CN"/>
                    </w:rPr>
                    <w:t>（</w:t>
                  </w:r>
                  <w:r>
                    <w:rPr>
                      <w:rFonts w:hint="eastAsia"/>
                      <w:sz w:val="24"/>
                      <w:szCs w:val="24"/>
                    </w:rPr>
                    <w:t>大鼠吸入</w:t>
                  </w:r>
                  <w:r>
                    <w:rPr>
                      <w:rFonts w:hint="eastAsia"/>
                      <w:sz w:val="24"/>
                      <w:szCs w:val="24"/>
                      <w:lang w:eastAsia="zh-CN"/>
                    </w:rPr>
                    <w:t>）</w:t>
                  </w:r>
                  <w:r>
                    <w:rPr>
                      <w:rFonts w:hint="eastAsia"/>
                      <w:sz w:val="24"/>
                      <w:szCs w:val="24"/>
                    </w:rPr>
                    <w:t>；</w:t>
                  </w:r>
                  <w:r>
                    <w:rPr>
                      <w:rFonts w:ascii="Times New Roman" w:cs="Times New Roman"/>
                      <w:sz w:val="24"/>
                      <w:szCs w:val="24"/>
                    </w:rPr>
                    <w:t>320mg/m</w:t>
                  </w:r>
                  <w:r>
                    <w:rPr>
                      <w:rFonts w:ascii="Times New Roman" w:cs="Times New Roman"/>
                      <w:sz w:val="24"/>
                      <w:szCs w:val="24"/>
                      <w:vertAlign w:val="superscript"/>
                    </w:rPr>
                    <w:t>3</w:t>
                  </w:r>
                  <w:r>
                    <w:rPr>
                      <w:rFonts w:hint="eastAsia"/>
                      <w:sz w:val="24"/>
                      <w:szCs w:val="24"/>
                    </w:rPr>
                    <w:t>，</w:t>
                  </w:r>
                  <w:r>
                    <w:rPr>
                      <w:rFonts w:ascii="Times New Roman" w:cs="Times New Roman"/>
                      <w:sz w:val="24"/>
                      <w:szCs w:val="24"/>
                    </w:rPr>
                    <w:t>2</w:t>
                  </w:r>
                  <w:r>
                    <w:rPr>
                      <w:rFonts w:hint="eastAsia"/>
                      <w:sz w:val="24"/>
                      <w:szCs w:val="24"/>
                    </w:rPr>
                    <w:t>小时</w:t>
                  </w:r>
                  <w:r>
                    <w:rPr>
                      <w:rFonts w:hint="eastAsia"/>
                      <w:sz w:val="24"/>
                      <w:szCs w:val="24"/>
                      <w:lang w:eastAsia="zh-CN"/>
                    </w:rPr>
                    <w:t>（</w:t>
                  </w:r>
                  <w:r>
                    <w:rPr>
                      <w:rFonts w:hint="eastAsia"/>
                      <w:sz w:val="24"/>
                      <w:szCs w:val="24"/>
                    </w:rPr>
                    <w:t>小鼠吸入</w:t>
                  </w:r>
                  <w:r>
                    <w:rPr>
                      <w:rFonts w:hint="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9" w:type="dxa"/>
                  <w:vAlign w:val="center"/>
                </w:tcPr>
                <w:p>
                  <w:pPr>
                    <w:pStyle w:val="55"/>
                    <w:autoSpaceDE/>
                    <w:autoSpaceDN/>
                    <w:adjustRightInd w:val="0"/>
                    <w:snapToGrid w:val="0"/>
                    <w:rPr>
                      <w:rFonts w:ascii="Times New Roman" w:cs="Times New Roman" w:eastAsiaTheme="minorEastAsia"/>
                      <w:sz w:val="24"/>
                      <w:szCs w:val="24"/>
                    </w:rPr>
                  </w:pPr>
                  <w:r>
                    <w:rPr>
                      <w:rFonts w:hint="eastAsia"/>
                      <w:sz w:val="24"/>
                      <w:szCs w:val="24"/>
                    </w:rPr>
                    <w:t>柴油</w:t>
                  </w:r>
                </w:p>
              </w:tc>
              <w:tc>
                <w:tcPr>
                  <w:tcW w:w="1267" w:type="dxa"/>
                  <w:vAlign w:val="center"/>
                </w:tcPr>
                <w:p>
                  <w:pPr>
                    <w:pStyle w:val="55"/>
                    <w:autoSpaceDE/>
                    <w:autoSpaceDN/>
                    <w:adjustRightInd w:val="0"/>
                    <w:snapToGrid w:val="0"/>
                    <w:rPr>
                      <w:rFonts w:ascii="Times New Roman" w:cs="Times New Roman" w:eastAsiaTheme="minorEastAsia"/>
                      <w:sz w:val="24"/>
                      <w:szCs w:val="24"/>
                    </w:rPr>
                  </w:pPr>
                  <w:r>
                    <w:rPr>
                      <w:rFonts w:hint="eastAsia"/>
                      <w:sz w:val="24"/>
                      <w:szCs w:val="24"/>
                    </w:rPr>
                    <w:t>稍有粘性</w:t>
                  </w:r>
                </w:p>
              </w:tc>
              <w:tc>
                <w:tcPr>
                  <w:tcW w:w="2413" w:type="dxa"/>
                  <w:vAlign w:val="center"/>
                </w:tcPr>
                <w:p>
                  <w:pPr>
                    <w:pStyle w:val="55"/>
                    <w:autoSpaceDE/>
                    <w:autoSpaceDN/>
                    <w:adjustRightInd w:val="0"/>
                    <w:snapToGrid w:val="0"/>
                    <w:rPr>
                      <w:rFonts w:ascii="Times New Roman" w:cs="Times New Roman" w:eastAsiaTheme="minorEastAsia"/>
                      <w:sz w:val="24"/>
                      <w:szCs w:val="24"/>
                      <w:lang w:eastAsia="zh-CN"/>
                    </w:rPr>
                  </w:pPr>
                  <w:r>
                    <w:rPr>
                      <w:rFonts w:hint="eastAsia"/>
                      <w:sz w:val="24"/>
                      <w:szCs w:val="24"/>
                      <w:lang w:eastAsia="zh-CN"/>
                    </w:rPr>
                    <w:t>火灾危险程度的乙或丙类物质，其闪点</w:t>
                  </w:r>
                  <w:r>
                    <w:rPr>
                      <w:rFonts w:ascii="Times New Roman" w:cs="Times New Roman"/>
                      <w:sz w:val="24"/>
                      <w:szCs w:val="24"/>
                      <w:lang w:eastAsia="zh-CN"/>
                    </w:rPr>
                    <w:t>≥60</w:t>
                  </w:r>
                  <w:r>
                    <w:rPr>
                      <w:rFonts w:hint="eastAsia"/>
                      <w:sz w:val="24"/>
                      <w:szCs w:val="24"/>
                      <w:lang w:eastAsia="zh-CN"/>
                    </w:rPr>
                    <w:t>℃，爆炸危险组别</w:t>
                  </w:r>
                  <w:r>
                    <w:rPr>
                      <w:rFonts w:ascii="Times New Roman" w:cs="Times New Roman"/>
                      <w:sz w:val="24"/>
                      <w:szCs w:val="24"/>
                      <w:lang w:eastAsia="zh-CN"/>
                    </w:rPr>
                    <w:t>/</w:t>
                  </w:r>
                  <w:r>
                    <w:rPr>
                      <w:rFonts w:hint="eastAsia"/>
                      <w:sz w:val="24"/>
                      <w:szCs w:val="24"/>
                      <w:lang w:eastAsia="zh-CN"/>
                    </w:rPr>
                    <w:t>类别为</w:t>
                  </w:r>
                  <w:r>
                    <w:rPr>
                      <w:rFonts w:ascii="Times New Roman" w:cs="Times New Roman"/>
                      <w:sz w:val="24"/>
                      <w:szCs w:val="24"/>
                      <w:lang w:eastAsia="zh-CN"/>
                    </w:rPr>
                    <w:t>T3/IIA</w:t>
                  </w:r>
                  <w:r>
                    <w:rPr>
                      <w:rFonts w:hint="eastAsia"/>
                      <w:sz w:val="24"/>
                      <w:szCs w:val="24"/>
                      <w:lang w:eastAsia="zh-CN"/>
                    </w:rPr>
                    <w:t>，未列入危险化学品范围</w:t>
                  </w:r>
                </w:p>
              </w:tc>
              <w:tc>
                <w:tcPr>
                  <w:tcW w:w="3811" w:type="dxa"/>
                  <w:vAlign w:val="center"/>
                </w:tcPr>
                <w:p>
                  <w:pPr>
                    <w:pStyle w:val="55"/>
                    <w:autoSpaceDE/>
                    <w:autoSpaceDN/>
                    <w:adjustRightInd w:val="0"/>
                    <w:snapToGrid w:val="0"/>
                    <w:rPr>
                      <w:rFonts w:ascii="Times New Roman" w:cs="Times New Roman" w:eastAsiaTheme="minorEastAsia"/>
                      <w:sz w:val="24"/>
                      <w:szCs w:val="24"/>
                      <w:lang w:eastAsia="zh-CN"/>
                    </w:rPr>
                  </w:pPr>
                  <w:r>
                    <w:rPr>
                      <w:rFonts w:hint="eastAsia"/>
                      <w:sz w:val="24"/>
                      <w:szCs w:val="24"/>
                      <w:lang w:eastAsia="zh-CN"/>
                    </w:rPr>
                    <w:t>对皮肤粘膜有刺激作用。皮肤接触柴油可引起接触性皮炎、油性痤疮。吸入柴油雾滴可引起吸入性肺炎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9" w:type="dxa"/>
                  <w:vAlign w:val="center"/>
                </w:tcPr>
                <w:p>
                  <w:pPr>
                    <w:pStyle w:val="55"/>
                    <w:autoSpaceDE/>
                    <w:autoSpaceDN/>
                    <w:adjustRightInd w:val="0"/>
                    <w:snapToGrid w:val="0"/>
                    <w:rPr>
                      <w:rFonts w:ascii="Times New Roman" w:cs="Times New Roman" w:eastAsiaTheme="minorEastAsia"/>
                      <w:sz w:val="24"/>
                      <w:szCs w:val="24"/>
                    </w:rPr>
                  </w:pPr>
                  <w:r>
                    <w:rPr>
                      <w:rFonts w:hint="eastAsia"/>
                      <w:sz w:val="24"/>
                      <w:szCs w:val="24"/>
                    </w:rPr>
                    <w:t>润滑油</w:t>
                  </w:r>
                </w:p>
              </w:tc>
              <w:tc>
                <w:tcPr>
                  <w:tcW w:w="1267" w:type="dxa"/>
                  <w:vAlign w:val="center"/>
                </w:tcPr>
                <w:p>
                  <w:pPr>
                    <w:pStyle w:val="55"/>
                    <w:autoSpaceDE/>
                    <w:autoSpaceDN/>
                    <w:adjustRightInd w:val="0"/>
                    <w:snapToGrid w:val="0"/>
                    <w:rPr>
                      <w:rFonts w:ascii="Times New Roman" w:cs="Times New Roman" w:eastAsiaTheme="minorEastAsia"/>
                      <w:sz w:val="24"/>
                      <w:szCs w:val="24"/>
                    </w:rPr>
                  </w:pPr>
                  <w:r>
                    <w:rPr>
                      <w:rFonts w:hint="eastAsia"/>
                      <w:sz w:val="24"/>
                      <w:szCs w:val="24"/>
                    </w:rPr>
                    <w:t>遇明火、高热可燃</w:t>
                  </w:r>
                </w:p>
              </w:tc>
              <w:tc>
                <w:tcPr>
                  <w:tcW w:w="2413" w:type="dxa"/>
                  <w:vAlign w:val="center"/>
                </w:tcPr>
                <w:p>
                  <w:pPr>
                    <w:pStyle w:val="55"/>
                    <w:autoSpaceDE/>
                    <w:autoSpaceDN/>
                    <w:adjustRightInd w:val="0"/>
                    <w:snapToGrid w:val="0"/>
                    <w:rPr>
                      <w:rFonts w:ascii="Times New Roman" w:cs="Times New Roman" w:eastAsiaTheme="minorEastAsia"/>
                      <w:sz w:val="24"/>
                      <w:szCs w:val="24"/>
                      <w:lang w:eastAsia="zh-CN"/>
                    </w:rPr>
                  </w:pPr>
                  <w:r>
                    <w:rPr>
                      <w:rFonts w:hint="eastAsia"/>
                      <w:sz w:val="24"/>
                      <w:szCs w:val="24"/>
                      <w:lang w:eastAsia="zh-CN"/>
                    </w:rPr>
                    <w:t>火灾危险程度的丙</w:t>
                  </w:r>
                  <w:r>
                    <w:rPr>
                      <w:rFonts w:ascii="Times New Roman" w:cs="Times New Roman"/>
                      <w:sz w:val="24"/>
                      <w:szCs w:val="24"/>
                      <w:lang w:eastAsia="zh-CN"/>
                    </w:rPr>
                    <w:t>B</w:t>
                  </w:r>
                  <w:r>
                    <w:rPr>
                      <w:rFonts w:hint="eastAsia"/>
                      <w:sz w:val="24"/>
                      <w:szCs w:val="24"/>
                      <w:lang w:eastAsia="zh-CN"/>
                    </w:rPr>
                    <w:t>类物质，闪点</w:t>
                  </w:r>
                  <w:r>
                    <w:rPr>
                      <w:rFonts w:ascii="Times New Roman" w:cs="Times New Roman"/>
                      <w:sz w:val="24"/>
                      <w:szCs w:val="24"/>
                      <w:lang w:eastAsia="zh-CN"/>
                    </w:rPr>
                    <w:t>≥120</w:t>
                  </w:r>
                  <w:r>
                    <w:rPr>
                      <w:rFonts w:hint="eastAsia"/>
                      <w:sz w:val="24"/>
                      <w:szCs w:val="24"/>
                      <w:lang w:eastAsia="zh-CN"/>
                    </w:rPr>
                    <w:t>℃，未列入危险化学品范围</w:t>
                  </w:r>
                </w:p>
              </w:tc>
              <w:tc>
                <w:tcPr>
                  <w:tcW w:w="3811" w:type="dxa"/>
                  <w:vAlign w:val="center"/>
                </w:tcPr>
                <w:p>
                  <w:pPr>
                    <w:pStyle w:val="55"/>
                    <w:autoSpaceDE/>
                    <w:autoSpaceDN/>
                    <w:adjustRightInd w:val="0"/>
                    <w:snapToGrid w:val="0"/>
                    <w:rPr>
                      <w:rFonts w:ascii="Times New Roman" w:cs="Times New Roman" w:eastAsiaTheme="minorEastAsia"/>
                      <w:sz w:val="24"/>
                      <w:szCs w:val="24"/>
                      <w:lang w:eastAsia="zh-CN"/>
                    </w:rPr>
                  </w:pPr>
                  <w:r>
                    <w:rPr>
                      <w:rFonts w:hint="eastAsia"/>
                      <w:sz w:val="24"/>
                      <w:szCs w:val="24"/>
                      <w:lang w:eastAsia="zh-CN"/>
                    </w:rPr>
                    <w:t>急性吸入，可出现乏力、头晕、头痛、恶心，严重者可引起油脂性肺炎</w:t>
                  </w:r>
                </w:p>
              </w:tc>
            </w:tr>
          </w:tbl>
          <w:p>
            <w:pPr>
              <w:ind w:firstLine="480"/>
              <w:rPr>
                <w:sz w:val="24"/>
              </w:rPr>
            </w:pPr>
            <w:r>
              <w:rPr>
                <w:rFonts w:hint="eastAsia"/>
                <w:sz w:val="24"/>
              </w:rPr>
              <w:t>②</w:t>
            </w:r>
            <w:r>
              <w:rPr>
                <w:rFonts w:hint="eastAsia" w:ascii="宋体" w:hAnsi="宋体"/>
                <w:sz w:val="24"/>
              </w:rPr>
              <w:t>生产过程中风险</w:t>
            </w:r>
            <w:r>
              <w:rPr>
                <w:rFonts w:ascii="宋体" w:hAnsi="宋体"/>
                <w:sz w:val="24"/>
              </w:rPr>
              <w:t>识别</w:t>
            </w:r>
          </w:p>
          <w:p>
            <w:pPr>
              <w:ind w:firstLine="480"/>
              <w:rPr>
                <w:sz w:val="24"/>
              </w:rPr>
            </w:pPr>
            <w:r>
              <w:rPr>
                <w:rFonts w:hint="eastAsia"/>
                <w:sz w:val="24"/>
              </w:rPr>
              <w:t>结合上述</w:t>
            </w:r>
            <w:r>
              <w:rPr>
                <w:sz w:val="24"/>
              </w:rPr>
              <w:t>风险物质，项目</w:t>
            </w:r>
            <w:r>
              <w:rPr>
                <w:rFonts w:hint="eastAsia"/>
                <w:sz w:val="24"/>
              </w:rPr>
              <w:t>生产</w:t>
            </w:r>
            <w:r>
              <w:rPr>
                <w:sz w:val="24"/>
              </w:rPr>
              <w:t>过程中可能存在的风险因素</w:t>
            </w:r>
            <w:r>
              <w:rPr>
                <w:rFonts w:hint="eastAsia"/>
                <w:sz w:val="24"/>
              </w:rPr>
              <w:t>如下。</w:t>
            </w:r>
          </w:p>
          <w:p>
            <w:pPr>
              <w:spacing w:line="240" w:lineRule="auto"/>
              <w:ind w:firstLine="482"/>
              <w:jc w:val="center"/>
              <w:rPr>
                <w:b/>
                <w:sz w:val="24"/>
              </w:rPr>
            </w:pPr>
            <w:r>
              <w:rPr>
                <w:rFonts w:hint="eastAsia"/>
                <w:b/>
                <w:sz w:val="24"/>
              </w:rPr>
              <w:t>表</w:t>
            </w:r>
            <w:r>
              <w:rPr>
                <w:b/>
                <w:sz w:val="24"/>
              </w:rPr>
              <w:t>4-</w:t>
            </w:r>
            <w:r>
              <w:rPr>
                <w:rFonts w:hint="eastAsia"/>
                <w:b/>
                <w:sz w:val="24"/>
              </w:rPr>
              <w:t>26  项目生产过程主要风险因素分析</w:t>
            </w:r>
          </w:p>
          <w:tbl>
            <w:tblPr>
              <w:tblStyle w:val="21"/>
              <w:tblW w:w="8300" w:type="dxa"/>
              <w:jc w:val="center"/>
              <w:tblInd w:w="0" w:type="dxa"/>
              <w:tblLayout w:type="fixed"/>
              <w:tblCellMar>
                <w:top w:w="0" w:type="dxa"/>
                <w:left w:w="0" w:type="dxa"/>
                <w:bottom w:w="0" w:type="dxa"/>
                <w:right w:w="0" w:type="dxa"/>
              </w:tblCellMar>
            </w:tblPr>
            <w:tblGrid>
              <w:gridCol w:w="1027"/>
              <w:gridCol w:w="1523"/>
              <w:gridCol w:w="5750"/>
            </w:tblGrid>
            <w:tr>
              <w:tblPrEx>
                <w:tblLayout w:type="fixed"/>
                <w:tblCellMar>
                  <w:top w:w="0" w:type="dxa"/>
                  <w:left w:w="0" w:type="dxa"/>
                  <w:bottom w:w="0" w:type="dxa"/>
                  <w:right w:w="0" w:type="dxa"/>
                </w:tblCellMar>
              </w:tblPrEx>
              <w:trPr>
                <w:trHeight w:val="454" w:hRule="atLeast"/>
                <w:jc w:val="center"/>
              </w:trPr>
              <w:tc>
                <w:tcPr>
                  <w:tcW w:w="1027" w:type="dxa"/>
                  <w:tcBorders>
                    <w:top w:val="single" w:color="000000" w:sz="4" w:space="0"/>
                    <w:left w:val="single" w:color="000000" w:sz="4" w:space="0"/>
                    <w:bottom w:val="single" w:color="000000" w:sz="4" w:space="0"/>
                    <w:right w:val="single" w:color="000000" w:sz="4" w:space="0"/>
                  </w:tcBorders>
                  <w:shd w:val="pct10" w:color="auto" w:fill="auto"/>
                  <w:vAlign w:val="center"/>
                </w:tcPr>
                <w:p>
                  <w:pPr>
                    <w:pStyle w:val="55"/>
                    <w:kinsoku w:val="0"/>
                    <w:overflowPunct w:val="0"/>
                    <w:adjustRightInd w:val="0"/>
                    <w:snapToGrid w:val="0"/>
                    <w:rPr>
                      <w:rFonts w:ascii="Times New Roman" w:hAnsi="Times New Roman" w:cs="Times New Roman"/>
                      <w:b/>
                      <w:sz w:val="24"/>
                      <w:szCs w:val="24"/>
                    </w:rPr>
                  </w:pPr>
                  <w:r>
                    <w:rPr>
                      <w:rFonts w:ascii="Times New Roman" w:hAnsi="Times New Roman" w:cs="Times New Roman"/>
                      <w:b/>
                      <w:sz w:val="24"/>
                      <w:szCs w:val="24"/>
                    </w:rPr>
                    <w:t>事故发生</w:t>
                  </w:r>
                </w:p>
              </w:tc>
              <w:tc>
                <w:tcPr>
                  <w:tcW w:w="1523" w:type="dxa"/>
                  <w:tcBorders>
                    <w:top w:val="single" w:color="000000" w:sz="4" w:space="0"/>
                    <w:left w:val="single" w:color="000000" w:sz="4" w:space="0"/>
                    <w:bottom w:val="single" w:color="000000" w:sz="4" w:space="0"/>
                    <w:right w:val="single" w:color="000000" w:sz="4" w:space="0"/>
                  </w:tcBorders>
                  <w:shd w:val="pct10" w:color="auto" w:fill="auto"/>
                  <w:vAlign w:val="center"/>
                </w:tcPr>
                <w:p>
                  <w:pPr>
                    <w:pStyle w:val="55"/>
                    <w:kinsoku w:val="0"/>
                    <w:overflowPunct w:val="0"/>
                    <w:adjustRightInd w:val="0"/>
                    <w:snapToGrid w:val="0"/>
                    <w:rPr>
                      <w:rFonts w:ascii="Times New Roman" w:hAnsi="Times New Roman" w:cs="Times New Roman"/>
                      <w:b/>
                      <w:sz w:val="24"/>
                      <w:szCs w:val="24"/>
                    </w:rPr>
                  </w:pPr>
                  <w:r>
                    <w:rPr>
                      <w:rFonts w:ascii="Times New Roman" w:hAnsi="Times New Roman" w:cs="Times New Roman"/>
                      <w:b/>
                      <w:sz w:val="24"/>
                      <w:szCs w:val="24"/>
                    </w:rPr>
                    <w:t>风险类型</w:t>
                  </w:r>
                </w:p>
              </w:tc>
              <w:tc>
                <w:tcPr>
                  <w:tcW w:w="5750" w:type="dxa"/>
                  <w:tcBorders>
                    <w:top w:val="single" w:color="000000" w:sz="4" w:space="0"/>
                    <w:left w:val="single" w:color="000000" w:sz="4" w:space="0"/>
                    <w:bottom w:val="single" w:color="000000" w:sz="4" w:space="0"/>
                    <w:right w:val="single" w:color="000000" w:sz="4" w:space="0"/>
                  </w:tcBorders>
                  <w:shd w:val="pct10" w:color="auto" w:fill="auto"/>
                  <w:vAlign w:val="center"/>
                </w:tcPr>
                <w:p>
                  <w:pPr>
                    <w:pStyle w:val="55"/>
                    <w:kinsoku w:val="0"/>
                    <w:overflowPunct w:val="0"/>
                    <w:adjustRightInd w:val="0"/>
                    <w:snapToGrid w:val="0"/>
                    <w:rPr>
                      <w:rFonts w:ascii="Times New Roman" w:hAnsi="Times New Roman" w:cs="Times New Roman"/>
                      <w:b/>
                      <w:sz w:val="24"/>
                      <w:szCs w:val="24"/>
                    </w:rPr>
                  </w:pPr>
                  <w:r>
                    <w:rPr>
                      <w:rFonts w:ascii="Times New Roman" w:hAnsi="Times New Roman" w:cs="Times New Roman"/>
                      <w:b/>
                      <w:sz w:val="24"/>
                      <w:szCs w:val="24"/>
                    </w:rPr>
                    <w:t>原因分析</w:t>
                  </w:r>
                </w:p>
              </w:tc>
            </w:tr>
            <w:tr>
              <w:tblPrEx>
                <w:tblLayout w:type="fixed"/>
                <w:tblCellMar>
                  <w:top w:w="0" w:type="dxa"/>
                  <w:left w:w="0" w:type="dxa"/>
                  <w:bottom w:w="0" w:type="dxa"/>
                  <w:right w:w="0" w:type="dxa"/>
                </w:tblCellMar>
              </w:tblPrEx>
              <w:trPr>
                <w:trHeight w:val="454" w:hRule="atLeast"/>
                <w:jc w:val="center"/>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生产过程</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泄露</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管道破裂</w:t>
                  </w:r>
                </w:p>
              </w:tc>
            </w:tr>
            <w:tr>
              <w:tblPrEx>
                <w:tblLayout w:type="fixed"/>
                <w:tblCellMar>
                  <w:top w:w="0" w:type="dxa"/>
                  <w:left w:w="0" w:type="dxa"/>
                  <w:bottom w:w="0" w:type="dxa"/>
                  <w:right w:w="0" w:type="dxa"/>
                </w:tblCellMar>
              </w:tblPrEx>
              <w:trPr>
                <w:trHeight w:val="454" w:hRule="atLeast"/>
                <w:jc w:val="center"/>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火灾</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r>
                    <w:rPr>
                      <w:rFonts w:ascii="Times New Roman" w:hAnsi="Times New Roman" w:cs="Times New Roman"/>
                      <w:sz w:val="24"/>
                      <w:szCs w:val="24"/>
                      <w:lang w:eastAsia="zh-CN"/>
                    </w:rPr>
                    <w:t>泄漏、明火、静电、摩擦、碰撞、雷击</w:t>
                  </w:r>
                </w:p>
              </w:tc>
            </w:tr>
            <w:tr>
              <w:tblPrEx>
                <w:tblLayout w:type="fixed"/>
                <w:tblCellMar>
                  <w:top w:w="0" w:type="dxa"/>
                  <w:left w:w="0" w:type="dxa"/>
                  <w:bottom w:w="0" w:type="dxa"/>
                  <w:right w:w="0" w:type="dxa"/>
                </w:tblCellMar>
              </w:tblPrEx>
              <w:trPr>
                <w:trHeight w:val="454" w:hRule="atLeast"/>
                <w:jc w:val="center"/>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中毒</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r>
                    <w:rPr>
                      <w:rFonts w:ascii="Times New Roman" w:hAnsi="Times New Roman" w:cs="Times New Roman"/>
                      <w:sz w:val="24"/>
                      <w:szCs w:val="24"/>
                      <w:lang w:eastAsia="zh-CN"/>
                    </w:rPr>
                    <w:t>泄漏导致现场危险品浓度超标</w:t>
                  </w:r>
                </w:p>
              </w:tc>
            </w:tr>
            <w:tr>
              <w:tblPrEx>
                <w:tblLayout w:type="fixed"/>
                <w:tblCellMar>
                  <w:top w:w="0" w:type="dxa"/>
                  <w:left w:w="0" w:type="dxa"/>
                  <w:bottom w:w="0" w:type="dxa"/>
                  <w:right w:w="0" w:type="dxa"/>
                </w:tblCellMar>
              </w:tblPrEx>
              <w:trPr>
                <w:trHeight w:val="454" w:hRule="atLeast"/>
                <w:jc w:val="center"/>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腐蚀</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r>
                    <w:rPr>
                      <w:rFonts w:ascii="Times New Roman" w:hAnsi="Times New Roman" w:cs="Times New Roman"/>
                      <w:sz w:val="24"/>
                      <w:szCs w:val="24"/>
                      <w:lang w:eastAsia="zh-CN"/>
                    </w:rPr>
                    <w:t>物质泄漏或违章作业导致对设备及人员的腐蚀</w:t>
                  </w:r>
                </w:p>
              </w:tc>
            </w:tr>
            <w:tr>
              <w:tblPrEx>
                <w:tblLayout w:type="fixed"/>
                <w:tblCellMar>
                  <w:top w:w="0" w:type="dxa"/>
                  <w:left w:w="0" w:type="dxa"/>
                  <w:bottom w:w="0" w:type="dxa"/>
                  <w:right w:w="0" w:type="dxa"/>
                </w:tblCellMar>
              </w:tblPrEx>
              <w:trPr>
                <w:trHeight w:val="454" w:hRule="atLeast"/>
                <w:jc w:val="center"/>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贮存过程</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泄露</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容器破损、违章操作</w:t>
                  </w:r>
                </w:p>
              </w:tc>
            </w:tr>
            <w:tr>
              <w:tblPrEx>
                <w:tblLayout w:type="fixed"/>
                <w:tblCellMar>
                  <w:top w:w="0" w:type="dxa"/>
                  <w:left w:w="0" w:type="dxa"/>
                  <w:bottom w:w="0" w:type="dxa"/>
                  <w:right w:w="0" w:type="dxa"/>
                </w:tblCellMar>
              </w:tblPrEx>
              <w:trPr>
                <w:trHeight w:val="454" w:hRule="atLeast"/>
                <w:jc w:val="center"/>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火灾</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r>
                    <w:rPr>
                      <w:rFonts w:ascii="Times New Roman" w:hAnsi="Times New Roman" w:cs="Times New Roman"/>
                      <w:sz w:val="24"/>
                      <w:szCs w:val="24"/>
                      <w:lang w:eastAsia="zh-CN"/>
                    </w:rPr>
                    <w:t>泄漏、明火、静电、摩擦、碰撞、雷击</w:t>
                  </w:r>
                </w:p>
              </w:tc>
            </w:tr>
            <w:tr>
              <w:tblPrEx>
                <w:tblLayout w:type="fixed"/>
                <w:tblCellMar>
                  <w:top w:w="0" w:type="dxa"/>
                  <w:left w:w="0" w:type="dxa"/>
                  <w:bottom w:w="0" w:type="dxa"/>
                  <w:right w:w="0" w:type="dxa"/>
                </w:tblCellMar>
              </w:tblPrEx>
              <w:trPr>
                <w:trHeight w:val="454" w:hRule="atLeast"/>
                <w:jc w:val="center"/>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中毒</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r>
                    <w:rPr>
                      <w:rFonts w:ascii="Times New Roman" w:hAnsi="Times New Roman" w:cs="Times New Roman"/>
                      <w:sz w:val="24"/>
                      <w:szCs w:val="24"/>
                      <w:lang w:eastAsia="zh-CN"/>
                    </w:rPr>
                    <w:t>泄漏导致现场危险品浓度超标</w:t>
                  </w:r>
                </w:p>
              </w:tc>
            </w:tr>
            <w:tr>
              <w:tblPrEx>
                <w:tblLayout w:type="fixed"/>
                <w:tblCellMar>
                  <w:top w:w="0" w:type="dxa"/>
                  <w:left w:w="0" w:type="dxa"/>
                  <w:bottom w:w="0" w:type="dxa"/>
                  <w:right w:w="0" w:type="dxa"/>
                </w:tblCellMar>
              </w:tblPrEx>
              <w:trPr>
                <w:trHeight w:val="454" w:hRule="atLeast"/>
                <w:jc w:val="center"/>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腐蚀</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r>
                    <w:rPr>
                      <w:rFonts w:ascii="Times New Roman" w:hAnsi="Times New Roman" w:cs="Times New Roman"/>
                      <w:sz w:val="24"/>
                      <w:szCs w:val="24"/>
                      <w:lang w:eastAsia="zh-CN"/>
                    </w:rPr>
                    <w:t>物质泄漏或违章作业导致对设备及人员的腐蚀</w:t>
                  </w:r>
                </w:p>
              </w:tc>
            </w:tr>
            <w:tr>
              <w:tblPrEx>
                <w:tblLayout w:type="fixed"/>
                <w:tblCellMar>
                  <w:top w:w="0" w:type="dxa"/>
                  <w:left w:w="0" w:type="dxa"/>
                  <w:bottom w:w="0" w:type="dxa"/>
                  <w:right w:w="0" w:type="dxa"/>
                </w:tblCellMar>
              </w:tblPrEx>
              <w:trPr>
                <w:trHeight w:val="454" w:hRule="atLeast"/>
                <w:jc w:val="center"/>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运输过程</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火灾、爆炸</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r>
                    <w:rPr>
                      <w:rFonts w:ascii="Times New Roman" w:hAnsi="Times New Roman" w:cs="Times New Roman"/>
                      <w:sz w:val="24"/>
                      <w:szCs w:val="24"/>
                      <w:lang w:eastAsia="zh-CN"/>
                    </w:rPr>
                    <w:t>运输过程中碰撞、翻车、交通事故造成危化品泄漏并遇明火、雷击、静电等而引发火灾、爆炸</w:t>
                  </w:r>
                </w:p>
              </w:tc>
            </w:tr>
            <w:tr>
              <w:tblPrEx>
                <w:tblLayout w:type="fixed"/>
                <w:tblCellMar>
                  <w:top w:w="0" w:type="dxa"/>
                  <w:left w:w="0" w:type="dxa"/>
                  <w:bottom w:w="0" w:type="dxa"/>
                  <w:right w:w="0" w:type="dxa"/>
                </w:tblCellMar>
              </w:tblPrEx>
              <w:trPr>
                <w:trHeight w:val="454" w:hRule="atLeast"/>
                <w:jc w:val="center"/>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泄露</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r>
                    <w:rPr>
                      <w:rFonts w:ascii="Times New Roman" w:hAnsi="Times New Roman" w:cs="Times New Roman"/>
                      <w:sz w:val="24"/>
                      <w:szCs w:val="24"/>
                      <w:lang w:eastAsia="zh-CN"/>
                    </w:rPr>
                    <w:t>包装物破损、管线破损、密封不佳、车辆事故、</w:t>
                  </w:r>
                </w:p>
                <w:p>
                  <w:pPr>
                    <w:pStyle w:val="55"/>
                    <w:kinsoku w:val="0"/>
                    <w:overflowPunct w:val="0"/>
                    <w:adjustRightInd w:val="0"/>
                    <w:snapToGrid w:val="0"/>
                    <w:rPr>
                      <w:rFonts w:ascii="Times New Roman" w:hAnsi="Times New Roman" w:cs="Times New Roman"/>
                      <w:sz w:val="24"/>
                      <w:szCs w:val="24"/>
                      <w:lang w:eastAsia="zh-CN"/>
                    </w:rPr>
                  </w:pPr>
                  <w:r>
                    <w:rPr>
                      <w:rFonts w:ascii="Times New Roman" w:hAnsi="Times New Roman" w:cs="Times New Roman"/>
                      <w:sz w:val="24"/>
                      <w:szCs w:val="24"/>
                      <w:lang w:eastAsia="zh-CN"/>
                    </w:rPr>
                    <w:t>违章操作</w:t>
                  </w:r>
                </w:p>
              </w:tc>
            </w:tr>
            <w:tr>
              <w:tblPrEx>
                <w:tblLayout w:type="fixed"/>
                <w:tblCellMar>
                  <w:top w:w="0" w:type="dxa"/>
                  <w:left w:w="0" w:type="dxa"/>
                  <w:bottom w:w="0" w:type="dxa"/>
                  <w:right w:w="0" w:type="dxa"/>
                </w:tblCellMar>
              </w:tblPrEx>
              <w:trPr>
                <w:trHeight w:val="454" w:hRule="atLeast"/>
                <w:jc w:val="center"/>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rPr>
                  </w:pPr>
                  <w:r>
                    <w:rPr>
                      <w:rFonts w:ascii="Times New Roman" w:hAnsi="Times New Roman" w:cs="Times New Roman"/>
                      <w:sz w:val="24"/>
                      <w:szCs w:val="24"/>
                    </w:rPr>
                    <w:t>中毒</w:t>
                  </w:r>
                </w:p>
              </w:tc>
              <w:tc>
                <w:tcPr>
                  <w:tcW w:w="57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5"/>
                    <w:kinsoku w:val="0"/>
                    <w:overflowPunct w:val="0"/>
                    <w:adjustRightInd w:val="0"/>
                    <w:snapToGrid w:val="0"/>
                    <w:rPr>
                      <w:rFonts w:ascii="Times New Roman" w:hAnsi="Times New Roman" w:cs="Times New Roman"/>
                      <w:sz w:val="24"/>
                      <w:szCs w:val="24"/>
                      <w:lang w:eastAsia="zh-CN"/>
                    </w:rPr>
                  </w:pPr>
                  <w:r>
                    <w:rPr>
                      <w:rFonts w:ascii="Times New Roman" w:hAnsi="Times New Roman" w:cs="Times New Roman"/>
                      <w:sz w:val="24"/>
                      <w:szCs w:val="24"/>
                      <w:lang w:eastAsia="zh-CN"/>
                    </w:rPr>
                    <w:t>物质泄漏引起人员中毒</w:t>
                  </w:r>
                </w:p>
              </w:tc>
            </w:tr>
          </w:tbl>
          <w:p>
            <w:pPr>
              <w:pStyle w:val="8"/>
              <w:snapToGrid/>
              <w:spacing w:after="0"/>
              <w:ind w:firstLine="480"/>
              <w:rPr>
                <w:sz w:val="24"/>
                <w:szCs w:val="24"/>
              </w:rPr>
            </w:pPr>
            <w:r>
              <w:rPr>
                <w:rFonts w:hint="eastAsia"/>
                <w:sz w:val="24"/>
                <w:szCs w:val="24"/>
              </w:rPr>
              <w:t>结合项目生产情况，项目生产过程中主要环境风险为：</w:t>
            </w:r>
          </w:p>
          <w:p>
            <w:pPr>
              <w:pStyle w:val="8"/>
              <w:snapToGrid/>
              <w:spacing w:after="0"/>
              <w:ind w:firstLine="480"/>
              <w:rPr>
                <w:sz w:val="24"/>
                <w:szCs w:val="24"/>
              </w:rPr>
            </w:pPr>
            <w:r>
              <w:rPr>
                <w:rFonts w:hint="eastAsia" w:ascii="宋体" w:hAnsi="宋体" w:cs="宋体"/>
                <w:sz w:val="24"/>
                <w:szCs w:val="24"/>
              </w:rPr>
              <w:t>1）</w:t>
            </w:r>
            <w:r>
              <w:rPr>
                <w:rFonts w:hint="eastAsia"/>
                <w:sz w:val="24"/>
                <w:szCs w:val="24"/>
              </w:rPr>
              <w:t>生产、贮存或运输过程中，油品一旦泄漏，危化品中易挥发物质进入大气，易引起中毒及通过扩散后对周围大气环境造成影响或引燃烧、火灾、爆炸的风险；</w:t>
            </w:r>
          </w:p>
          <w:p>
            <w:pPr>
              <w:pStyle w:val="8"/>
              <w:snapToGrid/>
              <w:spacing w:after="0"/>
              <w:ind w:firstLine="480"/>
              <w:rPr>
                <w:sz w:val="24"/>
                <w:szCs w:val="24"/>
              </w:rPr>
            </w:pPr>
            <w:r>
              <w:rPr>
                <w:rFonts w:hint="eastAsia" w:ascii="宋体" w:hAnsi="宋体" w:cs="宋体"/>
                <w:sz w:val="24"/>
                <w:szCs w:val="24"/>
              </w:rPr>
              <w:t>2）</w:t>
            </w:r>
            <w:r>
              <w:rPr>
                <w:rFonts w:hint="eastAsia"/>
                <w:sz w:val="24"/>
                <w:szCs w:val="24"/>
              </w:rPr>
              <w:t>生产、贮存或运输过程中，油品泄露污染土壤、地下水。</w:t>
            </w:r>
          </w:p>
          <w:p>
            <w:pPr>
              <w:pStyle w:val="8"/>
              <w:snapToGrid/>
              <w:spacing w:after="0"/>
              <w:ind w:firstLine="480"/>
              <w:rPr>
                <w:sz w:val="24"/>
                <w:szCs w:val="24"/>
              </w:rPr>
            </w:pPr>
            <w:r>
              <w:rPr>
                <w:rFonts w:hint="eastAsia"/>
                <w:sz w:val="24"/>
                <w:szCs w:val="24"/>
              </w:rPr>
              <w:t>本项目主要运输装卸货种为废旧汽车及电器。不具有泄漏扩散等危险危害特性，不会发生货油泄漏、化学品泄漏等污染事故，对周边环境污染较小。本项目危险废物委托有资质单位处理和运输，故本环评对运输过程风险不开展进一步详细分析。</w:t>
            </w:r>
          </w:p>
          <w:p>
            <w:pPr>
              <w:ind w:firstLine="480"/>
              <w:rPr>
                <w:rFonts w:ascii="宋体" w:hAnsi="宋体"/>
                <w:bCs/>
                <w:sz w:val="24"/>
                <w:szCs w:val="32"/>
              </w:rPr>
            </w:pPr>
            <w:r>
              <w:rPr>
                <w:rFonts w:hint="eastAsia"/>
                <w:bCs/>
                <w:sz w:val="24"/>
                <w:szCs w:val="32"/>
              </w:rPr>
              <w:t>③</w:t>
            </w:r>
            <w:r>
              <w:rPr>
                <w:rFonts w:hint="eastAsia" w:ascii="宋体" w:hAnsi="宋体"/>
                <w:bCs/>
                <w:sz w:val="24"/>
                <w:szCs w:val="32"/>
              </w:rPr>
              <w:t>环境</w:t>
            </w:r>
            <w:r>
              <w:rPr>
                <w:rFonts w:ascii="宋体" w:hAnsi="宋体"/>
                <w:bCs/>
                <w:sz w:val="24"/>
                <w:szCs w:val="32"/>
              </w:rPr>
              <w:t>风险识别</w:t>
            </w:r>
            <w:r>
              <w:rPr>
                <w:rFonts w:hint="eastAsia" w:ascii="宋体" w:hAnsi="宋体"/>
                <w:bCs/>
                <w:sz w:val="24"/>
                <w:szCs w:val="32"/>
              </w:rPr>
              <w:t>结果</w:t>
            </w:r>
          </w:p>
          <w:p>
            <w:pPr>
              <w:spacing w:line="240" w:lineRule="auto"/>
              <w:ind w:firstLine="482"/>
              <w:jc w:val="center"/>
              <w:rPr>
                <w:b/>
                <w:bCs/>
                <w:sz w:val="24"/>
                <w:szCs w:val="32"/>
              </w:rPr>
            </w:pPr>
            <w:r>
              <w:rPr>
                <w:rFonts w:hint="eastAsia"/>
                <w:b/>
                <w:bCs/>
                <w:sz w:val="24"/>
                <w:szCs w:val="32"/>
              </w:rPr>
              <w:t>表</w:t>
            </w:r>
            <w:r>
              <w:rPr>
                <w:b/>
                <w:bCs/>
                <w:sz w:val="24"/>
                <w:szCs w:val="32"/>
              </w:rPr>
              <w:t>4-2</w:t>
            </w:r>
            <w:r>
              <w:rPr>
                <w:rFonts w:hint="eastAsia"/>
                <w:b/>
                <w:bCs/>
                <w:sz w:val="24"/>
                <w:szCs w:val="32"/>
              </w:rPr>
              <w:t>7</w:t>
            </w:r>
            <w:r>
              <w:rPr>
                <w:b/>
                <w:bCs/>
                <w:sz w:val="24"/>
                <w:szCs w:val="32"/>
              </w:rPr>
              <w:t xml:space="preserve">  </w:t>
            </w:r>
            <w:r>
              <w:rPr>
                <w:rFonts w:hint="eastAsia"/>
                <w:b/>
                <w:bCs/>
                <w:sz w:val="24"/>
                <w:szCs w:val="32"/>
              </w:rPr>
              <w:t>项目环境风险识别结果</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8"/>
              <w:gridCol w:w="1066"/>
              <w:gridCol w:w="1134"/>
              <w:gridCol w:w="1608"/>
              <w:gridCol w:w="1304"/>
              <w:gridCol w:w="1389"/>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588"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序号</w:t>
                  </w:r>
                </w:p>
              </w:tc>
              <w:tc>
                <w:tcPr>
                  <w:tcW w:w="1066"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危险单元</w:t>
                  </w:r>
                </w:p>
              </w:tc>
              <w:tc>
                <w:tcPr>
                  <w:tcW w:w="1134"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风险源</w:t>
                  </w:r>
                </w:p>
              </w:tc>
              <w:tc>
                <w:tcPr>
                  <w:tcW w:w="1608"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主要危险物质</w:t>
                  </w:r>
                </w:p>
              </w:tc>
              <w:tc>
                <w:tcPr>
                  <w:tcW w:w="1304"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环境风险类型</w:t>
                  </w:r>
                </w:p>
              </w:tc>
              <w:tc>
                <w:tcPr>
                  <w:tcW w:w="1389" w:type="dxa"/>
                  <w:shd w:val="pct10" w:color="auto" w:fill="auto"/>
                  <w:vAlign w:val="center"/>
                </w:tcPr>
                <w:p>
                  <w:pPr>
                    <w:pStyle w:val="55"/>
                    <w:kinsoku w:val="0"/>
                    <w:overflowPunct w:val="0"/>
                    <w:adjustRightInd w:val="0"/>
                    <w:snapToGrid w:val="0"/>
                    <w:rPr>
                      <w:rFonts w:ascii="Times New Roman" w:cs="Times New Roman" w:eastAsiaTheme="minorEastAsia"/>
                      <w:b/>
                      <w:sz w:val="21"/>
                      <w:szCs w:val="21"/>
                    </w:rPr>
                  </w:pPr>
                  <w:r>
                    <w:rPr>
                      <w:rFonts w:hint="eastAsia"/>
                      <w:b/>
                      <w:sz w:val="21"/>
                      <w:szCs w:val="21"/>
                    </w:rPr>
                    <w:t>环境影响途径</w:t>
                  </w:r>
                </w:p>
              </w:tc>
              <w:tc>
                <w:tcPr>
                  <w:tcW w:w="1211" w:type="dxa"/>
                  <w:shd w:val="pct10" w:color="auto" w:fill="auto"/>
                  <w:vAlign w:val="center"/>
                </w:tcPr>
                <w:p>
                  <w:pPr>
                    <w:pStyle w:val="55"/>
                    <w:kinsoku w:val="0"/>
                    <w:overflowPunct w:val="0"/>
                    <w:adjustRightInd w:val="0"/>
                    <w:snapToGrid w:val="0"/>
                    <w:rPr>
                      <w:b/>
                      <w:sz w:val="21"/>
                      <w:szCs w:val="21"/>
                      <w:lang w:eastAsia="zh-CN"/>
                    </w:rPr>
                  </w:pPr>
                  <w:r>
                    <w:rPr>
                      <w:rFonts w:hint="eastAsia"/>
                      <w:b/>
                      <w:sz w:val="21"/>
                      <w:szCs w:val="21"/>
                      <w:lang w:eastAsia="zh-CN"/>
                    </w:rPr>
                    <w:t>可能受影响</w:t>
                  </w:r>
                </w:p>
                <w:p>
                  <w:pPr>
                    <w:pStyle w:val="55"/>
                    <w:kinsoku w:val="0"/>
                    <w:overflowPunct w:val="0"/>
                    <w:adjustRightInd w:val="0"/>
                    <w:snapToGrid w:val="0"/>
                    <w:rPr>
                      <w:rFonts w:ascii="Times New Roman" w:cs="Times New Roman" w:eastAsiaTheme="minorEastAsia"/>
                      <w:b/>
                      <w:sz w:val="21"/>
                      <w:szCs w:val="21"/>
                      <w:lang w:eastAsia="zh-CN"/>
                    </w:rPr>
                  </w:pPr>
                  <w:r>
                    <w:rPr>
                      <w:rFonts w:hint="eastAsia"/>
                      <w:b/>
                      <w:sz w:val="21"/>
                      <w:szCs w:val="21"/>
                      <w:lang w:eastAsia="zh-CN"/>
                    </w:rPr>
                    <w:t>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588"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1</w:t>
                  </w:r>
                </w:p>
              </w:tc>
              <w:tc>
                <w:tcPr>
                  <w:tcW w:w="1066"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lang w:eastAsia="zh-CN"/>
                    </w:rPr>
                    <w:t>机动车</w:t>
                  </w:r>
                  <w:r>
                    <w:rPr>
                      <w:rFonts w:hint="eastAsia"/>
                      <w:sz w:val="21"/>
                      <w:szCs w:val="21"/>
                    </w:rPr>
                    <w:t>拆解车间</w:t>
                  </w:r>
                </w:p>
              </w:tc>
              <w:tc>
                <w:tcPr>
                  <w:tcW w:w="1134"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危险废物</w:t>
                  </w:r>
                </w:p>
              </w:tc>
              <w:tc>
                <w:tcPr>
                  <w:tcW w:w="1608" w:type="dxa"/>
                  <w:shd w:val="clear" w:color="auto" w:fill="auto"/>
                  <w:vAlign w:val="center"/>
                </w:tcPr>
                <w:p>
                  <w:pPr>
                    <w:pStyle w:val="55"/>
                    <w:kinsoku w:val="0"/>
                    <w:overflowPunct w:val="0"/>
                    <w:adjustRightInd w:val="0"/>
                    <w:snapToGrid w:val="0"/>
                    <w:rPr>
                      <w:sz w:val="21"/>
                      <w:szCs w:val="21"/>
                      <w:lang w:eastAsia="zh-CN"/>
                    </w:rPr>
                  </w:pPr>
                  <w:r>
                    <w:rPr>
                      <w:rFonts w:hint="eastAsia"/>
                      <w:sz w:val="21"/>
                      <w:szCs w:val="21"/>
                      <w:lang w:eastAsia="zh-CN"/>
                    </w:rPr>
                    <w:t>稀硫酸、汽油、柴油、润滑油等</w:t>
                  </w:r>
                </w:p>
              </w:tc>
              <w:tc>
                <w:tcPr>
                  <w:tcW w:w="1304"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泄露、火灾、爆炸</w:t>
                  </w:r>
                </w:p>
              </w:tc>
              <w:tc>
                <w:tcPr>
                  <w:tcW w:w="1389" w:type="dxa"/>
                  <w:shd w:val="clear" w:color="auto" w:fill="auto"/>
                  <w:vAlign w:val="center"/>
                </w:tcPr>
                <w:p>
                  <w:pPr>
                    <w:pStyle w:val="55"/>
                    <w:kinsoku w:val="0"/>
                    <w:overflowPunct w:val="0"/>
                    <w:adjustRightInd w:val="0"/>
                    <w:snapToGrid w:val="0"/>
                    <w:rPr>
                      <w:rFonts w:ascii="Times New Roman" w:cs="Times New Roman" w:eastAsiaTheme="minorEastAsia"/>
                      <w:sz w:val="21"/>
                      <w:szCs w:val="21"/>
                      <w:lang w:eastAsia="zh-CN"/>
                    </w:rPr>
                  </w:pPr>
                  <w:r>
                    <w:rPr>
                      <w:rFonts w:hint="eastAsia"/>
                      <w:sz w:val="21"/>
                      <w:szCs w:val="21"/>
                      <w:lang w:eastAsia="zh-CN"/>
                    </w:rPr>
                    <w:t>蒸发进入大气或渗透进入土壤、地下水</w:t>
                  </w:r>
                </w:p>
              </w:tc>
              <w:tc>
                <w:tcPr>
                  <w:tcW w:w="1211"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588"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2</w:t>
                  </w:r>
                </w:p>
              </w:tc>
              <w:tc>
                <w:tcPr>
                  <w:tcW w:w="1066"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危废暂存库</w:t>
                  </w:r>
                </w:p>
              </w:tc>
              <w:tc>
                <w:tcPr>
                  <w:tcW w:w="1134"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危险废物</w:t>
                  </w:r>
                </w:p>
              </w:tc>
              <w:tc>
                <w:tcPr>
                  <w:tcW w:w="1608" w:type="dxa"/>
                  <w:shd w:val="clear" w:color="auto" w:fill="auto"/>
                  <w:vAlign w:val="center"/>
                </w:tcPr>
                <w:p>
                  <w:pPr>
                    <w:pStyle w:val="55"/>
                    <w:kinsoku w:val="0"/>
                    <w:overflowPunct w:val="0"/>
                    <w:adjustRightInd w:val="0"/>
                    <w:snapToGrid w:val="0"/>
                    <w:rPr>
                      <w:sz w:val="21"/>
                      <w:szCs w:val="21"/>
                      <w:lang w:eastAsia="zh-CN"/>
                    </w:rPr>
                  </w:pPr>
                  <w:r>
                    <w:rPr>
                      <w:rFonts w:hint="eastAsia"/>
                      <w:sz w:val="21"/>
                      <w:szCs w:val="21"/>
                      <w:lang w:eastAsia="zh-CN"/>
                    </w:rPr>
                    <w:t>汽油、柴油、润滑油、稀硫酸、等</w:t>
                  </w:r>
                </w:p>
              </w:tc>
              <w:tc>
                <w:tcPr>
                  <w:tcW w:w="1304"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泄露、火灾、爆炸</w:t>
                  </w:r>
                </w:p>
              </w:tc>
              <w:tc>
                <w:tcPr>
                  <w:tcW w:w="1389" w:type="dxa"/>
                  <w:shd w:val="clear" w:color="auto" w:fill="auto"/>
                  <w:vAlign w:val="center"/>
                </w:tcPr>
                <w:p>
                  <w:pPr>
                    <w:pStyle w:val="55"/>
                    <w:kinsoku w:val="0"/>
                    <w:overflowPunct w:val="0"/>
                    <w:adjustRightInd w:val="0"/>
                    <w:snapToGrid w:val="0"/>
                    <w:rPr>
                      <w:rFonts w:ascii="Times New Roman" w:cs="Times New Roman" w:eastAsiaTheme="minorEastAsia"/>
                      <w:sz w:val="21"/>
                      <w:szCs w:val="21"/>
                      <w:lang w:eastAsia="zh-CN"/>
                    </w:rPr>
                  </w:pPr>
                  <w:r>
                    <w:rPr>
                      <w:rFonts w:hint="eastAsia"/>
                      <w:sz w:val="21"/>
                      <w:szCs w:val="21"/>
                      <w:lang w:eastAsia="zh-CN"/>
                    </w:rPr>
                    <w:t>蒸发进入大气或渗透进入土壤、地下水</w:t>
                  </w:r>
                </w:p>
              </w:tc>
              <w:tc>
                <w:tcPr>
                  <w:tcW w:w="1211"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rPr>
                    <w:t>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588"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ascii="Times New Roman" w:cs="Times New Roman" w:eastAsiaTheme="minorEastAsia"/>
                      <w:sz w:val="21"/>
                      <w:szCs w:val="21"/>
                    </w:rPr>
                    <w:t>4</w:t>
                  </w:r>
                </w:p>
              </w:tc>
              <w:tc>
                <w:tcPr>
                  <w:tcW w:w="1066" w:type="dxa"/>
                  <w:shd w:val="clear" w:color="auto" w:fill="auto"/>
                  <w:vAlign w:val="center"/>
                </w:tcPr>
                <w:p>
                  <w:pPr>
                    <w:pStyle w:val="55"/>
                    <w:kinsoku w:val="0"/>
                    <w:overflowPunct w:val="0"/>
                    <w:adjustRightInd w:val="0"/>
                    <w:snapToGrid w:val="0"/>
                    <w:rPr>
                      <w:sz w:val="21"/>
                      <w:szCs w:val="21"/>
                    </w:rPr>
                  </w:pPr>
                  <w:r>
                    <w:rPr>
                      <w:rFonts w:hint="eastAsia"/>
                      <w:sz w:val="21"/>
                      <w:szCs w:val="21"/>
                    </w:rPr>
                    <w:t>废气处理</w:t>
                  </w:r>
                </w:p>
                <w:p>
                  <w:pPr>
                    <w:pStyle w:val="55"/>
                    <w:kinsoku w:val="0"/>
                    <w:overflowPunct w:val="0"/>
                    <w:adjustRightInd w:val="0"/>
                    <w:snapToGrid w:val="0"/>
                    <w:rPr>
                      <w:rFonts w:ascii="Times New Roman" w:cs="Times New Roman" w:eastAsiaTheme="minorEastAsia"/>
                      <w:sz w:val="21"/>
                      <w:szCs w:val="21"/>
                    </w:rPr>
                  </w:pPr>
                  <w:r>
                    <w:rPr>
                      <w:rFonts w:hint="eastAsia"/>
                      <w:sz w:val="21"/>
                      <w:szCs w:val="21"/>
                    </w:rPr>
                    <w:t>设施</w:t>
                  </w:r>
                </w:p>
              </w:tc>
              <w:tc>
                <w:tcPr>
                  <w:tcW w:w="1134" w:type="dxa"/>
                  <w:shd w:val="clear" w:color="auto" w:fill="auto"/>
                  <w:vAlign w:val="center"/>
                </w:tcPr>
                <w:p>
                  <w:pPr>
                    <w:pStyle w:val="55"/>
                    <w:kinsoku w:val="0"/>
                    <w:overflowPunct w:val="0"/>
                    <w:adjustRightInd w:val="0"/>
                    <w:snapToGrid w:val="0"/>
                    <w:rPr>
                      <w:rFonts w:ascii="Times New Roman" w:cs="Times New Roman" w:eastAsiaTheme="minorEastAsia"/>
                      <w:sz w:val="21"/>
                      <w:szCs w:val="21"/>
                    </w:rPr>
                  </w:pPr>
                  <w:r>
                    <w:rPr>
                      <w:rFonts w:hint="eastAsia"/>
                      <w:sz w:val="21"/>
                      <w:szCs w:val="21"/>
                      <w:lang w:eastAsia="zh-CN"/>
                    </w:rPr>
                    <w:t>颗粒物</w:t>
                  </w:r>
                  <w:r>
                    <w:rPr>
                      <w:rFonts w:hint="eastAsia"/>
                      <w:sz w:val="21"/>
                      <w:szCs w:val="21"/>
                    </w:rPr>
                    <w:t>、非甲烷总烃</w:t>
                  </w:r>
                </w:p>
              </w:tc>
              <w:tc>
                <w:tcPr>
                  <w:tcW w:w="1608" w:type="dxa"/>
                  <w:shd w:val="clear" w:color="auto" w:fill="auto"/>
                  <w:vAlign w:val="center"/>
                </w:tcPr>
                <w:p>
                  <w:pPr>
                    <w:pStyle w:val="55"/>
                    <w:kinsoku w:val="0"/>
                    <w:overflowPunct w:val="0"/>
                    <w:adjustRightInd w:val="0"/>
                    <w:snapToGrid w:val="0"/>
                    <w:rPr>
                      <w:sz w:val="21"/>
                      <w:szCs w:val="21"/>
                    </w:rPr>
                  </w:pPr>
                  <w:r>
                    <w:rPr>
                      <w:rFonts w:hint="eastAsia"/>
                      <w:sz w:val="21"/>
                      <w:szCs w:val="21"/>
                      <w:lang w:eastAsia="zh-CN"/>
                    </w:rPr>
                    <w:t>颗粒物</w:t>
                  </w:r>
                  <w:r>
                    <w:rPr>
                      <w:rFonts w:hint="eastAsia"/>
                      <w:sz w:val="21"/>
                      <w:szCs w:val="21"/>
                    </w:rPr>
                    <w:t>、非甲烷</w:t>
                  </w:r>
                </w:p>
                <w:p>
                  <w:pPr>
                    <w:pStyle w:val="55"/>
                    <w:kinsoku w:val="0"/>
                    <w:overflowPunct w:val="0"/>
                    <w:adjustRightInd w:val="0"/>
                    <w:snapToGrid w:val="0"/>
                    <w:rPr>
                      <w:rFonts w:ascii="Times New Roman" w:cs="Times New Roman" w:eastAsiaTheme="minorEastAsia"/>
                      <w:sz w:val="21"/>
                      <w:szCs w:val="21"/>
                    </w:rPr>
                  </w:pPr>
                  <w:r>
                    <w:rPr>
                      <w:rFonts w:hint="eastAsia"/>
                      <w:sz w:val="21"/>
                      <w:szCs w:val="21"/>
                    </w:rPr>
                    <w:t>总烃</w:t>
                  </w:r>
                </w:p>
              </w:tc>
              <w:tc>
                <w:tcPr>
                  <w:tcW w:w="1304" w:type="dxa"/>
                  <w:shd w:val="clear" w:color="auto" w:fill="auto"/>
                  <w:vAlign w:val="center"/>
                </w:tcPr>
                <w:p>
                  <w:pPr>
                    <w:pStyle w:val="55"/>
                    <w:kinsoku w:val="0"/>
                    <w:overflowPunct w:val="0"/>
                    <w:adjustRightInd w:val="0"/>
                    <w:snapToGrid w:val="0"/>
                    <w:rPr>
                      <w:sz w:val="21"/>
                      <w:szCs w:val="21"/>
                      <w:lang w:eastAsia="zh-CN"/>
                    </w:rPr>
                  </w:pPr>
                  <w:r>
                    <w:rPr>
                      <w:rFonts w:hint="eastAsia"/>
                      <w:sz w:val="21"/>
                      <w:szCs w:val="21"/>
                      <w:lang w:eastAsia="zh-CN"/>
                    </w:rPr>
                    <w:t>设施故障，无</w:t>
                  </w:r>
                </w:p>
                <w:p>
                  <w:pPr>
                    <w:pStyle w:val="55"/>
                    <w:kinsoku w:val="0"/>
                    <w:overflowPunct w:val="0"/>
                    <w:adjustRightInd w:val="0"/>
                    <w:snapToGrid w:val="0"/>
                    <w:rPr>
                      <w:rFonts w:ascii="Times New Roman" w:cs="Times New Roman" w:eastAsiaTheme="minorEastAsia"/>
                      <w:sz w:val="21"/>
                      <w:szCs w:val="21"/>
                      <w:lang w:eastAsia="zh-CN"/>
                    </w:rPr>
                  </w:pPr>
                  <w:r>
                    <w:rPr>
                      <w:rFonts w:hint="eastAsia"/>
                      <w:sz w:val="21"/>
                      <w:szCs w:val="21"/>
                      <w:lang w:eastAsia="zh-CN"/>
                    </w:rPr>
                    <w:t>法达标排放</w:t>
                  </w:r>
                </w:p>
              </w:tc>
              <w:tc>
                <w:tcPr>
                  <w:tcW w:w="1389" w:type="dxa"/>
                  <w:shd w:val="clear" w:color="auto" w:fill="auto"/>
                  <w:vAlign w:val="center"/>
                </w:tcPr>
                <w:p>
                  <w:pPr>
                    <w:pStyle w:val="55"/>
                    <w:kinsoku w:val="0"/>
                    <w:overflowPunct w:val="0"/>
                    <w:adjustRightInd w:val="0"/>
                    <w:snapToGrid w:val="0"/>
                    <w:rPr>
                      <w:rFonts w:ascii="Times New Roman" w:cs="Times New Roman" w:eastAsiaTheme="minorEastAsia"/>
                      <w:sz w:val="21"/>
                      <w:szCs w:val="21"/>
                      <w:lang w:eastAsia="zh-CN"/>
                    </w:rPr>
                  </w:pPr>
                  <w:r>
                    <w:rPr>
                      <w:rFonts w:hint="eastAsia"/>
                      <w:sz w:val="21"/>
                      <w:szCs w:val="21"/>
                      <w:lang w:eastAsia="zh-CN"/>
                    </w:rPr>
                    <w:t>污染环境空气</w:t>
                  </w:r>
                </w:p>
              </w:tc>
              <w:tc>
                <w:tcPr>
                  <w:tcW w:w="1211" w:type="dxa"/>
                  <w:shd w:val="clear" w:color="auto" w:fill="auto"/>
                  <w:vAlign w:val="center"/>
                </w:tcPr>
                <w:p>
                  <w:pPr>
                    <w:pStyle w:val="55"/>
                    <w:kinsoku w:val="0"/>
                    <w:overflowPunct w:val="0"/>
                    <w:adjustRightInd w:val="0"/>
                    <w:snapToGrid w:val="0"/>
                    <w:rPr>
                      <w:rFonts w:ascii="Times New Roman" w:cs="Times New Roman" w:eastAsiaTheme="minorEastAsia"/>
                      <w:sz w:val="21"/>
                      <w:szCs w:val="21"/>
                      <w:lang w:eastAsia="zh-CN"/>
                    </w:rPr>
                  </w:pPr>
                  <w:r>
                    <w:rPr>
                      <w:rFonts w:hint="eastAsia"/>
                      <w:sz w:val="21"/>
                      <w:szCs w:val="21"/>
                      <w:lang w:eastAsia="zh-CN"/>
                    </w:rPr>
                    <w:t>周边居民</w:t>
                  </w:r>
                </w:p>
              </w:tc>
            </w:tr>
          </w:tbl>
          <w:p>
            <w:pPr>
              <w:ind w:firstLine="480"/>
              <w:rPr>
                <w:sz w:val="24"/>
                <w:szCs w:val="32"/>
              </w:rPr>
            </w:pPr>
            <w:r>
              <w:rPr>
                <w:rFonts w:hint="eastAsia"/>
                <w:sz w:val="24"/>
                <w:szCs w:val="32"/>
              </w:rPr>
              <w:t>（3）环境风险</w:t>
            </w:r>
            <w:r>
              <w:rPr>
                <w:sz w:val="24"/>
                <w:szCs w:val="32"/>
              </w:rPr>
              <w:t>分析</w:t>
            </w:r>
          </w:p>
          <w:p>
            <w:pPr>
              <w:pStyle w:val="57"/>
              <w:tabs>
                <w:tab w:val="left" w:pos="1352"/>
              </w:tabs>
              <w:spacing w:line="360" w:lineRule="auto"/>
              <w:ind w:firstLine="480"/>
              <w:jc w:val="both"/>
            </w:pPr>
            <w:r>
              <w:rPr>
                <w:rFonts w:hint="eastAsia"/>
              </w:rPr>
              <w:t>①</w:t>
            </w:r>
            <w:r>
              <w:rPr>
                <w:rFonts w:hint="eastAsia" w:ascii="宋体" w:hAnsi="宋体"/>
              </w:rPr>
              <w:t>废</w:t>
            </w:r>
            <w:r>
              <w:rPr>
                <w:rFonts w:hint="eastAsia"/>
              </w:rPr>
              <w:t>油液、废燃料油等物质泄露环境风险分析</w:t>
            </w:r>
          </w:p>
          <w:p>
            <w:pPr>
              <w:pStyle w:val="8"/>
              <w:spacing w:after="0"/>
              <w:ind w:firstLine="480"/>
              <w:rPr>
                <w:sz w:val="24"/>
              </w:rPr>
            </w:pPr>
            <w:r>
              <w:rPr>
                <w:rFonts w:hint="eastAsia"/>
                <w:sz w:val="24"/>
              </w:rPr>
              <w:t>项目废油液、废燃料油等属于有毒物料，在生产、贮运过程中可能会因溢漏、包装破损等因素而引发对外环境的污染事故，项目废油液</w:t>
            </w:r>
            <w:r>
              <w:rPr>
                <w:sz w:val="24"/>
              </w:rPr>
              <w:t>暂存库设有防渗漏托盘，并于周围</w:t>
            </w:r>
            <w:r>
              <w:rPr>
                <w:rFonts w:hint="eastAsia"/>
                <w:sz w:val="24"/>
              </w:rPr>
              <w:t>设</w:t>
            </w:r>
            <w:r>
              <w:rPr>
                <w:sz w:val="24"/>
              </w:rPr>
              <w:t>导流槽，</w:t>
            </w:r>
            <w:r>
              <w:rPr>
                <w:rFonts w:hint="eastAsia"/>
                <w:sz w:val="24"/>
              </w:rPr>
              <w:t>评价要求建设单位在危废间内设置</w:t>
            </w:r>
            <w:r>
              <w:rPr>
                <w:sz w:val="24"/>
              </w:rPr>
              <w:t>1</w:t>
            </w:r>
            <w:r>
              <w:rPr>
                <w:rFonts w:hint="eastAsia"/>
                <w:sz w:val="24"/>
              </w:rPr>
              <w:t>个</w:t>
            </w:r>
            <w:r>
              <w:rPr>
                <w:sz w:val="24"/>
              </w:rPr>
              <w:t>1m</w:t>
            </w:r>
            <w:r>
              <w:rPr>
                <w:sz w:val="24"/>
                <w:vertAlign w:val="superscript"/>
              </w:rPr>
              <w:t>3</w:t>
            </w:r>
            <w:r>
              <w:rPr>
                <w:rFonts w:hint="eastAsia"/>
                <w:sz w:val="24"/>
              </w:rPr>
              <w:t>事故紧急收集池，发现废油液泄漏时，采用专用废油液收集桶进行收集并采用拖把、抹布等对漏油地面进行吸附处理。</w:t>
            </w:r>
          </w:p>
          <w:p>
            <w:pPr>
              <w:pStyle w:val="57"/>
              <w:tabs>
                <w:tab w:val="left" w:pos="1352"/>
              </w:tabs>
              <w:spacing w:line="360" w:lineRule="auto"/>
              <w:ind w:firstLine="480"/>
              <w:jc w:val="both"/>
            </w:pPr>
            <w:r>
              <w:rPr>
                <w:rFonts w:hint="eastAsia"/>
              </w:rPr>
              <w:t>②</w:t>
            </w:r>
            <w:r>
              <w:rPr>
                <w:rFonts w:hint="eastAsia" w:ascii="宋体" w:hAnsi="宋体"/>
              </w:rPr>
              <w:t>废</w:t>
            </w:r>
            <w:r>
              <w:rPr>
                <w:rFonts w:hint="eastAsia"/>
              </w:rPr>
              <w:t>铅酸蓄电池中的硫酸泄露环境风险分析</w:t>
            </w:r>
          </w:p>
          <w:p>
            <w:pPr>
              <w:pStyle w:val="8"/>
              <w:spacing w:after="0"/>
              <w:ind w:firstLine="480"/>
              <w:rPr>
                <w:sz w:val="24"/>
              </w:rPr>
            </w:pPr>
            <w:r>
              <w:rPr>
                <w:rFonts w:hint="eastAsia"/>
                <w:sz w:val="24"/>
              </w:rPr>
              <w:t>在运营过程中，可能会发生铅酸蓄电池电解液（主要成分为硫酸）泄露到地面。按本项目的机动车拆解工艺，铅酸蓄电池仅从车身拆除，并不对铅酸蓄电池本身进行拆解，仅遇到铅酸蓄电池破损才有可能出现泄露的情况，本评价按铅酸蓄电池破损，全部的硫酸电解液泄露出来估算。据调查，铅酸动力蓄电池单组最大重量约</w:t>
            </w:r>
            <w:r>
              <w:rPr>
                <w:sz w:val="24"/>
              </w:rPr>
              <w:t>30kg</w:t>
            </w:r>
            <w:r>
              <w:rPr>
                <w:rFonts w:hint="eastAsia"/>
                <w:sz w:val="24"/>
              </w:rPr>
              <w:t>，其中硫酸电解液占电池重量的</w:t>
            </w:r>
            <w:r>
              <w:rPr>
                <w:sz w:val="24"/>
              </w:rPr>
              <w:t>30%</w:t>
            </w:r>
            <w:r>
              <w:rPr>
                <w:rFonts w:hint="eastAsia"/>
                <w:sz w:val="24"/>
              </w:rPr>
              <w:t>，总重约</w:t>
            </w:r>
            <w:r>
              <w:rPr>
                <w:sz w:val="24"/>
              </w:rPr>
              <w:t>9kg</w:t>
            </w:r>
            <w:r>
              <w:rPr>
                <w:rFonts w:hint="eastAsia"/>
                <w:sz w:val="24"/>
              </w:rPr>
              <w:t>左右。泄露的电解液主要成分为硫酸，具有腐蚀性，主要可能污染周边土壤或</w:t>
            </w:r>
            <w:r>
              <w:rPr>
                <w:sz w:val="24"/>
              </w:rPr>
              <w:t>对职工人员造成</w:t>
            </w:r>
            <w:r>
              <w:rPr>
                <w:rFonts w:hint="eastAsia"/>
                <w:sz w:val="24"/>
              </w:rPr>
              <w:t>危害。评价要求建设单位在危废间内设置</w:t>
            </w:r>
            <w:r>
              <w:rPr>
                <w:sz w:val="24"/>
              </w:rPr>
              <w:t>1</w:t>
            </w:r>
            <w:r>
              <w:rPr>
                <w:rFonts w:hint="eastAsia"/>
                <w:sz w:val="24"/>
              </w:rPr>
              <w:t>个</w:t>
            </w:r>
            <w:r>
              <w:rPr>
                <w:sz w:val="24"/>
              </w:rPr>
              <w:t>1m</w:t>
            </w:r>
            <w:r>
              <w:rPr>
                <w:sz w:val="24"/>
                <w:vertAlign w:val="superscript"/>
              </w:rPr>
              <w:t>3</w:t>
            </w:r>
            <w:r>
              <w:rPr>
                <w:rFonts w:hint="eastAsia"/>
                <w:sz w:val="24"/>
              </w:rPr>
              <w:t>事故紧急收集池、</w:t>
            </w:r>
            <w:r>
              <w:rPr>
                <w:sz w:val="24"/>
              </w:rPr>
              <w:t>并设置导流槽，</w:t>
            </w:r>
            <w:r>
              <w:rPr>
                <w:rFonts w:hint="eastAsia"/>
                <w:sz w:val="24"/>
              </w:rPr>
              <w:t>可以满足事故情况下废液、电解液收集。废液收集池耐酸、防渗设计。若发生泄漏风险事故，将泄露电解液通过导流沟引至截留池，应妥善转入专用容器中安全运送至资质单位处理处置，企业不得自行处理。</w:t>
            </w:r>
          </w:p>
          <w:p>
            <w:pPr>
              <w:pStyle w:val="57"/>
              <w:tabs>
                <w:tab w:val="left" w:pos="1352"/>
              </w:tabs>
              <w:adjustRightInd/>
              <w:snapToGrid/>
              <w:spacing w:line="360" w:lineRule="auto"/>
              <w:ind w:firstLine="480"/>
              <w:jc w:val="both"/>
            </w:pPr>
            <w:r>
              <w:rPr>
                <w:rFonts w:hint="eastAsia"/>
              </w:rPr>
              <w:t>③</w:t>
            </w:r>
            <w:r>
              <w:rPr>
                <w:rFonts w:hint="eastAsia" w:ascii="宋体" w:hAnsi="宋体"/>
              </w:rPr>
              <w:t>火</w:t>
            </w:r>
            <w:r>
              <w:rPr>
                <w:rFonts w:hint="eastAsia"/>
              </w:rPr>
              <w:t>灾、爆炸次生灾害环境风险分析</w:t>
            </w:r>
          </w:p>
          <w:p>
            <w:pPr>
              <w:pStyle w:val="8"/>
              <w:snapToGrid/>
              <w:spacing w:after="0"/>
              <w:ind w:firstLine="480"/>
              <w:rPr>
                <w:sz w:val="24"/>
              </w:rPr>
            </w:pPr>
            <w:r>
              <w:rPr>
                <w:rFonts w:hint="eastAsia"/>
                <w:sz w:val="24"/>
              </w:rPr>
              <w:t>项目厂区内配套完善的消防系统和泡沫灭火器，一旦发生火灾事故可第一时间有效控制火灾范围扩大。项目火灾爆炸燃烧过程主要产物为烟尘、二氧化碳和水，烟尘对下风向居民会造成短暂影响，但影响不大，且随着火灾结束而消除，因此火灾事故燃烧产物对环境空气和敏感点影响不大。</w:t>
            </w:r>
          </w:p>
          <w:p>
            <w:pPr>
              <w:pStyle w:val="57"/>
              <w:tabs>
                <w:tab w:val="left" w:pos="752"/>
              </w:tabs>
              <w:adjustRightInd/>
              <w:snapToGrid/>
              <w:spacing w:line="360" w:lineRule="auto"/>
              <w:ind w:firstLine="480"/>
              <w:jc w:val="both"/>
            </w:pPr>
            <w:r>
              <w:rPr>
                <w:rFonts w:hint="eastAsia" w:ascii="宋体" w:hAnsi="宋体" w:cs="宋体"/>
              </w:rPr>
              <w:t>（4）</w:t>
            </w:r>
            <w:r>
              <w:t>环境风险防范措施</w:t>
            </w:r>
            <w:r>
              <w:rPr>
                <w:rFonts w:hint="eastAsia"/>
              </w:rPr>
              <w:t>与</w:t>
            </w:r>
            <w:r>
              <w:t>应急预案</w:t>
            </w:r>
          </w:p>
          <w:p>
            <w:pPr>
              <w:pStyle w:val="8"/>
              <w:snapToGrid/>
              <w:spacing w:after="0"/>
              <w:ind w:firstLine="480"/>
              <w:rPr>
                <w:sz w:val="24"/>
              </w:rPr>
            </w:pPr>
            <w:r>
              <w:rPr>
                <w:rFonts w:hint="eastAsia"/>
                <w:sz w:val="24"/>
              </w:rPr>
              <w:t>本</w:t>
            </w:r>
            <w:r>
              <w:rPr>
                <w:sz w:val="24"/>
              </w:rPr>
              <w:t>评价</w:t>
            </w:r>
            <w:r>
              <w:rPr>
                <w:rFonts w:hint="eastAsia"/>
                <w:sz w:val="24"/>
              </w:rPr>
              <w:t>要求项目建设完成后编制全厂突发环境事件应急预案。</w:t>
            </w:r>
          </w:p>
          <w:p>
            <w:pPr>
              <w:pStyle w:val="8"/>
              <w:snapToGrid/>
              <w:spacing w:after="0"/>
              <w:ind w:firstLine="480"/>
              <w:rPr>
                <w:sz w:val="24"/>
              </w:rPr>
            </w:pPr>
            <w:r>
              <w:rPr>
                <w:rFonts w:hint="eastAsia"/>
                <w:sz w:val="24"/>
              </w:rPr>
              <w:t>环评建议项目运营期可采取以下风险防范措施：</w:t>
            </w:r>
          </w:p>
          <w:p>
            <w:pPr>
              <w:pStyle w:val="8"/>
              <w:snapToGrid/>
              <w:spacing w:after="0"/>
              <w:ind w:firstLine="480"/>
              <w:rPr>
                <w:sz w:val="24"/>
              </w:rPr>
            </w:pPr>
            <w:r>
              <w:rPr>
                <w:rFonts w:hint="eastAsia"/>
                <w:sz w:val="24"/>
              </w:rPr>
              <w:t>①拆解得到的轮胎和塑料部件的贮存区域应具消防设施，并尽量避免大量堆放。</w:t>
            </w:r>
          </w:p>
          <w:p>
            <w:pPr>
              <w:pStyle w:val="8"/>
              <w:snapToGrid/>
              <w:spacing w:after="0"/>
              <w:ind w:firstLine="480"/>
              <w:rPr>
                <w:sz w:val="24"/>
              </w:rPr>
            </w:pPr>
            <w:r>
              <w:rPr>
                <w:rFonts w:hint="eastAsia"/>
                <w:sz w:val="24"/>
              </w:rPr>
              <w:t>②拆解车间要加强通风，电气设备须选用防腐、防爆型，电源绝缘良好，防止产生电火花，接地牢靠，防止产生静电。</w:t>
            </w:r>
          </w:p>
          <w:p>
            <w:pPr>
              <w:ind w:firstLine="480"/>
              <w:rPr>
                <w:sz w:val="24"/>
              </w:rPr>
            </w:pPr>
            <w:r>
              <w:rPr>
                <w:rFonts w:hint="eastAsia"/>
                <w:sz w:val="24"/>
              </w:rPr>
              <w:t>③严格遵守国家有关防火防爆的安全规定，各生产区域装置及建筑物间考虑足够的安全防火距离，并布置相应的疏散通道、消防通道、消防水池以及足够的消防器材等装置，并要有专人负责管理。</w:t>
            </w:r>
          </w:p>
          <w:p>
            <w:pPr>
              <w:ind w:firstLine="480"/>
              <w:rPr>
                <w:sz w:val="24"/>
              </w:rPr>
            </w:pPr>
            <w:r>
              <w:rPr>
                <w:rFonts w:hint="eastAsia"/>
                <w:sz w:val="24"/>
              </w:rPr>
              <w:t>依据《建设项目环境风险评价技术导则》（</w:t>
            </w:r>
            <w:r>
              <w:rPr>
                <w:sz w:val="24"/>
              </w:rPr>
              <w:t>HJ169-2018</w:t>
            </w:r>
            <w:r>
              <w:rPr>
                <w:rFonts w:hint="eastAsia"/>
                <w:sz w:val="24"/>
              </w:rPr>
              <w:t>）有关要求，简要分析需提交环境风险简要分析内容表。</w:t>
            </w:r>
          </w:p>
          <w:p>
            <w:pPr>
              <w:ind w:firstLine="480"/>
              <w:rPr>
                <w:sz w:val="24"/>
              </w:rPr>
            </w:pPr>
          </w:p>
          <w:p>
            <w:pPr>
              <w:ind w:firstLine="480"/>
              <w:rPr>
                <w:sz w:val="24"/>
              </w:rPr>
            </w:pPr>
          </w:p>
          <w:p>
            <w:pPr>
              <w:pStyle w:val="34"/>
              <w:ind w:firstLine="482"/>
              <w:rPr>
                <w:b/>
                <w:sz w:val="24"/>
              </w:rPr>
            </w:pPr>
            <w:r>
              <w:rPr>
                <w:rFonts w:hint="eastAsia"/>
                <w:b/>
                <w:sz w:val="24"/>
              </w:rPr>
              <w:t>表4-</w:t>
            </w:r>
            <w:r>
              <w:rPr>
                <w:b/>
                <w:sz w:val="24"/>
              </w:rPr>
              <w:t>2</w:t>
            </w:r>
            <w:r>
              <w:rPr>
                <w:rFonts w:hint="eastAsia"/>
                <w:b/>
                <w:sz w:val="24"/>
              </w:rPr>
              <w:t>8  建设项目环境风险简单分析内容表</w:t>
            </w:r>
          </w:p>
          <w:tbl>
            <w:tblPr>
              <w:tblStyle w:val="21"/>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1019"/>
              <w:gridCol w:w="279"/>
              <w:gridCol w:w="1386"/>
              <w:gridCol w:w="276"/>
              <w:gridCol w:w="936"/>
              <w:gridCol w:w="765"/>
              <w:gridCol w:w="574"/>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1805"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9"/>
                    <w:jc w:val="center"/>
                    <w:rPr>
                      <w:kern w:val="2"/>
                      <w:szCs w:val="21"/>
                    </w:rPr>
                  </w:pPr>
                  <w:r>
                    <w:rPr>
                      <w:rFonts w:hint="eastAsia"/>
                      <w:kern w:val="2"/>
                      <w:szCs w:val="21"/>
                    </w:rPr>
                    <w:t>建设项目名称</w:t>
                  </w:r>
                </w:p>
              </w:tc>
              <w:tc>
                <w:tcPr>
                  <w:tcW w:w="6495" w:type="dxa"/>
                  <w:gridSpan w:val="8"/>
                  <w:tcBorders>
                    <w:top w:val="single" w:color="auto" w:sz="4" w:space="0"/>
                    <w:left w:val="single" w:color="auto" w:sz="4" w:space="0"/>
                    <w:bottom w:val="single" w:color="auto" w:sz="4" w:space="0"/>
                    <w:right w:val="single" w:color="auto" w:sz="4" w:space="0"/>
                  </w:tcBorders>
                  <w:vAlign w:val="center"/>
                </w:tcPr>
                <w:p>
                  <w:pPr>
                    <w:pStyle w:val="39"/>
                    <w:jc w:val="center"/>
                    <w:rPr>
                      <w:b w:val="0"/>
                      <w:kern w:val="2"/>
                      <w:szCs w:val="21"/>
                    </w:rPr>
                  </w:pPr>
                  <w:r>
                    <w:rPr>
                      <w:rFonts w:hint="eastAsia"/>
                      <w:b w:val="0"/>
                      <w:kern w:val="2"/>
                      <w:szCs w:val="21"/>
                    </w:rPr>
                    <w:t>石泉县再生资源回收利用建设项目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1805"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9"/>
                    <w:jc w:val="center"/>
                    <w:rPr>
                      <w:kern w:val="2"/>
                      <w:szCs w:val="21"/>
                    </w:rPr>
                  </w:pPr>
                  <w:r>
                    <w:rPr>
                      <w:rFonts w:hint="eastAsia"/>
                      <w:kern w:val="2"/>
                      <w:szCs w:val="21"/>
                    </w:rPr>
                    <w:t>建设地点</w:t>
                  </w: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39"/>
                    <w:jc w:val="center"/>
                    <w:rPr>
                      <w:b w:val="0"/>
                      <w:kern w:val="2"/>
                      <w:szCs w:val="21"/>
                    </w:rPr>
                  </w:pPr>
                  <w:r>
                    <w:rPr>
                      <w:rFonts w:hint="eastAsia"/>
                      <w:b w:val="0"/>
                      <w:kern w:val="2"/>
                      <w:szCs w:val="21"/>
                    </w:rPr>
                    <w:t>（陕西）省</w:t>
                  </w:r>
                </w:p>
              </w:tc>
              <w:tc>
                <w:tcPr>
                  <w:tcW w:w="1386" w:type="dxa"/>
                  <w:tcBorders>
                    <w:top w:val="single" w:color="auto" w:sz="4" w:space="0"/>
                    <w:left w:val="single" w:color="auto" w:sz="4" w:space="0"/>
                    <w:bottom w:val="single" w:color="auto" w:sz="4" w:space="0"/>
                    <w:right w:val="single" w:color="auto" w:sz="4" w:space="0"/>
                  </w:tcBorders>
                  <w:vAlign w:val="center"/>
                </w:tcPr>
                <w:p>
                  <w:pPr>
                    <w:pStyle w:val="39"/>
                    <w:jc w:val="center"/>
                    <w:rPr>
                      <w:b w:val="0"/>
                      <w:kern w:val="2"/>
                      <w:szCs w:val="21"/>
                    </w:rPr>
                  </w:pPr>
                  <w:r>
                    <w:rPr>
                      <w:rFonts w:hint="eastAsia"/>
                      <w:b w:val="0"/>
                      <w:kern w:val="2"/>
                      <w:szCs w:val="21"/>
                    </w:rPr>
                    <w:t>（安康）市</w:t>
                  </w:r>
                </w:p>
              </w:tc>
              <w:tc>
                <w:tcPr>
                  <w:tcW w:w="1212" w:type="dxa"/>
                  <w:gridSpan w:val="2"/>
                  <w:tcBorders>
                    <w:top w:val="single" w:color="auto" w:sz="4" w:space="0"/>
                    <w:left w:val="single" w:color="auto" w:sz="4" w:space="0"/>
                    <w:bottom w:val="single" w:color="auto" w:sz="4" w:space="0"/>
                    <w:right w:val="single" w:color="auto" w:sz="4" w:space="0"/>
                  </w:tcBorders>
                  <w:vAlign w:val="center"/>
                </w:tcPr>
                <w:p>
                  <w:pPr>
                    <w:pStyle w:val="39"/>
                    <w:jc w:val="center"/>
                    <w:rPr>
                      <w:b w:val="0"/>
                      <w:kern w:val="2"/>
                      <w:szCs w:val="21"/>
                    </w:rPr>
                  </w:pPr>
                  <w:r>
                    <w:rPr>
                      <w:rFonts w:hint="eastAsia"/>
                      <w:b w:val="0"/>
                      <w:kern w:val="2"/>
                      <w:szCs w:val="21"/>
                    </w:rPr>
                    <w:t>（）区</w:t>
                  </w:r>
                </w:p>
              </w:tc>
              <w:tc>
                <w:tcPr>
                  <w:tcW w:w="1339" w:type="dxa"/>
                  <w:gridSpan w:val="2"/>
                  <w:tcBorders>
                    <w:top w:val="single" w:color="auto" w:sz="4" w:space="0"/>
                    <w:left w:val="single" w:color="auto" w:sz="4" w:space="0"/>
                    <w:bottom w:val="single" w:color="auto" w:sz="4" w:space="0"/>
                    <w:right w:val="single" w:color="auto" w:sz="4" w:space="0"/>
                  </w:tcBorders>
                  <w:vAlign w:val="center"/>
                </w:tcPr>
                <w:p>
                  <w:pPr>
                    <w:pStyle w:val="39"/>
                    <w:jc w:val="center"/>
                    <w:rPr>
                      <w:b w:val="0"/>
                      <w:kern w:val="2"/>
                      <w:szCs w:val="21"/>
                    </w:rPr>
                  </w:pPr>
                  <w:r>
                    <w:rPr>
                      <w:rFonts w:hint="eastAsia"/>
                      <w:b w:val="0"/>
                      <w:kern w:val="2"/>
                      <w:szCs w:val="21"/>
                    </w:rPr>
                    <w:t>（石泉）县</w:t>
                  </w:r>
                </w:p>
              </w:tc>
              <w:tc>
                <w:tcPr>
                  <w:tcW w:w="1260" w:type="dxa"/>
                  <w:tcBorders>
                    <w:top w:val="single" w:color="auto" w:sz="4" w:space="0"/>
                    <w:left w:val="single" w:color="auto" w:sz="4" w:space="0"/>
                    <w:bottom w:val="single" w:color="auto" w:sz="4" w:space="0"/>
                    <w:right w:val="single" w:color="auto" w:sz="4" w:space="0"/>
                  </w:tcBorders>
                  <w:vAlign w:val="center"/>
                </w:tcPr>
                <w:p>
                  <w:pPr>
                    <w:pStyle w:val="39"/>
                    <w:jc w:val="center"/>
                    <w:rPr>
                      <w:b w:val="0"/>
                      <w:kern w:val="2"/>
                      <w:szCs w:val="21"/>
                    </w:rPr>
                  </w:pPr>
                  <w:r>
                    <w:rPr>
                      <w:rFonts w:hint="eastAsia"/>
                      <w:b w:val="0"/>
                      <w:kern w:val="2"/>
                      <w:szCs w:val="21"/>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1805"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9"/>
                    <w:jc w:val="center"/>
                    <w:rPr>
                      <w:kern w:val="2"/>
                      <w:szCs w:val="21"/>
                    </w:rPr>
                  </w:pPr>
                  <w:r>
                    <w:rPr>
                      <w:rFonts w:hint="eastAsia"/>
                      <w:kern w:val="2"/>
                      <w:szCs w:val="21"/>
                    </w:rPr>
                    <w:t>地理坐标</w:t>
                  </w:r>
                </w:p>
              </w:tc>
              <w:tc>
                <w:tcPr>
                  <w:tcW w:w="1019" w:type="dxa"/>
                  <w:tcBorders>
                    <w:top w:val="single" w:color="auto" w:sz="4" w:space="0"/>
                    <w:left w:val="single" w:color="auto" w:sz="4" w:space="0"/>
                    <w:bottom w:val="single" w:color="auto" w:sz="4" w:space="0"/>
                    <w:right w:val="single" w:color="auto" w:sz="4" w:space="0"/>
                  </w:tcBorders>
                  <w:vAlign w:val="center"/>
                </w:tcPr>
                <w:p>
                  <w:pPr>
                    <w:pStyle w:val="39"/>
                    <w:jc w:val="center"/>
                    <w:rPr>
                      <w:rFonts w:cs="Times New Roman"/>
                      <w:b w:val="0"/>
                      <w:kern w:val="2"/>
                      <w:szCs w:val="21"/>
                    </w:rPr>
                  </w:pPr>
                  <w:r>
                    <w:rPr>
                      <w:rFonts w:cs="Times New Roman"/>
                      <w:b w:val="0"/>
                      <w:kern w:val="2"/>
                      <w:szCs w:val="21"/>
                    </w:rPr>
                    <w:t>经度</w:t>
                  </w:r>
                </w:p>
              </w:tc>
              <w:tc>
                <w:tcPr>
                  <w:tcW w:w="1941" w:type="dxa"/>
                  <w:gridSpan w:val="3"/>
                  <w:tcBorders>
                    <w:top w:val="single" w:color="auto" w:sz="4" w:space="0"/>
                    <w:left w:val="single" w:color="auto" w:sz="4" w:space="0"/>
                    <w:bottom w:val="single" w:color="auto" w:sz="4" w:space="0"/>
                    <w:right w:val="single" w:color="auto" w:sz="4" w:space="0"/>
                  </w:tcBorders>
                  <w:vAlign w:val="center"/>
                </w:tcPr>
                <w:p>
                  <w:pPr>
                    <w:pStyle w:val="39"/>
                    <w:jc w:val="center"/>
                    <w:rPr>
                      <w:rFonts w:cs="Times New Roman"/>
                      <w:b w:val="0"/>
                      <w:kern w:val="2"/>
                      <w:szCs w:val="21"/>
                    </w:rPr>
                  </w:pPr>
                  <w:r>
                    <w:rPr>
                      <w:b w:val="0"/>
                      <w:szCs w:val="21"/>
                    </w:rPr>
                    <w:t>108°12′29.095″</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39"/>
                    <w:jc w:val="center"/>
                    <w:rPr>
                      <w:b w:val="0"/>
                      <w:kern w:val="2"/>
                      <w:szCs w:val="21"/>
                    </w:rPr>
                  </w:pPr>
                  <w:r>
                    <w:rPr>
                      <w:rFonts w:hint="eastAsia"/>
                      <w:b w:val="0"/>
                      <w:kern w:val="2"/>
                      <w:szCs w:val="21"/>
                    </w:rPr>
                    <w:t>纬度</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pStyle w:val="39"/>
                    <w:jc w:val="center"/>
                    <w:rPr>
                      <w:rFonts w:cs="Times New Roman"/>
                      <w:b w:val="0"/>
                      <w:kern w:val="2"/>
                      <w:szCs w:val="21"/>
                    </w:rPr>
                  </w:pPr>
                  <w:r>
                    <w:rPr>
                      <w:b w:val="0"/>
                      <w:szCs w:val="21"/>
                    </w:rPr>
                    <w:t>33°05′40.99″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jc w:val="center"/>
              </w:trPr>
              <w:tc>
                <w:tcPr>
                  <w:tcW w:w="1805"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9"/>
                    <w:jc w:val="center"/>
                    <w:rPr>
                      <w:kern w:val="2"/>
                      <w:szCs w:val="21"/>
                    </w:rPr>
                  </w:pPr>
                  <w:r>
                    <w:rPr>
                      <w:rFonts w:hint="eastAsia"/>
                      <w:kern w:val="2"/>
                      <w:szCs w:val="21"/>
                    </w:rPr>
                    <w:t>主要危险物质及分布</w:t>
                  </w:r>
                </w:p>
              </w:tc>
              <w:tc>
                <w:tcPr>
                  <w:tcW w:w="6495" w:type="dxa"/>
                  <w:gridSpan w:val="8"/>
                  <w:tcBorders>
                    <w:top w:val="single" w:color="auto" w:sz="4" w:space="0"/>
                    <w:left w:val="single" w:color="auto" w:sz="4" w:space="0"/>
                    <w:bottom w:val="single" w:color="auto" w:sz="4" w:space="0"/>
                    <w:right w:val="single" w:color="auto" w:sz="4" w:space="0"/>
                  </w:tcBorders>
                  <w:vAlign w:val="center"/>
                </w:tcPr>
                <w:p>
                  <w:pPr>
                    <w:pStyle w:val="39"/>
                    <w:ind w:firstLine="420" w:firstLineChars="200"/>
                    <w:jc w:val="left"/>
                    <w:rPr>
                      <w:b w:val="0"/>
                      <w:kern w:val="2"/>
                      <w:szCs w:val="21"/>
                    </w:rPr>
                  </w:pPr>
                  <w:r>
                    <w:rPr>
                      <w:rFonts w:hint="eastAsia"/>
                      <w:b w:val="0"/>
                      <w:kern w:val="2"/>
                      <w:szCs w:val="21"/>
                    </w:rPr>
                    <w:t>项目主要风险物质为废燃料油、废油液、硫酸，位于拆解车间及危废库房。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805"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9"/>
                    <w:jc w:val="center"/>
                    <w:rPr>
                      <w:kern w:val="2"/>
                      <w:szCs w:val="21"/>
                    </w:rPr>
                  </w:pPr>
                  <w:r>
                    <w:rPr>
                      <w:rFonts w:hint="eastAsia"/>
                      <w:kern w:val="2"/>
                      <w:szCs w:val="21"/>
                    </w:rPr>
                    <w:t>环境影响途径及危害后果（大气、地表水、地下水等）</w:t>
                  </w:r>
                </w:p>
              </w:tc>
              <w:tc>
                <w:tcPr>
                  <w:tcW w:w="6495" w:type="dxa"/>
                  <w:gridSpan w:val="8"/>
                  <w:tcBorders>
                    <w:top w:val="single" w:color="auto" w:sz="4" w:space="0"/>
                    <w:left w:val="single" w:color="auto" w:sz="4" w:space="0"/>
                    <w:bottom w:val="single" w:color="auto" w:sz="4" w:space="0"/>
                    <w:right w:val="single" w:color="auto" w:sz="4" w:space="0"/>
                  </w:tcBorders>
                  <w:vAlign w:val="center"/>
                </w:tcPr>
                <w:p>
                  <w:pPr>
                    <w:pStyle w:val="39"/>
                    <w:ind w:firstLine="420" w:firstLineChars="200"/>
                    <w:jc w:val="left"/>
                    <w:rPr>
                      <w:b w:val="0"/>
                      <w:kern w:val="2"/>
                      <w:szCs w:val="21"/>
                    </w:rPr>
                  </w:pPr>
                  <w:r>
                    <w:rPr>
                      <w:rFonts w:hint="eastAsia"/>
                      <w:b w:val="0"/>
                      <w:kern w:val="2"/>
                      <w:szCs w:val="21"/>
                    </w:rPr>
                    <w:t>项目可能影响环境的途径为油类物质发生泄漏，易燃物质发生火灾，影响大气环境，有毒有害物质泄漏不及时收集处理污染土壤及地下水环境。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805" w:type="dxa"/>
                  <w:tcBorders>
                    <w:top w:val="single" w:color="auto" w:sz="4" w:space="0"/>
                    <w:left w:val="single" w:color="auto" w:sz="4" w:space="0"/>
                    <w:bottom w:val="single" w:color="auto" w:sz="4" w:space="0"/>
                    <w:right w:val="single" w:color="auto" w:sz="4" w:space="0"/>
                  </w:tcBorders>
                  <w:shd w:val="pct10" w:color="auto" w:fill="auto"/>
                  <w:vAlign w:val="center"/>
                </w:tcPr>
                <w:p>
                  <w:pPr>
                    <w:pStyle w:val="39"/>
                    <w:jc w:val="center"/>
                    <w:rPr>
                      <w:kern w:val="2"/>
                      <w:szCs w:val="21"/>
                    </w:rPr>
                  </w:pPr>
                  <w:r>
                    <w:rPr>
                      <w:rFonts w:hint="eastAsia"/>
                      <w:kern w:val="2"/>
                      <w:szCs w:val="21"/>
                    </w:rPr>
                    <w:t>风险防范</w:t>
                  </w:r>
                </w:p>
                <w:p>
                  <w:pPr>
                    <w:pStyle w:val="39"/>
                    <w:jc w:val="center"/>
                    <w:rPr>
                      <w:kern w:val="2"/>
                      <w:szCs w:val="21"/>
                    </w:rPr>
                  </w:pPr>
                  <w:r>
                    <w:rPr>
                      <w:rFonts w:hint="eastAsia"/>
                      <w:kern w:val="2"/>
                      <w:szCs w:val="21"/>
                    </w:rPr>
                    <w:t>措施要求</w:t>
                  </w:r>
                </w:p>
              </w:tc>
              <w:tc>
                <w:tcPr>
                  <w:tcW w:w="6495" w:type="dxa"/>
                  <w:gridSpan w:val="8"/>
                  <w:tcBorders>
                    <w:top w:val="single" w:color="auto" w:sz="4" w:space="0"/>
                    <w:left w:val="single" w:color="auto" w:sz="4" w:space="0"/>
                    <w:bottom w:val="single" w:color="auto" w:sz="4" w:space="0"/>
                    <w:right w:val="single" w:color="auto" w:sz="4" w:space="0"/>
                  </w:tcBorders>
                  <w:vAlign w:val="center"/>
                </w:tcPr>
                <w:p>
                  <w:pPr>
                    <w:pStyle w:val="39"/>
                    <w:ind w:firstLine="420" w:firstLineChars="200"/>
                    <w:jc w:val="left"/>
                    <w:rPr>
                      <w:b w:val="0"/>
                      <w:kern w:val="2"/>
                      <w:szCs w:val="21"/>
                    </w:rPr>
                  </w:pPr>
                  <w:r>
                    <w:rPr>
                      <w:rFonts w:hint="eastAsia"/>
                      <w:b w:val="0"/>
                      <w:kern w:val="2"/>
                      <w:szCs w:val="21"/>
                    </w:rPr>
                    <w:t>建设单位采用相应的泄漏应急处理、防护措施、急救措施等，能有效控大气环境危害；同时设置厂区物质泄漏三级防渗措施，避免泄漏物质污染土壤及地下水环境。</w:t>
                  </w:r>
                </w:p>
              </w:tc>
            </w:tr>
          </w:tbl>
          <w:p>
            <w:pPr>
              <w:ind w:firstLine="480"/>
              <w:rPr>
                <w:sz w:val="24"/>
                <w:szCs w:val="24"/>
              </w:rPr>
            </w:pPr>
          </w:p>
        </w:tc>
      </w:tr>
    </w:tbl>
    <w:p>
      <w:pPr>
        <w:pStyle w:val="2"/>
        <w:sectPr>
          <w:pgSz w:w="11906" w:h="16838"/>
          <w:pgMar w:top="1418" w:right="1418" w:bottom="1418" w:left="1418" w:header="851" w:footer="992" w:gutter="0"/>
          <w:pgNumType w:fmt="numberInDash"/>
          <w:cols w:space="425" w:num="1"/>
          <w:docGrid w:type="lines" w:linePitch="312" w:charSpace="0"/>
        </w:sectPr>
      </w:pPr>
    </w:p>
    <w:p>
      <w:pPr>
        <w:pStyle w:val="2"/>
      </w:pPr>
      <w:r>
        <w:t>五</w:t>
      </w:r>
      <w:r>
        <w:rPr>
          <w:rFonts w:hint="eastAsia"/>
        </w:rPr>
        <w:t>、</w:t>
      </w:r>
      <w:r>
        <w:t>环境保护措施监督检查清单</w:t>
      </w:r>
    </w:p>
    <w:tbl>
      <w:tblPr>
        <w:tblStyle w:val="21"/>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712"/>
        <w:gridCol w:w="1435"/>
        <w:gridCol w:w="1134"/>
        <w:gridCol w:w="851"/>
        <w:gridCol w:w="18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21" w:type="dxa"/>
            <w:tcBorders>
              <w:tl2br w:val="single" w:color="auto" w:sz="4" w:space="0"/>
            </w:tcBorders>
          </w:tcPr>
          <w:p>
            <w:pPr>
              <w:pStyle w:val="34"/>
              <w:jc w:val="right"/>
              <w:rPr>
                <w:sz w:val="24"/>
              </w:rPr>
            </w:pPr>
            <w:r>
              <w:rPr>
                <w:sz w:val="24"/>
              </w:rPr>
              <w:t>内容</w:t>
            </w:r>
          </w:p>
          <w:p>
            <w:pPr>
              <w:pStyle w:val="34"/>
              <w:rPr>
                <w:sz w:val="24"/>
              </w:rPr>
            </w:pPr>
          </w:p>
          <w:p>
            <w:pPr>
              <w:pStyle w:val="34"/>
              <w:jc w:val="left"/>
              <w:rPr>
                <w:sz w:val="24"/>
              </w:rPr>
            </w:pPr>
            <w:r>
              <w:rPr>
                <w:sz w:val="24"/>
              </w:rPr>
              <w:t>要素</w:t>
            </w:r>
          </w:p>
        </w:tc>
        <w:tc>
          <w:tcPr>
            <w:tcW w:w="1712" w:type="dxa"/>
            <w:vAlign w:val="center"/>
          </w:tcPr>
          <w:p>
            <w:pPr>
              <w:pStyle w:val="34"/>
              <w:rPr>
                <w:sz w:val="24"/>
              </w:rPr>
            </w:pPr>
            <w:r>
              <w:rPr>
                <w:sz w:val="24"/>
              </w:rPr>
              <w:t>排放口</w:t>
            </w:r>
            <w:r>
              <w:rPr>
                <w:rFonts w:hint="eastAsia"/>
                <w:sz w:val="24"/>
              </w:rPr>
              <w:t>（</w:t>
            </w:r>
            <w:r>
              <w:rPr>
                <w:sz w:val="24"/>
              </w:rPr>
              <w:t>编号、名称</w:t>
            </w:r>
            <w:r>
              <w:rPr>
                <w:rFonts w:hint="eastAsia"/>
                <w:sz w:val="24"/>
              </w:rPr>
              <w:t>）</w:t>
            </w:r>
            <w:r>
              <w:rPr>
                <w:sz w:val="24"/>
              </w:rPr>
              <w:t>/污染源</w:t>
            </w:r>
          </w:p>
        </w:tc>
        <w:tc>
          <w:tcPr>
            <w:tcW w:w="1435" w:type="dxa"/>
            <w:vAlign w:val="center"/>
          </w:tcPr>
          <w:p>
            <w:pPr>
              <w:pStyle w:val="34"/>
              <w:rPr>
                <w:sz w:val="24"/>
              </w:rPr>
            </w:pPr>
            <w:r>
              <w:rPr>
                <w:sz w:val="24"/>
              </w:rPr>
              <w:t>污染物项目</w:t>
            </w:r>
          </w:p>
        </w:tc>
        <w:tc>
          <w:tcPr>
            <w:tcW w:w="1985" w:type="dxa"/>
            <w:gridSpan w:val="2"/>
            <w:vAlign w:val="center"/>
          </w:tcPr>
          <w:p>
            <w:pPr>
              <w:pStyle w:val="34"/>
              <w:rPr>
                <w:sz w:val="24"/>
              </w:rPr>
            </w:pPr>
            <w:r>
              <w:rPr>
                <w:sz w:val="24"/>
              </w:rPr>
              <w:t>环境保护</w:t>
            </w:r>
          </w:p>
          <w:p>
            <w:pPr>
              <w:pStyle w:val="34"/>
              <w:rPr>
                <w:sz w:val="24"/>
              </w:rPr>
            </w:pPr>
            <w:r>
              <w:rPr>
                <w:sz w:val="24"/>
              </w:rPr>
              <w:t>措施</w:t>
            </w:r>
          </w:p>
        </w:tc>
        <w:tc>
          <w:tcPr>
            <w:tcW w:w="1847" w:type="dxa"/>
            <w:vAlign w:val="center"/>
          </w:tcPr>
          <w:p>
            <w:pPr>
              <w:pStyle w:val="34"/>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21" w:type="dxa"/>
            <w:vMerge w:val="restart"/>
            <w:vAlign w:val="center"/>
          </w:tcPr>
          <w:p>
            <w:pPr>
              <w:pStyle w:val="34"/>
              <w:rPr>
                <w:sz w:val="24"/>
              </w:rPr>
            </w:pPr>
            <w:r>
              <w:rPr>
                <w:sz w:val="24"/>
              </w:rPr>
              <w:t>大气环境</w:t>
            </w:r>
          </w:p>
        </w:tc>
        <w:tc>
          <w:tcPr>
            <w:tcW w:w="1712" w:type="dxa"/>
            <w:vAlign w:val="center"/>
          </w:tcPr>
          <w:p>
            <w:pPr>
              <w:pStyle w:val="34"/>
              <w:rPr>
                <w:sz w:val="24"/>
              </w:rPr>
            </w:pPr>
            <w:r>
              <w:rPr>
                <w:rFonts w:hint="eastAsia"/>
                <w:sz w:val="24"/>
              </w:rPr>
              <w:t>1#废弃电器拆解排气筒</w:t>
            </w:r>
          </w:p>
        </w:tc>
        <w:tc>
          <w:tcPr>
            <w:tcW w:w="1435" w:type="dxa"/>
            <w:vAlign w:val="center"/>
          </w:tcPr>
          <w:p>
            <w:pPr>
              <w:pStyle w:val="34"/>
              <w:rPr>
                <w:sz w:val="24"/>
              </w:rPr>
            </w:pPr>
            <w:r>
              <w:rPr>
                <w:rFonts w:hint="eastAsia"/>
                <w:sz w:val="24"/>
              </w:rPr>
              <w:t>颗粒物</w:t>
            </w:r>
          </w:p>
        </w:tc>
        <w:tc>
          <w:tcPr>
            <w:tcW w:w="1985" w:type="dxa"/>
            <w:gridSpan w:val="2"/>
            <w:vAlign w:val="center"/>
          </w:tcPr>
          <w:p>
            <w:pPr>
              <w:pStyle w:val="34"/>
              <w:rPr>
                <w:sz w:val="24"/>
              </w:rPr>
            </w:pPr>
            <w:r>
              <w:rPr>
                <w:rFonts w:hint="eastAsia"/>
                <w:sz w:val="24"/>
              </w:rPr>
              <w:t>1套布袋除尘+15m高排气筒</w:t>
            </w:r>
          </w:p>
        </w:tc>
        <w:tc>
          <w:tcPr>
            <w:tcW w:w="1847" w:type="dxa"/>
            <w:vAlign w:val="center"/>
          </w:tcPr>
          <w:p>
            <w:pPr>
              <w:pStyle w:val="34"/>
              <w:rPr>
                <w:sz w:val="24"/>
              </w:rPr>
            </w:pPr>
            <w:r>
              <w:rPr>
                <w:rFonts w:hint="eastAsia"/>
                <w:sz w:val="24"/>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21" w:type="dxa"/>
            <w:vMerge w:val="continue"/>
            <w:vAlign w:val="center"/>
          </w:tcPr>
          <w:p>
            <w:pPr>
              <w:pStyle w:val="34"/>
              <w:rPr>
                <w:sz w:val="24"/>
              </w:rPr>
            </w:pPr>
          </w:p>
        </w:tc>
        <w:tc>
          <w:tcPr>
            <w:tcW w:w="1712" w:type="dxa"/>
            <w:vMerge w:val="restart"/>
            <w:vAlign w:val="center"/>
          </w:tcPr>
          <w:p>
            <w:pPr>
              <w:pStyle w:val="34"/>
              <w:rPr>
                <w:sz w:val="24"/>
              </w:rPr>
            </w:pPr>
            <w:r>
              <w:rPr>
                <w:rFonts w:hint="eastAsia"/>
                <w:sz w:val="24"/>
              </w:rPr>
              <w:t>2#电器拆解后加工排气筒</w:t>
            </w:r>
          </w:p>
        </w:tc>
        <w:tc>
          <w:tcPr>
            <w:tcW w:w="1435" w:type="dxa"/>
            <w:vAlign w:val="center"/>
          </w:tcPr>
          <w:p>
            <w:pPr>
              <w:pStyle w:val="34"/>
              <w:rPr>
                <w:sz w:val="24"/>
              </w:rPr>
            </w:pPr>
            <w:r>
              <w:rPr>
                <w:sz w:val="24"/>
              </w:rPr>
              <w:t>颗粒物</w:t>
            </w:r>
          </w:p>
        </w:tc>
        <w:tc>
          <w:tcPr>
            <w:tcW w:w="1985" w:type="dxa"/>
            <w:gridSpan w:val="2"/>
            <w:vMerge w:val="restart"/>
            <w:vAlign w:val="center"/>
          </w:tcPr>
          <w:p>
            <w:pPr>
              <w:pStyle w:val="34"/>
              <w:rPr>
                <w:sz w:val="24"/>
              </w:rPr>
            </w:pPr>
            <w:r>
              <w:rPr>
                <w:rFonts w:hint="eastAsia"/>
                <w:sz w:val="24"/>
              </w:rPr>
              <w:t>1套旋风除尘+脉冲袋式除尘器++紫外光氧+活性炭吸附+15m高排气筒</w:t>
            </w:r>
          </w:p>
        </w:tc>
        <w:tc>
          <w:tcPr>
            <w:tcW w:w="1847" w:type="dxa"/>
            <w:vMerge w:val="restart"/>
            <w:vAlign w:val="center"/>
          </w:tcPr>
          <w:p>
            <w:pPr>
              <w:pStyle w:val="34"/>
              <w:rPr>
                <w:sz w:val="24"/>
              </w:rPr>
            </w:pPr>
            <w:r>
              <w:rPr>
                <w:rFonts w:hint="eastAsia"/>
                <w:sz w:val="24"/>
              </w:rPr>
              <w:t>《大气污染物综合排放标准》GB16297-1996《挥发性有机物无组织排放控制标准》GB37822-2019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21" w:type="dxa"/>
            <w:vMerge w:val="continue"/>
            <w:vAlign w:val="center"/>
          </w:tcPr>
          <w:p>
            <w:pPr>
              <w:pStyle w:val="34"/>
              <w:rPr>
                <w:sz w:val="24"/>
              </w:rPr>
            </w:pPr>
          </w:p>
        </w:tc>
        <w:tc>
          <w:tcPr>
            <w:tcW w:w="1712" w:type="dxa"/>
            <w:vMerge w:val="continue"/>
            <w:vAlign w:val="center"/>
          </w:tcPr>
          <w:p>
            <w:pPr>
              <w:pStyle w:val="34"/>
              <w:rPr>
                <w:sz w:val="24"/>
              </w:rPr>
            </w:pPr>
          </w:p>
        </w:tc>
        <w:tc>
          <w:tcPr>
            <w:tcW w:w="1435" w:type="dxa"/>
            <w:vAlign w:val="center"/>
          </w:tcPr>
          <w:p>
            <w:pPr>
              <w:pStyle w:val="34"/>
              <w:rPr>
                <w:sz w:val="24"/>
              </w:rPr>
            </w:pPr>
            <w:r>
              <w:rPr>
                <w:sz w:val="24"/>
              </w:rPr>
              <w:t>非甲烷总烃</w:t>
            </w:r>
          </w:p>
        </w:tc>
        <w:tc>
          <w:tcPr>
            <w:tcW w:w="1985" w:type="dxa"/>
            <w:gridSpan w:val="2"/>
            <w:vMerge w:val="continue"/>
            <w:vAlign w:val="center"/>
          </w:tcPr>
          <w:p>
            <w:pPr>
              <w:pStyle w:val="34"/>
              <w:rPr>
                <w:sz w:val="24"/>
              </w:rPr>
            </w:pPr>
          </w:p>
        </w:tc>
        <w:tc>
          <w:tcPr>
            <w:tcW w:w="1847" w:type="dxa"/>
            <w:vMerge w:val="continue"/>
            <w:vAlign w:val="center"/>
          </w:tcPr>
          <w:p>
            <w:pPr>
              <w:pStyle w:val="34"/>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21" w:type="dxa"/>
            <w:vMerge w:val="continue"/>
            <w:vAlign w:val="center"/>
          </w:tcPr>
          <w:p>
            <w:pPr>
              <w:pStyle w:val="34"/>
              <w:rPr>
                <w:sz w:val="24"/>
              </w:rPr>
            </w:pPr>
          </w:p>
        </w:tc>
        <w:tc>
          <w:tcPr>
            <w:tcW w:w="1712" w:type="dxa"/>
            <w:vMerge w:val="restart"/>
            <w:vAlign w:val="center"/>
          </w:tcPr>
          <w:p>
            <w:pPr>
              <w:pStyle w:val="34"/>
              <w:rPr>
                <w:sz w:val="24"/>
              </w:rPr>
            </w:pPr>
            <w:r>
              <w:rPr>
                <w:rFonts w:hint="eastAsia"/>
                <w:sz w:val="24"/>
              </w:rPr>
              <w:t>3#机动车拆解排气筒</w:t>
            </w:r>
          </w:p>
        </w:tc>
        <w:tc>
          <w:tcPr>
            <w:tcW w:w="1435" w:type="dxa"/>
            <w:vAlign w:val="center"/>
          </w:tcPr>
          <w:p>
            <w:pPr>
              <w:pStyle w:val="34"/>
              <w:rPr>
                <w:sz w:val="24"/>
              </w:rPr>
            </w:pPr>
            <w:r>
              <w:rPr>
                <w:sz w:val="24"/>
              </w:rPr>
              <w:t>颗粒物</w:t>
            </w:r>
          </w:p>
        </w:tc>
        <w:tc>
          <w:tcPr>
            <w:tcW w:w="1134" w:type="dxa"/>
            <w:vAlign w:val="center"/>
          </w:tcPr>
          <w:p>
            <w:pPr>
              <w:pStyle w:val="34"/>
              <w:rPr>
                <w:sz w:val="24"/>
              </w:rPr>
            </w:pPr>
            <w:r>
              <w:rPr>
                <w:rFonts w:hint="eastAsia"/>
                <w:sz w:val="24"/>
              </w:rPr>
              <w:t>1套布袋除尘</w:t>
            </w:r>
          </w:p>
        </w:tc>
        <w:tc>
          <w:tcPr>
            <w:tcW w:w="851" w:type="dxa"/>
            <w:vMerge w:val="restart"/>
            <w:vAlign w:val="center"/>
          </w:tcPr>
          <w:p>
            <w:pPr>
              <w:pStyle w:val="34"/>
              <w:rPr>
                <w:sz w:val="24"/>
              </w:rPr>
            </w:pPr>
            <w:r>
              <w:rPr>
                <w:sz w:val="24"/>
              </w:rPr>
              <w:t>共用</w:t>
            </w:r>
            <w:r>
              <w:rPr>
                <w:rFonts w:hint="eastAsia"/>
                <w:sz w:val="24"/>
              </w:rPr>
              <w:t>1根15m排气筒</w:t>
            </w:r>
          </w:p>
        </w:tc>
        <w:tc>
          <w:tcPr>
            <w:tcW w:w="1847" w:type="dxa"/>
            <w:vMerge w:val="continue"/>
            <w:vAlign w:val="center"/>
          </w:tcPr>
          <w:p>
            <w:pPr>
              <w:pStyle w:val="34"/>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21" w:type="dxa"/>
            <w:vMerge w:val="continue"/>
            <w:vAlign w:val="center"/>
          </w:tcPr>
          <w:p>
            <w:pPr>
              <w:pStyle w:val="34"/>
              <w:rPr>
                <w:sz w:val="24"/>
              </w:rPr>
            </w:pPr>
          </w:p>
        </w:tc>
        <w:tc>
          <w:tcPr>
            <w:tcW w:w="1712" w:type="dxa"/>
            <w:vMerge w:val="continue"/>
            <w:vAlign w:val="center"/>
          </w:tcPr>
          <w:p>
            <w:pPr>
              <w:pStyle w:val="34"/>
              <w:rPr>
                <w:sz w:val="24"/>
              </w:rPr>
            </w:pPr>
          </w:p>
        </w:tc>
        <w:tc>
          <w:tcPr>
            <w:tcW w:w="1435" w:type="dxa"/>
            <w:vAlign w:val="center"/>
          </w:tcPr>
          <w:p>
            <w:pPr>
              <w:pStyle w:val="34"/>
              <w:rPr>
                <w:sz w:val="24"/>
              </w:rPr>
            </w:pPr>
            <w:r>
              <w:rPr>
                <w:sz w:val="24"/>
              </w:rPr>
              <w:t>非甲烷总烃</w:t>
            </w:r>
          </w:p>
        </w:tc>
        <w:tc>
          <w:tcPr>
            <w:tcW w:w="1134" w:type="dxa"/>
            <w:vAlign w:val="center"/>
          </w:tcPr>
          <w:p>
            <w:pPr>
              <w:pStyle w:val="34"/>
              <w:rPr>
                <w:sz w:val="24"/>
              </w:rPr>
            </w:pPr>
            <w:r>
              <w:rPr>
                <w:rFonts w:hint="eastAsia"/>
                <w:sz w:val="24"/>
              </w:rPr>
              <w:t>1套紫外光氧+活性炭吸附装置</w:t>
            </w:r>
          </w:p>
        </w:tc>
        <w:tc>
          <w:tcPr>
            <w:tcW w:w="851" w:type="dxa"/>
            <w:vMerge w:val="continue"/>
            <w:vAlign w:val="center"/>
          </w:tcPr>
          <w:p>
            <w:pPr>
              <w:pStyle w:val="34"/>
              <w:rPr>
                <w:sz w:val="24"/>
              </w:rPr>
            </w:pPr>
          </w:p>
        </w:tc>
        <w:tc>
          <w:tcPr>
            <w:tcW w:w="1847" w:type="dxa"/>
            <w:vMerge w:val="continue"/>
            <w:vAlign w:val="center"/>
          </w:tcPr>
          <w:p>
            <w:pPr>
              <w:pStyle w:val="34"/>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21" w:type="dxa"/>
            <w:vMerge w:val="continue"/>
            <w:vAlign w:val="center"/>
          </w:tcPr>
          <w:p>
            <w:pPr>
              <w:pStyle w:val="34"/>
              <w:rPr>
                <w:sz w:val="24"/>
              </w:rPr>
            </w:pPr>
          </w:p>
        </w:tc>
        <w:tc>
          <w:tcPr>
            <w:tcW w:w="1712" w:type="dxa"/>
            <w:vAlign w:val="center"/>
          </w:tcPr>
          <w:p>
            <w:pPr>
              <w:pStyle w:val="34"/>
              <w:rPr>
                <w:sz w:val="24"/>
              </w:rPr>
            </w:pPr>
            <w:r>
              <w:rPr>
                <w:rFonts w:hint="eastAsia"/>
                <w:sz w:val="24"/>
              </w:rPr>
              <w:t>机动车拆解</w:t>
            </w:r>
          </w:p>
        </w:tc>
        <w:tc>
          <w:tcPr>
            <w:tcW w:w="1435" w:type="dxa"/>
            <w:vAlign w:val="center"/>
          </w:tcPr>
          <w:p>
            <w:pPr>
              <w:pStyle w:val="34"/>
              <w:rPr>
                <w:sz w:val="24"/>
              </w:rPr>
            </w:pPr>
            <w:r>
              <w:rPr>
                <w:sz w:val="24"/>
              </w:rPr>
              <w:t>颗粒物</w:t>
            </w:r>
          </w:p>
        </w:tc>
        <w:tc>
          <w:tcPr>
            <w:tcW w:w="1985" w:type="dxa"/>
            <w:gridSpan w:val="2"/>
            <w:vAlign w:val="center"/>
          </w:tcPr>
          <w:p>
            <w:pPr>
              <w:pStyle w:val="34"/>
              <w:rPr>
                <w:sz w:val="24"/>
              </w:rPr>
            </w:pPr>
            <w:r>
              <w:rPr>
                <w:rFonts w:hint="eastAsia"/>
                <w:sz w:val="24"/>
              </w:rPr>
              <w:t>/</w:t>
            </w:r>
          </w:p>
        </w:tc>
        <w:tc>
          <w:tcPr>
            <w:tcW w:w="1847" w:type="dxa"/>
            <w:vAlign w:val="center"/>
          </w:tcPr>
          <w:p>
            <w:pPr>
              <w:pStyle w:val="34"/>
              <w:rPr>
                <w:sz w:val="24"/>
              </w:rPr>
            </w:pPr>
            <w:r>
              <w:rPr>
                <w:rFonts w:hint="eastAsia"/>
                <w:sz w:val="24"/>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21" w:type="dxa"/>
            <w:vMerge w:val="restart"/>
            <w:vAlign w:val="center"/>
          </w:tcPr>
          <w:p>
            <w:pPr>
              <w:pStyle w:val="34"/>
              <w:rPr>
                <w:sz w:val="24"/>
              </w:rPr>
            </w:pPr>
            <w:r>
              <w:rPr>
                <w:sz w:val="24"/>
              </w:rPr>
              <w:t>地表水环境</w:t>
            </w:r>
          </w:p>
        </w:tc>
        <w:tc>
          <w:tcPr>
            <w:tcW w:w="1712" w:type="dxa"/>
            <w:vAlign w:val="center"/>
          </w:tcPr>
          <w:p>
            <w:pPr>
              <w:pStyle w:val="34"/>
              <w:rPr>
                <w:sz w:val="24"/>
              </w:rPr>
            </w:pPr>
            <w:r>
              <w:rPr>
                <w:rFonts w:hint="eastAsia"/>
                <w:sz w:val="24"/>
              </w:rPr>
              <w:t>生活污水</w:t>
            </w:r>
          </w:p>
        </w:tc>
        <w:tc>
          <w:tcPr>
            <w:tcW w:w="1435" w:type="dxa"/>
            <w:vAlign w:val="center"/>
          </w:tcPr>
          <w:p>
            <w:pPr>
              <w:pStyle w:val="34"/>
              <w:rPr>
                <w:sz w:val="24"/>
              </w:rPr>
            </w:pPr>
            <w:r>
              <w:rPr>
                <w:rFonts w:hint="eastAsia"/>
                <w:sz w:val="24"/>
              </w:rPr>
              <w:t>COD、BOD</w:t>
            </w:r>
            <w:r>
              <w:rPr>
                <w:rFonts w:hint="eastAsia"/>
                <w:sz w:val="24"/>
                <w:vertAlign w:val="subscript"/>
              </w:rPr>
              <w:t>5</w:t>
            </w:r>
            <w:r>
              <w:rPr>
                <w:rFonts w:hint="eastAsia"/>
                <w:sz w:val="24"/>
              </w:rPr>
              <w:t>、</w:t>
            </w:r>
          </w:p>
          <w:p>
            <w:pPr>
              <w:pStyle w:val="34"/>
              <w:rPr>
                <w:sz w:val="24"/>
              </w:rPr>
            </w:pPr>
            <w:r>
              <w:rPr>
                <w:rFonts w:hint="eastAsia"/>
                <w:sz w:val="24"/>
              </w:rPr>
              <w:t>NH</w:t>
            </w:r>
            <w:r>
              <w:rPr>
                <w:rFonts w:hint="eastAsia"/>
                <w:sz w:val="24"/>
                <w:vertAlign w:val="subscript"/>
              </w:rPr>
              <w:t>3</w:t>
            </w:r>
            <w:r>
              <w:rPr>
                <w:rFonts w:hint="eastAsia"/>
                <w:sz w:val="24"/>
              </w:rPr>
              <w:t>-N、SS</w:t>
            </w:r>
          </w:p>
        </w:tc>
        <w:tc>
          <w:tcPr>
            <w:tcW w:w="1985" w:type="dxa"/>
            <w:gridSpan w:val="2"/>
            <w:vAlign w:val="center"/>
          </w:tcPr>
          <w:p>
            <w:pPr>
              <w:pStyle w:val="34"/>
              <w:rPr>
                <w:sz w:val="24"/>
              </w:rPr>
            </w:pPr>
            <w:r>
              <w:rPr>
                <w:sz w:val="24"/>
              </w:rPr>
              <w:t>化粪池</w:t>
            </w:r>
          </w:p>
        </w:tc>
        <w:tc>
          <w:tcPr>
            <w:tcW w:w="1847" w:type="dxa"/>
            <w:vMerge w:val="restart"/>
            <w:vAlign w:val="center"/>
          </w:tcPr>
          <w:p>
            <w:pPr>
              <w:pStyle w:val="34"/>
              <w:rPr>
                <w:sz w:val="24"/>
              </w:rPr>
            </w:pPr>
            <w:r>
              <w:rPr>
                <w:sz w:val="24"/>
              </w:rPr>
              <w:t>《污水排入城镇下水道水质标准》（GB/T31962</w:t>
            </w:r>
          </w:p>
          <w:p>
            <w:pPr>
              <w:pStyle w:val="34"/>
              <w:rPr>
                <w:sz w:val="24"/>
              </w:rPr>
            </w:pPr>
            <w:r>
              <w:rPr>
                <w:sz w:val="24"/>
              </w:rPr>
              <w:t>-2015）</w:t>
            </w:r>
          </w:p>
          <w:p>
            <w:pPr>
              <w:pStyle w:val="34"/>
              <w:rPr>
                <w:sz w:val="24"/>
              </w:rPr>
            </w:pPr>
            <w:r>
              <w:rPr>
                <w:sz w:val="24"/>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821" w:type="dxa"/>
            <w:vMerge w:val="continue"/>
            <w:vAlign w:val="center"/>
          </w:tcPr>
          <w:p>
            <w:pPr>
              <w:pStyle w:val="34"/>
              <w:rPr>
                <w:sz w:val="24"/>
              </w:rPr>
            </w:pPr>
          </w:p>
        </w:tc>
        <w:tc>
          <w:tcPr>
            <w:tcW w:w="1712" w:type="dxa"/>
            <w:vAlign w:val="center"/>
          </w:tcPr>
          <w:p>
            <w:pPr>
              <w:pStyle w:val="34"/>
              <w:rPr>
                <w:sz w:val="24"/>
              </w:rPr>
            </w:pPr>
            <w:r>
              <w:rPr>
                <w:rFonts w:hint="eastAsia"/>
                <w:sz w:val="24"/>
              </w:rPr>
              <w:t>车间冲洗废水</w:t>
            </w:r>
          </w:p>
        </w:tc>
        <w:tc>
          <w:tcPr>
            <w:tcW w:w="1435" w:type="dxa"/>
            <w:vAlign w:val="center"/>
          </w:tcPr>
          <w:p>
            <w:pPr>
              <w:pStyle w:val="34"/>
              <w:rPr>
                <w:sz w:val="24"/>
              </w:rPr>
            </w:pPr>
            <w:r>
              <w:rPr>
                <w:rFonts w:hint="eastAsia"/>
                <w:sz w:val="24"/>
              </w:rPr>
              <w:t>SS、石油类</w:t>
            </w:r>
          </w:p>
        </w:tc>
        <w:tc>
          <w:tcPr>
            <w:tcW w:w="1985" w:type="dxa"/>
            <w:gridSpan w:val="2"/>
            <w:vAlign w:val="center"/>
          </w:tcPr>
          <w:p>
            <w:pPr>
              <w:pStyle w:val="34"/>
              <w:rPr>
                <w:sz w:val="24"/>
              </w:rPr>
            </w:pPr>
            <w:r>
              <w:rPr>
                <w:rFonts w:hint="eastAsia"/>
                <w:sz w:val="24"/>
              </w:rPr>
              <w:t>隔油沉淀池</w:t>
            </w:r>
          </w:p>
        </w:tc>
        <w:tc>
          <w:tcPr>
            <w:tcW w:w="1847" w:type="dxa"/>
            <w:vMerge w:val="continue"/>
            <w:vAlign w:val="center"/>
          </w:tcPr>
          <w:p>
            <w:pPr>
              <w:pStyle w:val="34"/>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67" w:hRule="atLeast"/>
          <w:jc w:val="center"/>
        </w:trPr>
        <w:tc>
          <w:tcPr>
            <w:tcW w:w="1821" w:type="dxa"/>
            <w:vAlign w:val="center"/>
          </w:tcPr>
          <w:p>
            <w:pPr>
              <w:pStyle w:val="34"/>
              <w:rPr>
                <w:sz w:val="24"/>
              </w:rPr>
            </w:pPr>
            <w:r>
              <w:rPr>
                <w:sz w:val="24"/>
              </w:rPr>
              <w:t>声环境</w:t>
            </w:r>
          </w:p>
        </w:tc>
        <w:tc>
          <w:tcPr>
            <w:tcW w:w="1712" w:type="dxa"/>
            <w:vAlign w:val="center"/>
          </w:tcPr>
          <w:p>
            <w:pPr>
              <w:pStyle w:val="34"/>
              <w:rPr>
                <w:sz w:val="24"/>
              </w:rPr>
            </w:pPr>
            <w:r>
              <w:rPr>
                <w:sz w:val="24"/>
              </w:rPr>
              <w:t>设备噪声</w:t>
            </w:r>
          </w:p>
        </w:tc>
        <w:tc>
          <w:tcPr>
            <w:tcW w:w="1435" w:type="dxa"/>
            <w:vAlign w:val="center"/>
          </w:tcPr>
          <w:p>
            <w:pPr>
              <w:pStyle w:val="34"/>
              <w:rPr>
                <w:sz w:val="24"/>
              </w:rPr>
            </w:pPr>
            <w:r>
              <w:rPr>
                <w:sz w:val="24"/>
              </w:rPr>
              <w:t>噪声</w:t>
            </w:r>
          </w:p>
        </w:tc>
        <w:tc>
          <w:tcPr>
            <w:tcW w:w="1985" w:type="dxa"/>
            <w:gridSpan w:val="2"/>
            <w:vAlign w:val="center"/>
          </w:tcPr>
          <w:p>
            <w:pPr>
              <w:pStyle w:val="34"/>
              <w:rPr>
                <w:sz w:val="24"/>
              </w:rPr>
            </w:pPr>
            <w:r>
              <w:rPr>
                <w:rFonts w:hint="eastAsia"/>
                <w:sz w:val="24"/>
              </w:rPr>
              <w:t>选用低噪声设备，采取室内隔声、基础减震等措施</w:t>
            </w:r>
          </w:p>
        </w:tc>
        <w:tc>
          <w:tcPr>
            <w:tcW w:w="1847" w:type="dxa"/>
            <w:vAlign w:val="center"/>
          </w:tcPr>
          <w:p>
            <w:pPr>
              <w:pStyle w:val="34"/>
              <w:rPr>
                <w:sz w:val="24"/>
              </w:rPr>
            </w:pPr>
            <w:r>
              <w:rPr>
                <w:sz w:val="24"/>
              </w:rPr>
              <w:t>《工业企业厂界环境噪声排放标准》（GB12348-2008）中的2类标准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821" w:type="dxa"/>
            <w:vAlign w:val="center"/>
          </w:tcPr>
          <w:p>
            <w:pPr>
              <w:pStyle w:val="34"/>
              <w:rPr>
                <w:sz w:val="24"/>
              </w:rPr>
            </w:pPr>
            <w:r>
              <w:rPr>
                <w:sz w:val="24"/>
              </w:rPr>
              <w:t>电磁辐射</w:t>
            </w:r>
          </w:p>
        </w:tc>
        <w:tc>
          <w:tcPr>
            <w:tcW w:w="6979" w:type="dxa"/>
            <w:gridSpan w:val="5"/>
            <w:vAlign w:val="center"/>
          </w:tcPr>
          <w:p>
            <w:pPr>
              <w:pStyle w:val="34"/>
              <w:rPr>
                <w:sz w:val="24"/>
              </w:rPr>
            </w:pPr>
            <w:r>
              <w:rPr>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1821" w:type="dxa"/>
            <w:vAlign w:val="center"/>
          </w:tcPr>
          <w:p>
            <w:pPr>
              <w:pStyle w:val="34"/>
              <w:rPr>
                <w:sz w:val="24"/>
              </w:rPr>
            </w:pPr>
            <w:r>
              <w:rPr>
                <w:sz w:val="24"/>
              </w:rPr>
              <w:t>固体废物</w:t>
            </w:r>
          </w:p>
        </w:tc>
        <w:tc>
          <w:tcPr>
            <w:tcW w:w="6979" w:type="dxa"/>
            <w:gridSpan w:val="5"/>
            <w:vAlign w:val="center"/>
          </w:tcPr>
          <w:p>
            <w:pPr>
              <w:pStyle w:val="34"/>
              <w:rPr>
                <w:sz w:val="24"/>
              </w:rPr>
            </w:pPr>
            <w:r>
              <w:rPr>
                <w:rFonts w:hint="eastAsia"/>
                <w:sz w:val="24"/>
              </w:rPr>
              <w:t>生活垃圾</w:t>
            </w:r>
            <w:r>
              <w:rPr>
                <w:sz w:val="24"/>
              </w:rPr>
              <w:t>集中收集后</w:t>
            </w:r>
            <w:r>
              <w:rPr>
                <w:rFonts w:hint="eastAsia"/>
                <w:sz w:val="24"/>
              </w:rPr>
              <w:t>交由当地环卫部门处置废玻璃、</w:t>
            </w:r>
            <w:r>
              <w:rPr>
                <w:sz w:val="24"/>
              </w:rPr>
              <w:t>废尼龙</w:t>
            </w:r>
            <w:r>
              <w:rPr>
                <w:rFonts w:hint="eastAsia"/>
                <w:sz w:val="24"/>
              </w:rPr>
              <w:t>、</w:t>
            </w:r>
            <w:r>
              <w:rPr>
                <w:sz w:val="24"/>
              </w:rPr>
              <w:t>废皮革及除危险废物外的其他不可利用物委托环卫部门统一清运</w:t>
            </w:r>
            <w:r>
              <w:rPr>
                <w:rFonts w:hint="eastAsia"/>
                <w:sz w:val="24"/>
              </w:rPr>
              <w:t>。电动汽车拆解过程中产生的</w:t>
            </w:r>
            <w:r>
              <w:rPr>
                <w:sz w:val="24"/>
              </w:rPr>
              <w:t>废动力蓄电池移交至回收服务网点</w:t>
            </w:r>
            <w:r>
              <w:rPr>
                <w:rFonts w:hint="eastAsia"/>
                <w:sz w:val="24"/>
              </w:rPr>
              <w:t>。危险废物分别用专用容器收集后分类暂存于危废暂存间</w:t>
            </w:r>
            <w:r>
              <w:rPr>
                <w:sz w:val="24"/>
              </w:rPr>
              <w:t>，</w:t>
            </w:r>
            <w:r>
              <w:rPr>
                <w:rFonts w:hint="eastAsia"/>
                <w:sz w:val="24"/>
              </w:rPr>
              <w:t>与有资质单位签订处置协议，交由有资质单位处置。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1821" w:type="dxa"/>
            <w:vAlign w:val="center"/>
          </w:tcPr>
          <w:p>
            <w:pPr>
              <w:pStyle w:val="34"/>
              <w:rPr>
                <w:sz w:val="24"/>
              </w:rPr>
            </w:pPr>
            <w:r>
              <w:rPr>
                <w:sz w:val="24"/>
              </w:rPr>
              <w:t>土壤及地下水</w:t>
            </w:r>
          </w:p>
          <w:p>
            <w:pPr>
              <w:pStyle w:val="34"/>
              <w:rPr>
                <w:sz w:val="24"/>
              </w:rPr>
            </w:pPr>
            <w:r>
              <w:rPr>
                <w:sz w:val="24"/>
              </w:rPr>
              <w:t>污染防治措施</w:t>
            </w:r>
          </w:p>
        </w:tc>
        <w:tc>
          <w:tcPr>
            <w:tcW w:w="6979" w:type="dxa"/>
            <w:gridSpan w:val="5"/>
            <w:vAlign w:val="center"/>
          </w:tcPr>
          <w:p>
            <w:pPr>
              <w:pStyle w:val="34"/>
              <w:rPr>
                <w:sz w:val="24"/>
              </w:rPr>
            </w:pPr>
            <w:r>
              <w:rPr>
                <w:sz w:val="24"/>
              </w:rPr>
              <w:t>本项目</w:t>
            </w:r>
            <w:r>
              <w:rPr>
                <w:rFonts w:hint="eastAsia"/>
                <w:sz w:val="24"/>
              </w:rPr>
              <w:t>采取</w:t>
            </w:r>
            <w:r>
              <w:rPr>
                <w:sz w:val="24"/>
              </w:rPr>
              <w:t>分区防渗的措施</w:t>
            </w:r>
            <w:r>
              <w:rPr>
                <w:rFonts w:hint="eastAsia"/>
                <w:sz w:val="24"/>
              </w:rPr>
              <w:t>，</w:t>
            </w:r>
            <w:r>
              <w:rPr>
                <w:sz w:val="24"/>
              </w:rPr>
              <w:t>对</w:t>
            </w:r>
            <w:r>
              <w:rPr>
                <w:rFonts w:hint="eastAsia"/>
                <w:sz w:val="24"/>
              </w:rPr>
              <w:t>危险废物暂存间、生产车间采取重点防渗。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21" w:type="dxa"/>
            <w:vAlign w:val="center"/>
          </w:tcPr>
          <w:p>
            <w:pPr>
              <w:pStyle w:val="34"/>
              <w:rPr>
                <w:sz w:val="24"/>
              </w:rPr>
            </w:pPr>
            <w:r>
              <w:rPr>
                <w:sz w:val="24"/>
              </w:rPr>
              <w:t>生态保护措施</w:t>
            </w:r>
          </w:p>
        </w:tc>
        <w:tc>
          <w:tcPr>
            <w:tcW w:w="6979" w:type="dxa"/>
            <w:gridSpan w:val="5"/>
            <w:vAlign w:val="center"/>
          </w:tcPr>
          <w:p>
            <w:pPr>
              <w:pStyle w:val="34"/>
              <w:rPr>
                <w:sz w:val="24"/>
              </w:rPr>
            </w:pPr>
            <w:r>
              <w:rPr>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77" w:hRule="atLeast"/>
          <w:jc w:val="center"/>
        </w:trPr>
        <w:tc>
          <w:tcPr>
            <w:tcW w:w="1821" w:type="dxa"/>
            <w:vAlign w:val="center"/>
          </w:tcPr>
          <w:p>
            <w:pPr>
              <w:pStyle w:val="34"/>
              <w:rPr>
                <w:sz w:val="24"/>
              </w:rPr>
            </w:pPr>
            <w:r>
              <w:rPr>
                <w:sz w:val="24"/>
              </w:rPr>
              <w:t>环境风险</w:t>
            </w:r>
          </w:p>
          <w:p>
            <w:pPr>
              <w:pStyle w:val="34"/>
              <w:rPr>
                <w:sz w:val="24"/>
              </w:rPr>
            </w:pPr>
            <w:r>
              <w:rPr>
                <w:sz w:val="24"/>
              </w:rPr>
              <w:t>防范措施</w:t>
            </w:r>
          </w:p>
        </w:tc>
        <w:tc>
          <w:tcPr>
            <w:tcW w:w="6979" w:type="dxa"/>
            <w:gridSpan w:val="5"/>
            <w:vAlign w:val="center"/>
          </w:tcPr>
          <w:p>
            <w:pPr>
              <w:pStyle w:val="39"/>
              <w:ind w:firstLine="480" w:firstLineChars="200"/>
              <w:jc w:val="left"/>
              <w:rPr>
                <w:b w:val="0"/>
                <w:sz w:val="24"/>
              </w:rPr>
            </w:pPr>
            <w:r>
              <w:rPr>
                <w:rFonts w:hint="eastAsia"/>
                <w:b w:val="0"/>
                <w:sz w:val="24"/>
              </w:rPr>
              <w:t>建设单位采用相应的泄漏应急处理、防护措施、急救措施等，能有效控大气环境危害；同时设置厂区物质泄漏三级防渗措施，避免泄漏物质污染土壤及地下水环境。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77" w:hRule="atLeast"/>
          <w:jc w:val="center"/>
        </w:trPr>
        <w:tc>
          <w:tcPr>
            <w:tcW w:w="1821" w:type="dxa"/>
            <w:vAlign w:val="center"/>
          </w:tcPr>
          <w:p>
            <w:pPr>
              <w:pStyle w:val="34"/>
              <w:rPr>
                <w:sz w:val="24"/>
              </w:rPr>
            </w:pPr>
            <w:r>
              <w:rPr>
                <w:sz w:val="24"/>
              </w:rPr>
              <w:t>其他环境</w:t>
            </w:r>
          </w:p>
          <w:p>
            <w:pPr>
              <w:pStyle w:val="34"/>
              <w:rPr>
                <w:sz w:val="24"/>
              </w:rPr>
            </w:pPr>
            <w:r>
              <w:rPr>
                <w:sz w:val="24"/>
              </w:rPr>
              <w:t>管理要求</w:t>
            </w:r>
          </w:p>
        </w:tc>
        <w:tc>
          <w:tcPr>
            <w:tcW w:w="6979" w:type="dxa"/>
            <w:gridSpan w:val="5"/>
            <w:vAlign w:val="center"/>
          </w:tcPr>
          <w:p>
            <w:pPr>
              <w:ind w:firstLine="480"/>
              <w:rPr>
                <w:sz w:val="24"/>
                <w:szCs w:val="24"/>
              </w:rPr>
            </w:pPr>
            <w:r>
              <w:rPr>
                <w:rFonts w:hint="eastAsia"/>
                <w:sz w:val="24"/>
                <w:szCs w:val="24"/>
              </w:rPr>
              <w:t>1、环保投资</w:t>
            </w:r>
          </w:p>
          <w:p>
            <w:pPr>
              <w:ind w:firstLine="480"/>
              <w:rPr>
                <w:sz w:val="24"/>
                <w:szCs w:val="24"/>
              </w:rPr>
            </w:pPr>
            <w:r>
              <w:rPr>
                <w:rFonts w:hint="eastAsia"/>
                <w:sz w:val="24"/>
                <w:szCs w:val="24"/>
              </w:rPr>
              <w:t>本项目总投资</w:t>
            </w:r>
            <w:r>
              <w:rPr>
                <w:sz w:val="24"/>
                <w:szCs w:val="24"/>
              </w:rPr>
              <w:t>15000</w:t>
            </w:r>
            <w:r>
              <w:rPr>
                <w:rFonts w:hint="eastAsia"/>
                <w:sz w:val="24"/>
                <w:szCs w:val="24"/>
              </w:rPr>
              <w:t>万元，其中环保投资95.2万元，占总投资的0.63%。环保投资情况见表5-1。</w:t>
            </w:r>
          </w:p>
          <w:p>
            <w:pPr>
              <w:pStyle w:val="34"/>
              <w:rPr>
                <w:b/>
                <w:sz w:val="24"/>
              </w:rPr>
            </w:pPr>
            <w:r>
              <w:rPr>
                <w:b/>
                <w:sz w:val="24"/>
              </w:rPr>
              <w:t>表</w:t>
            </w:r>
            <w:r>
              <w:rPr>
                <w:rFonts w:hint="eastAsia"/>
                <w:b/>
                <w:sz w:val="24"/>
              </w:rPr>
              <w:t>5-1</w:t>
            </w:r>
            <w:r>
              <w:rPr>
                <w:b/>
                <w:sz w:val="24"/>
              </w:rPr>
              <w:t xml:space="preserve">  环保投资情况表</w:t>
            </w:r>
          </w:p>
          <w:tbl>
            <w:tblPr>
              <w:tblStyle w:val="21"/>
              <w:tblW w:w="6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703"/>
              <w:gridCol w:w="2834"/>
              <w:gridCol w:w="12"/>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67" w:type="dxa"/>
                  <w:gridSpan w:val="2"/>
                  <w:shd w:val="pct10" w:color="auto" w:fill="auto"/>
                  <w:vAlign w:val="center"/>
                </w:tcPr>
                <w:p>
                  <w:pPr>
                    <w:pStyle w:val="34"/>
                    <w:rPr>
                      <w:b/>
                      <w:sz w:val="24"/>
                    </w:rPr>
                  </w:pPr>
                  <w:r>
                    <w:rPr>
                      <w:b/>
                      <w:sz w:val="24"/>
                    </w:rPr>
                    <w:t>污染物类型</w:t>
                  </w:r>
                </w:p>
              </w:tc>
              <w:tc>
                <w:tcPr>
                  <w:tcW w:w="2834" w:type="dxa"/>
                  <w:shd w:val="pct10" w:color="auto" w:fill="auto"/>
                  <w:vAlign w:val="center"/>
                </w:tcPr>
                <w:p>
                  <w:pPr>
                    <w:pStyle w:val="34"/>
                    <w:rPr>
                      <w:b/>
                      <w:sz w:val="24"/>
                    </w:rPr>
                  </w:pPr>
                  <w:r>
                    <w:rPr>
                      <w:b/>
                      <w:sz w:val="24"/>
                    </w:rPr>
                    <w:t>环保措施</w:t>
                  </w:r>
                </w:p>
              </w:tc>
              <w:tc>
                <w:tcPr>
                  <w:tcW w:w="1452" w:type="dxa"/>
                  <w:gridSpan w:val="2"/>
                  <w:shd w:val="pct10" w:color="auto" w:fill="auto"/>
                  <w:vAlign w:val="center"/>
                </w:tcPr>
                <w:p>
                  <w:pPr>
                    <w:pStyle w:val="34"/>
                    <w:rPr>
                      <w:b/>
                      <w:sz w:val="24"/>
                    </w:rPr>
                  </w:pPr>
                  <w:r>
                    <w:rPr>
                      <w:b/>
                      <w:sz w:val="24"/>
                    </w:rPr>
                    <w:t>环保投资</w:t>
                  </w:r>
                </w:p>
                <w:p>
                  <w:pPr>
                    <w:pStyle w:val="34"/>
                    <w:rPr>
                      <w:b/>
                      <w:sz w:val="24"/>
                    </w:rPr>
                  </w:pPr>
                  <w:r>
                    <w:rPr>
                      <w:b/>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4" w:type="dxa"/>
                  <w:vMerge w:val="restart"/>
                  <w:vAlign w:val="center"/>
                </w:tcPr>
                <w:p>
                  <w:pPr>
                    <w:pStyle w:val="34"/>
                    <w:rPr>
                      <w:sz w:val="24"/>
                    </w:rPr>
                  </w:pPr>
                  <w:r>
                    <w:rPr>
                      <w:sz w:val="24"/>
                    </w:rPr>
                    <w:t>废</w:t>
                  </w:r>
                  <w:r>
                    <w:rPr>
                      <w:rFonts w:hint="eastAsia"/>
                      <w:sz w:val="24"/>
                    </w:rPr>
                    <w:t>气</w:t>
                  </w:r>
                </w:p>
              </w:tc>
              <w:tc>
                <w:tcPr>
                  <w:tcW w:w="1703" w:type="dxa"/>
                  <w:vMerge w:val="restart"/>
                  <w:vAlign w:val="center"/>
                </w:tcPr>
                <w:p>
                  <w:pPr>
                    <w:pStyle w:val="34"/>
                    <w:rPr>
                      <w:sz w:val="24"/>
                    </w:rPr>
                  </w:pPr>
                  <w:r>
                    <w:rPr>
                      <w:rFonts w:hint="eastAsia"/>
                      <w:sz w:val="24"/>
                    </w:rPr>
                    <w:t>废弃电器拆解</w:t>
                  </w:r>
                  <w:r>
                    <w:rPr>
                      <w:sz w:val="24"/>
                    </w:rPr>
                    <w:t>废气</w:t>
                  </w:r>
                </w:p>
              </w:tc>
              <w:tc>
                <w:tcPr>
                  <w:tcW w:w="2846" w:type="dxa"/>
                  <w:gridSpan w:val="2"/>
                  <w:vAlign w:val="center"/>
                </w:tcPr>
                <w:p>
                  <w:pPr>
                    <w:pStyle w:val="34"/>
                    <w:rPr>
                      <w:sz w:val="24"/>
                    </w:rPr>
                  </w:pPr>
                  <w:r>
                    <w:rPr>
                      <w:sz w:val="24"/>
                    </w:rPr>
                    <w:t>各工作台配备集气罩</w:t>
                  </w:r>
                </w:p>
              </w:tc>
              <w:tc>
                <w:tcPr>
                  <w:tcW w:w="1440" w:type="dxa"/>
                  <w:vAlign w:val="center"/>
                </w:tcPr>
                <w:p>
                  <w:pPr>
                    <w:pStyle w:val="34"/>
                    <w:rPr>
                      <w:sz w:val="24"/>
                    </w:rPr>
                  </w:pPr>
                  <w:r>
                    <w:rPr>
                      <w:rFonts w:hint="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4" w:type="dxa"/>
                  <w:vMerge w:val="continue"/>
                  <w:vAlign w:val="center"/>
                </w:tcPr>
                <w:p>
                  <w:pPr>
                    <w:pStyle w:val="34"/>
                    <w:rPr>
                      <w:sz w:val="24"/>
                    </w:rPr>
                  </w:pPr>
                </w:p>
              </w:tc>
              <w:tc>
                <w:tcPr>
                  <w:tcW w:w="1703" w:type="dxa"/>
                  <w:vMerge w:val="continue"/>
                  <w:vAlign w:val="center"/>
                </w:tcPr>
                <w:p>
                  <w:pPr>
                    <w:pStyle w:val="34"/>
                    <w:rPr>
                      <w:sz w:val="24"/>
                    </w:rPr>
                  </w:pPr>
                </w:p>
              </w:tc>
              <w:tc>
                <w:tcPr>
                  <w:tcW w:w="2846" w:type="dxa"/>
                  <w:gridSpan w:val="2"/>
                  <w:vAlign w:val="center"/>
                </w:tcPr>
                <w:p>
                  <w:pPr>
                    <w:pStyle w:val="34"/>
                    <w:rPr>
                      <w:sz w:val="24"/>
                    </w:rPr>
                  </w:pPr>
                  <w:r>
                    <w:rPr>
                      <w:rFonts w:hint="eastAsia"/>
                      <w:sz w:val="24"/>
                    </w:rPr>
                    <w:t>1套</w:t>
                  </w:r>
                  <w:r>
                    <w:rPr>
                      <w:sz w:val="24"/>
                    </w:rPr>
                    <w:t>布袋除尘＋</w:t>
                  </w:r>
                  <w:r>
                    <w:rPr>
                      <w:rFonts w:hint="eastAsia"/>
                      <w:sz w:val="24"/>
                    </w:rPr>
                    <w:t>15m高排气筒</w:t>
                  </w:r>
                </w:p>
              </w:tc>
              <w:tc>
                <w:tcPr>
                  <w:tcW w:w="1440" w:type="dxa"/>
                  <w:vAlign w:val="center"/>
                </w:tcPr>
                <w:p>
                  <w:pPr>
                    <w:pStyle w:val="34"/>
                    <w:rPr>
                      <w:sz w:val="24"/>
                    </w:rPr>
                  </w:pPr>
                  <w:r>
                    <w:rPr>
                      <w:rFonts w:hint="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4" w:type="dxa"/>
                  <w:vMerge w:val="continue"/>
                  <w:vAlign w:val="center"/>
                </w:tcPr>
                <w:p>
                  <w:pPr>
                    <w:pStyle w:val="34"/>
                    <w:rPr>
                      <w:sz w:val="24"/>
                    </w:rPr>
                  </w:pPr>
                </w:p>
              </w:tc>
              <w:tc>
                <w:tcPr>
                  <w:tcW w:w="1703" w:type="dxa"/>
                  <w:vAlign w:val="center"/>
                </w:tcPr>
                <w:p>
                  <w:pPr>
                    <w:pStyle w:val="34"/>
                    <w:rPr>
                      <w:sz w:val="24"/>
                    </w:rPr>
                  </w:pPr>
                  <w:r>
                    <w:rPr>
                      <w:rFonts w:hint="eastAsia"/>
                      <w:sz w:val="24"/>
                    </w:rPr>
                    <w:t>电器拆解后加工废气</w:t>
                  </w:r>
                </w:p>
              </w:tc>
              <w:tc>
                <w:tcPr>
                  <w:tcW w:w="2846" w:type="dxa"/>
                  <w:gridSpan w:val="2"/>
                  <w:vAlign w:val="center"/>
                </w:tcPr>
                <w:p>
                  <w:pPr>
                    <w:pStyle w:val="34"/>
                    <w:rPr>
                      <w:sz w:val="24"/>
                    </w:rPr>
                  </w:pPr>
                  <w:r>
                    <w:rPr>
                      <w:rFonts w:hint="eastAsia"/>
                      <w:sz w:val="24"/>
                    </w:rPr>
                    <w:t>1套旋风除尘+脉冲袋式除尘器+紫外光氧+活性炭吸附+15m高排气筒</w:t>
                  </w:r>
                </w:p>
              </w:tc>
              <w:tc>
                <w:tcPr>
                  <w:tcW w:w="1440" w:type="dxa"/>
                  <w:vAlign w:val="center"/>
                </w:tcPr>
                <w:p>
                  <w:pPr>
                    <w:pStyle w:val="34"/>
                    <w:rPr>
                      <w:sz w:val="24"/>
                    </w:rPr>
                  </w:pPr>
                  <w:r>
                    <w:rPr>
                      <w:rFonts w:hint="eastAsia"/>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4" w:type="dxa"/>
                  <w:vMerge w:val="continue"/>
                  <w:vAlign w:val="center"/>
                </w:tcPr>
                <w:p>
                  <w:pPr>
                    <w:pStyle w:val="34"/>
                    <w:rPr>
                      <w:sz w:val="24"/>
                    </w:rPr>
                  </w:pPr>
                </w:p>
              </w:tc>
              <w:tc>
                <w:tcPr>
                  <w:tcW w:w="1703" w:type="dxa"/>
                  <w:vAlign w:val="center"/>
                </w:tcPr>
                <w:p>
                  <w:pPr>
                    <w:pStyle w:val="34"/>
                    <w:rPr>
                      <w:sz w:val="24"/>
                    </w:rPr>
                  </w:pPr>
                  <w:r>
                    <w:rPr>
                      <w:rFonts w:hint="eastAsia"/>
                      <w:sz w:val="24"/>
                    </w:rPr>
                    <w:t>残留废油液</w:t>
                  </w:r>
                </w:p>
                <w:p>
                  <w:pPr>
                    <w:pStyle w:val="34"/>
                    <w:rPr>
                      <w:sz w:val="24"/>
                    </w:rPr>
                  </w:pPr>
                  <w:r>
                    <w:rPr>
                      <w:rFonts w:hint="eastAsia"/>
                      <w:sz w:val="24"/>
                    </w:rPr>
                    <w:t>收集</w:t>
                  </w:r>
                </w:p>
              </w:tc>
              <w:tc>
                <w:tcPr>
                  <w:tcW w:w="2846" w:type="dxa"/>
                  <w:gridSpan w:val="2"/>
                  <w:vAlign w:val="center"/>
                </w:tcPr>
                <w:p>
                  <w:pPr>
                    <w:pStyle w:val="34"/>
                    <w:rPr>
                      <w:sz w:val="24"/>
                    </w:rPr>
                  </w:pPr>
                  <w:r>
                    <w:rPr>
                      <w:rFonts w:hint="eastAsia"/>
                      <w:sz w:val="24"/>
                    </w:rPr>
                    <w:t>1套+紫外光氧+活性炭吸附+15m高排气筒</w:t>
                  </w:r>
                </w:p>
              </w:tc>
              <w:tc>
                <w:tcPr>
                  <w:tcW w:w="1440" w:type="dxa"/>
                  <w:vAlign w:val="center"/>
                </w:tcPr>
                <w:p>
                  <w:pPr>
                    <w:pStyle w:val="34"/>
                    <w:rPr>
                      <w:sz w:val="24"/>
                    </w:rPr>
                  </w:pPr>
                  <w:r>
                    <w:rPr>
                      <w:rFonts w:hint="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4" w:type="dxa"/>
                  <w:vMerge w:val="continue"/>
                  <w:vAlign w:val="center"/>
                </w:tcPr>
                <w:p>
                  <w:pPr>
                    <w:pStyle w:val="34"/>
                    <w:rPr>
                      <w:sz w:val="24"/>
                    </w:rPr>
                  </w:pPr>
                </w:p>
              </w:tc>
              <w:tc>
                <w:tcPr>
                  <w:tcW w:w="1703" w:type="dxa"/>
                  <w:vAlign w:val="center"/>
                </w:tcPr>
                <w:p>
                  <w:pPr>
                    <w:pStyle w:val="34"/>
                    <w:rPr>
                      <w:sz w:val="24"/>
                    </w:rPr>
                  </w:pPr>
                  <w:r>
                    <w:rPr>
                      <w:rFonts w:hint="eastAsia"/>
                      <w:sz w:val="24"/>
                    </w:rPr>
                    <w:t>废弃机动车拆解后机械加工</w:t>
                  </w:r>
                </w:p>
              </w:tc>
              <w:tc>
                <w:tcPr>
                  <w:tcW w:w="2846" w:type="dxa"/>
                  <w:gridSpan w:val="2"/>
                  <w:vAlign w:val="center"/>
                </w:tcPr>
                <w:p>
                  <w:pPr>
                    <w:pStyle w:val="34"/>
                    <w:rPr>
                      <w:sz w:val="24"/>
                    </w:rPr>
                  </w:pPr>
                  <w:r>
                    <w:rPr>
                      <w:rFonts w:hint="eastAsia"/>
                      <w:sz w:val="24"/>
                    </w:rPr>
                    <w:t>1套布袋除尘</w:t>
                  </w:r>
                </w:p>
              </w:tc>
              <w:tc>
                <w:tcPr>
                  <w:tcW w:w="1440" w:type="dxa"/>
                  <w:vAlign w:val="center"/>
                </w:tcPr>
                <w:p>
                  <w:pPr>
                    <w:pStyle w:val="34"/>
                    <w:rPr>
                      <w:sz w:val="24"/>
                    </w:rPr>
                  </w:pPr>
                  <w:r>
                    <w:rPr>
                      <w:rFonts w:hint="eastAsia"/>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4" w:type="dxa"/>
                  <w:vMerge w:val="restart"/>
                  <w:vAlign w:val="center"/>
                </w:tcPr>
                <w:p>
                  <w:pPr>
                    <w:pStyle w:val="34"/>
                    <w:rPr>
                      <w:sz w:val="24"/>
                    </w:rPr>
                  </w:pPr>
                  <w:r>
                    <w:rPr>
                      <w:sz w:val="24"/>
                    </w:rPr>
                    <w:t>废水</w:t>
                  </w:r>
                </w:p>
              </w:tc>
              <w:tc>
                <w:tcPr>
                  <w:tcW w:w="1703" w:type="dxa"/>
                  <w:vAlign w:val="center"/>
                </w:tcPr>
                <w:p>
                  <w:pPr>
                    <w:pStyle w:val="34"/>
                    <w:rPr>
                      <w:sz w:val="24"/>
                    </w:rPr>
                  </w:pPr>
                  <w:r>
                    <w:rPr>
                      <w:sz w:val="24"/>
                    </w:rPr>
                    <w:t>生活污水</w:t>
                  </w:r>
                </w:p>
              </w:tc>
              <w:tc>
                <w:tcPr>
                  <w:tcW w:w="2846" w:type="dxa"/>
                  <w:gridSpan w:val="2"/>
                  <w:vAlign w:val="center"/>
                </w:tcPr>
                <w:p>
                  <w:pPr>
                    <w:pStyle w:val="34"/>
                    <w:rPr>
                      <w:sz w:val="24"/>
                    </w:rPr>
                  </w:pPr>
                  <w:r>
                    <w:rPr>
                      <w:sz w:val="24"/>
                    </w:rPr>
                    <w:t>化粪池</w:t>
                  </w:r>
                </w:p>
              </w:tc>
              <w:tc>
                <w:tcPr>
                  <w:tcW w:w="1440" w:type="dxa"/>
                  <w:vAlign w:val="center"/>
                </w:tcPr>
                <w:p>
                  <w:pPr>
                    <w:pStyle w:val="34"/>
                    <w:rPr>
                      <w:sz w:val="24"/>
                    </w:rPr>
                  </w:pPr>
                  <w:r>
                    <w:rPr>
                      <w:rFonts w:hint="eastAsia"/>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4" w:type="dxa"/>
                  <w:vMerge w:val="continue"/>
                  <w:vAlign w:val="center"/>
                </w:tcPr>
                <w:p>
                  <w:pPr>
                    <w:pStyle w:val="34"/>
                    <w:rPr>
                      <w:sz w:val="24"/>
                    </w:rPr>
                  </w:pPr>
                </w:p>
              </w:tc>
              <w:tc>
                <w:tcPr>
                  <w:tcW w:w="1703" w:type="dxa"/>
                  <w:vAlign w:val="center"/>
                </w:tcPr>
                <w:p>
                  <w:pPr>
                    <w:pStyle w:val="34"/>
                    <w:rPr>
                      <w:sz w:val="24"/>
                    </w:rPr>
                  </w:pPr>
                  <w:r>
                    <w:rPr>
                      <w:sz w:val="24"/>
                    </w:rPr>
                    <w:t>车间冲洗废水</w:t>
                  </w:r>
                </w:p>
              </w:tc>
              <w:tc>
                <w:tcPr>
                  <w:tcW w:w="2846" w:type="dxa"/>
                  <w:gridSpan w:val="2"/>
                  <w:vAlign w:val="center"/>
                </w:tcPr>
                <w:p>
                  <w:pPr>
                    <w:pStyle w:val="34"/>
                    <w:rPr>
                      <w:sz w:val="24"/>
                    </w:rPr>
                  </w:pPr>
                  <w:r>
                    <w:rPr>
                      <w:sz w:val="24"/>
                    </w:rPr>
                    <w:t>隔油沉淀池</w:t>
                  </w:r>
                </w:p>
              </w:tc>
              <w:tc>
                <w:tcPr>
                  <w:tcW w:w="1440" w:type="dxa"/>
                  <w:vAlign w:val="center"/>
                </w:tcPr>
                <w:p>
                  <w:pPr>
                    <w:pStyle w:val="34"/>
                    <w:rPr>
                      <w:sz w:val="24"/>
                    </w:rPr>
                  </w:pPr>
                  <w:r>
                    <w:rPr>
                      <w:rFonts w:hint="eastAsia"/>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4" w:type="dxa"/>
                  <w:vAlign w:val="center"/>
                </w:tcPr>
                <w:p>
                  <w:pPr>
                    <w:pStyle w:val="34"/>
                    <w:rPr>
                      <w:sz w:val="24"/>
                    </w:rPr>
                  </w:pPr>
                  <w:r>
                    <w:rPr>
                      <w:sz w:val="24"/>
                    </w:rPr>
                    <w:t>噪声</w:t>
                  </w:r>
                </w:p>
              </w:tc>
              <w:tc>
                <w:tcPr>
                  <w:tcW w:w="1703" w:type="dxa"/>
                  <w:vAlign w:val="center"/>
                </w:tcPr>
                <w:p>
                  <w:pPr>
                    <w:pStyle w:val="34"/>
                    <w:rPr>
                      <w:sz w:val="24"/>
                    </w:rPr>
                  </w:pPr>
                  <w:r>
                    <w:rPr>
                      <w:sz w:val="24"/>
                    </w:rPr>
                    <w:t>设备噪声</w:t>
                  </w:r>
                </w:p>
              </w:tc>
              <w:tc>
                <w:tcPr>
                  <w:tcW w:w="2846" w:type="dxa"/>
                  <w:gridSpan w:val="2"/>
                  <w:vAlign w:val="center"/>
                </w:tcPr>
                <w:p>
                  <w:pPr>
                    <w:pStyle w:val="34"/>
                    <w:rPr>
                      <w:sz w:val="24"/>
                    </w:rPr>
                  </w:pPr>
                  <w:r>
                    <w:rPr>
                      <w:sz w:val="24"/>
                    </w:rPr>
                    <w:t>选用低噪声设备</w:t>
                  </w:r>
                  <w:r>
                    <w:rPr>
                      <w:rFonts w:hint="eastAsia"/>
                      <w:sz w:val="24"/>
                    </w:rPr>
                    <w:t>，安装</w:t>
                  </w:r>
                  <w:r>
                    <w:rPr>
                      <w:sz w:val="24"/>
                    </w:rPr>
                    <w:t>减震装置</w:t>
                  </w:r>
                </w:p>
              </w:tc>
              <w:tc>
                <w:tcPr>
                  <w:tcW w:w="1440" w:type="dxa"/>
                  <w:vAlign w:val="center"/>
                </w:tcPr>
                <w:p>
                  <w:pPr>
                    <w:pStyle w:val="34"/>
                    <w:rPr>
                      <w:sz w:val="24"/>
                    </w:rPr>
                  </w:pPr>
                  <w:r>
                    <w:rPr>
                      <w:sz w:val="24"/>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4" w:type="dxa"/>
                  <w:vMerge w:val="restart"/>
                  <w:vAlign w:val="center"/>
                </w:tcPr>
                <w:p>
                  <w:pPr>
                    <w:pStyle w:val="34"/>
                    <w:rPr>
                      <w:sz w:val="24"/>
                    </w:rPr>
                  </w:pPr>
                  <w:r>
                    <w:rPr>
                      <w:sz w:val="24"/>
                    </w:rPr>
                    <w:t>固体废物</w:t>
                  </w:r>
                </w:p>
              </w:tc>
              <w:tc>
                <w:tcPr>
                  <w:tcW w:w="1703" w:type="dxa"/>
                  <w:vAlign w:val="center"/>
                </w:tcPr>
                <w:p>
                  <w:pPr>
                    <w:pStyle w:val="34"/>
                    <w:rPr>
                      <w:sz w:val="24"/>
                    </w:rPr>
                  </w:pPr>
                  <w:r>
                    <w:rPr>
                      <w:sz w:val="24"/>
                    </w:rPr>
                    <w:t>生活垃圾</w:t>
                  </w:r>
                </w:p>
              </w:tc>
              <w:tc>
                <w:tcPr>
                  <w:tcW w:w="2846" w:type="dxa"/>
                  <w:gridSpan w:val="2"/>
                  <w:vAlign w:val="center"/>
                </w:tcPr>
                <w:p>
                  <w:pPr>
                    <w:pStyle w:val="34"/>
                    <w:rPr>
                      <w:sz w:val="24"/>
                    </w:rPr>
                  </w:pPr>
                  <w:r>
                    <w:rPr>
                      <w:sz w:val="24"/>
                    </w:rPr>
                    <w:t>垃圾桶</w:t>
                  </w:r>
                </w:p>
              </w:tc>
              <w:tc>
                <w:tcPr>
                  <w:tcW w:w="1440" w:type="dxa"/>
                  <w:vAlign w:val="center"/>
                </w:tcPr>
                <w:p>
                  <w:pPr>
                    <w:pStyle w:val="34"/>
                    <w:rPr>
                      <w:sz w:val="24"/>
                    </w:rPr>
                  </w:pPr>
                  <w:r>
                    <w:rPr>
                      <w:sz w:val="24"/>
                    </w:rPr>
                    <w:t>0.</w:t>
                  </w:r>
                  <w:r>
                    <w:rPr>
                      <w:rFonts w:hint="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64" w:type="dxa"/>
                  <w:vMerge w:val="continue"/>
                  <w:tcBorders>
                    <w:bottom w:val="single" w:color="auto" w:sz="4" w:space="0"/>
                  </w:tcBorders>
                  <w:vAlign w:val="center"/>
                </w:tcPr>
                <w:p>
                  <w:pPr>
                    <w:pStyle w:val="34"/>
                    <w:rPr>
                      <w:sz w:val="24"/>
                    </w:rPr>
                  </w:pPr>
                </w:p>
              </w:tc>
              <w:tc>
                <w:tcPr>
                  <w:tcW w:w="1703" w:type="dxa"/>
                  <w:tcBorders>
                    <w:bottom w:val="single" w:color="auto" w:sz="4" w:space="0"/>
                  </w:tcBorders>
                  <w:vAlign w:val="center"/>
                </w:tcPr>
                <w:p>
                  <w:pPr>
                    <w:pStyle w:val="34"/>
                    <w:rPr>
                      <w:sz w:val="24"/>
                    </w:rPr>
                  </w:pPr>
                  <w:r>
                    <w:rPr>
                      <w:sz w:val="24"/>
                    </w:rPr>
                    <w:t>危险废物</w:t>
                  </w:r>
                </w:p>
              </w:tc>
              <w:tc>
                <w:tcPr>
                  <w:tcW w:w="2846" w:type="dxa"/>
                  <w:gridSpan w:val="2"/>
                  <w:tcBorders>
                    <w:bottom w:val="single" w:color="auto" w:sz="4" w:space="0"/>
                  </w:tcBorders>
                  <w:vAlign w:val="center"/>
                </w:tcPr>
                <w:p>
                  <w:pPr>
                    <w:pStyle w:val="34"/>
                    <w:rPr>
                      <w:sz w:val="24"/>
                    </w:rPr>
                  </w:pPr>
                  <w:r>
                    <w:rPr>
                      <w:sz w:val="24"/>
                    </w:rPr>
                    <w:t>危废暂存间</w:t>
                  </w:r>
                </w:p>
              </w:tc>
              <w:tc>
                <w:tcPr>
                  <w:tcW w:w="1440" w:type="dxa"/>
                  <w:tcBorders>
                    <w:bottom w:val="single" w:color="auto" w:sz="4" w:space="0"/>
                  </w:tcBorders>
                  <w:vAlign w:val="center"/>
                </w:tcPr>
                <w:p>
                  <w:pPr>
                    <w:pStyle w:val="34"/>
                    <w:rPr>
                      <w:sz w:val="24"/>
                    </w:rPr>
                  </w:pPr>
                  <w:r>
                    <w:rPr>
                      <w:rFonts w:hint="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13" w:type="dxa"/>
                  <w:gridSpan w:val="4"/>
                  <w:tcBorders>
                    <w:bottom w:val="single" w:color="auto" w:sz="4" w:space="0"/>
                  </w:tcBorders>
                  <w:vAlign w:val="center"/>
                </w:tcPr>
                <w:p>
                  <w:pPr>
                    <w:pStyle w:val="34"/>
                    <w:rPr>
                      <w:sz w:val="24"/>
                    </w:rPr>
                  </w:pPr>
                  <w:r>
                    <w:rPr>
                      <w:rFonts w:hint="eastAsia"/>
                      <w:sz w:val="24"/>
                    </w:rPr>
                    <w:t>环境监测</w:t>
                  </w:r>
                </w:p>
              </w:tc>
              <w:tc>
                <w:tcPr>
                  <w:tcW w:w="1440" w:type="dxa"/>
                  <w:tcBorders>
                    <w:bottom w:val="single" w:color="auto" w:sz="4" w:space="0"/>
                  </w:tcBorders>
                  <w:vAlign w:val="center"/>
                </w:tcPr>
                <w:p>
                  <w:pPr>
                    <w:pStyle w:val="34"/>
                    <w:rPr>
                      <w:sz w:val="24"/>
                    </w:rPr>
                  </w:pPr>
                  <w:r>
                    <w:rPr>
                      <w:rFonts w:hint="eastAsia"/>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13" w:type="dxa"/>
                  <w:gridSpan w:val="4"/>
                  <w:tcBorders>
                    <w:bottom w:val="single" w:color="auto" w:sz="4" w:space="0"/>
                  </w:tcBorders>
                  <w:vAlign w:val="center"/>
                </w:tcPr>
                <w:p>
                  <w:pPr>
                    <w:pStyle w:val="34"/>
                    <w:rPr>
                      <w:sz w:val="24"/>
                    </w:rPr>
                  </w:pPr>
                  <w:r>
                    <w:rPr>
                      <w:rFonts w:hint="eastAsia"/>
                      <w:sz w:val="24"/>
                    </w:rPr>
                    <w:t>环保验收</w:t>
                  </w:r>
                </w:p>
              </w:tc>
              <w:tc>
                <w:tcPr>
                  <w:tcW w:w="1440" w:type="dxa"/>
                  <w:tcBorders>
                    <w:bottom w:val="single" w:color="auto" w:sz="4" w:space="0"/>
                  </w:tcBorders>
                  <w:vAlign w:val="center"/>
                </w:tcPr>
                <w:p>
                  <w:pPr>
                    <w:pStyle w:val="34"/>
                    <w:rPr>
                      <w:sz w:val="24"/>
                    </w:rPr>
                  </w:pPr>
                  <w:r>
                    <w:rPr>
                      <w:rFonts w:hint="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13" w:type="dxa"/>
                  <w:gridSpan w:val="4"/>
                  <w:tcBorders>
                    <w:bottom w:val="single" w:color="auto" w:sz="4" w:space="0"/>
                  </w:tcBorders>
                  <w:vAlign w:val="center"/>
                </w:tcPr>
                <w:p>
                  <w:pPr>
                    <w:pStyle w:val="34"/>
                    <w:rPr>
                      <w:sz w:val="24"/>
                    </w:rPr>
                  </w:pPr>
                  <w:r>
                    <w:rPr>
                      <w:rFonts w:hint="eastAsia"/>
                      <w:sz w:val="24"/>
                    </w:rPr>
                    <w:t>编制突发环境事件应急预案</w:t>
                  </w:r>
                </w:p>
              </w:tc>
              <w:tc>
                <w:tcPr>
                  <w:tcW w:w="1440" w:type="dxa"/>
                  <w:tcBorders>
                    <w:bottom w:val="single" w:color="auto" w:sz="4" w:space="0"/>
                  </w:tcBorders>
                  <w:vAlign w:val="center"/>
                </w:tcPr>
                <w:p>
                  <w:pPr>
                    <w:pStyle w:val="34"/>
                    <w:rPr>
                      <w:sz w:val="24"/>
                    </w:rPr>
                  </w:pPr>
                  <w:r>
                    <w:rPr>
                      <w:rFonts w:hint="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13" w:type="dxa"/>
                  <w:gridSpan w:val="4"/>
                  <w:vAlign w:val="center"/>
                </w:tcPr>
                <w:p>
                  <w:pPr>
                    <w:pStyle w:val="34"/>
                    <w:rPr>
                      <w:sz w:val="24"/>
                    </w:rPr>
                  </w:pPr>
                  <w:r>
                    <w:rPr>
                      <w:rFonts w:hint="eastAsia"/>
                      <w:sz w:val="24"/>
                    </w:rPr>
                    <w:t>合计</w:t>
                  </w:r>
                </w:p>
              </w:tc>
              <w:tc>
                <w:tcPr>
                  <w:tcW w:w="1440" w:type="dxa"/>
                  <w:vAlign w:val="center"/>
                </w:tcPr>
                <w:p>
                  <w:pPr>
                    <w:pStyle w:val="34"/>
                    <w:rPr>
                      <w:sz w:val="24"/>
                    </w:rPr>
                  </w:pPr>
                  <w:r>
                    <w:rPr>
                      <w:rFonts w:hint="eastAsia"/>
                      <w:sz w:val="24"/>
                    </w:rPr>
                    <w:t>95.2</w:t>
                  </w:r>
                </w:p>
              </w:tc>
            </w:tr>
          </w:tbl>
          <w:p>
            <w:pPr>
              <w:ind w:firstLine="480"/>
              <w:rPr>
                <w:sz w:val="24"/>
                <w:szCs w:val="24"/>
              </w:rPr>
            </w:pPr>
            <w:r>
              <w:rPr>
                <w:rFonts w:hint="eastAsia"/>
                <w:sz w:val="24"/>
                <w:szCs w:val="24"/>
              </w:rPr>
              <w:t>2、环境管理体系</w:t>
            </w:r>
          </w:p>
          <w:p>
            <w:pPr>
              <w:ind w:firstLine="480"/>
              <w:rPr>
                <w:sz w:val="24"/>
                <w:szCs w:val="24"/>
              </w:rPr>
            </w:pPr>
            <w:r>
              <w:rPr>
                <w:rFonts w:hint="eastAsia"/>
                <w:sz w:val="24"/>
                <w:szCs w:val="24"/>
              </w:rPr>
              <w:t>环境管理是企业管理的一项重要内容。加强环境监督管理力度，是实现环境、生产、经济协调发展和走可持续发展道路的重要保证。为了最大限度地减轻施工作业及生产工艺过程中对环境的影响，确保工厂环保安全高效的生产，建立科学有效的环境管理体制，落实各项环保和安全措施显得尤为重要。通过建立环境管理体系，提高员工环保意识、规范企业管理、推行清洁生产，实现污染控制，保护环境质量，以实现环境效益、社会效益、经济效益的统一。</w:t>
            </w:r>
          </w:p>
          <w:p>
            <w:pPr>
              <w:ind w:firstLine="480"/>
              <w:rPr>
                <w:sz w:val="24"/>
                <w:szCs w:val="24"/>
              </w:rPr>
            </w:pPr>
            <w:r>
              <w:rPr>
                <w:rFonts w:hint="eastAsia"/>
                <w:sz w:val="24"/>
                <w:szCs w:val="24"/>
              </w:rPr>
              <w:t>①投产前的环境管理</w:t>
            </w:r>
          </w:p>
          <w:p>
            <w:pPr>
              <w:ind w:firstLine="480"/>
              <w:rPr>
                <w:sz w:val="24"/>
                <w:szCs w:val="24"/>
              </w:rPr>
            </w:pPr>
            <w:r>
              <w:rPr>
                <w:rFonts w:hint="eastAsia"/>
                <w:sz w:val="24"/>
                <w:szCs w:val="24"/>
              </w:rPr>
              <w:t>A、落实环保投资，确保污染治理措施执行“三同时”和各项治理与环保措施达到设计要求；</w:t>
            </w:r>
          </w:p>
          <w:p>
            <w:pPr>
              <w:ind w:firstLine="480"/>
              <w:rPr>
                <w:sz w:val="24"/>
                <w:szCs w:val="24"/>
              </w:rPr>
            </w:pPr>
            <w:r>
              <w:rPr>
                <w:rFonts w:hint="eastAsia"/>
                <w:sz w:val="24"/>
                <w:szCs w:val="24"/>
              </w:rPr>
              <w:t>B、编制环保设施竣工验收方案报告，向环保部门申报，进行竣工验收监测，办理竣工验收手续。</w:t>
            </w:r>
          </w:p>
          <w:p>
            <w:pPr>
              <w:ind w:firstLine="480"/>
              <w:rPr>
                <w:sz w:val="24"/>
                <w:szCs w:val="24"/>
              </w:rPr>
            </w:pPr>
            <w:r>
              <w:rPr>
                <w:rFonts w:hint="eastAsia"/>
                <w:sz w:val="24"/>
                <w:szCs w:val="24"/>
              </w:rPr>
              <w:t>②运行期的环境保护管理</w:t>
            </w:r>
          </w:p>
          <w:p>
            <w:pPr>
              <w:ind w:firstLine="480"/>
              <w:rPr>
                <w:sz w:val="24"/>
                <w:szCs w:val="24"/>
              </w:rPr>
            </w:pPr>
            <w:r>
              <w:rPr>
                <w:rFonts w:hint="eastAsia"/>
                <w:sz w:val="24"/>
                <w:szCs w:val="24"/>
              </w:rPr>
              <w:t>A、根据国家环保政策、标准及环境监测要求，制定该项目运行期环保管理规章制度、各种污染物排放控制指标；</w:t>
            </w:r>
          </w:p>
          <w:p>
            <w:pPr>
              <w:ind w:firstLine="480"/>
              <w:rPr>
                <w:sz w:val="24"/>
                <w:szCs w:val="24"/>
              </w:rPr>
            </w:pPr>
            <w:r>
              <w:rPr>
                <w:rFonts w:hint="eastAsia"/>
                <w:sz w:val="24"/>
                <w:szCs w:val="24"/>
              </w:rPr>
              <w:t>B、负责该项目内所有环保设施的日常运行管理，保障各环保设施的正常运行，并对环保设施的改进提出积极的建议；</w:t>
            </w:r>
          </w:p>
          <w:p>
            <w:pPr>
              <w:ind w:firstLine="480"/>
              <w:rPr>
                <w:sz w:val="24"/>
                <w:szCs w:val="24"/>
              </w:rPr>
            </w:pPr>
            <w:r>
              <w:rPr>
                <w:rFonts w:hint="eastAsia"/>
                <w:sz w:val="24"/>
                <w:szCs w:val="24"/>
              </w:rPr>
              <w:t>C、负责该项目运行期环境监测工作，及时掌握该项目污染状况，整理监测数据，建立污染源档案；</w:t>
            </w:r>
          </w:p>
          <w:p>
            <w:pPr>
              <w:ind w:firstLine="480"/>
              <w:rPr>
                <w:sz w:val="24"/>
                <w:szCs w:val="24"/>
              </w:rPr>
            </w:pPr>
            <w:r>
              <w:rPr>
                <w:rFonts w:hint="eastAsia"/>
                <w:sz w:val="24"/>
                <w:szCs w:val="24"/>
              </w:rPr>
              <w:t>D、项目运行期的环境管理由现场工作单元安全专业工作人员承担；负责该项目内所有环保设施的日常运行管理，保障各环保设施的正常运行，并对环保设施的改进提出积极的建议；</w:t>
            </w:r>
          </w:p>
          <w:p>
            <w:pPr>
              <w:ind w:firstLine="480"/>
              <w:rPr>
                <w:sz w:val="24"/>
                <w:szCs w:val="24"/>
              </w:rPr>
            </w:pPr>
            <w:r>
              <w:rPr>
                <w:rFonts w:hint="eastAsia"/>
                <w:sz w:val="24"/>
                <w:szCs w:val="24"/>
              </w:rPr>
              <w:t>E、负责对职工进行环保宣传教育工作，检查、监督单位环保制度的执行情况；</w:t>
            </w:r>
          </w:p>
          <w:p>
            <w:pPr>
              <w:ind w:firstLine="480"/>
              <w:rPr>
                <w:sz w:val="24"/>
                <w:szCs w:val="24"/>
              </w:rPr>
            </w:pPr>
            <w:r>
              <w:rPr>
                <w:rFonts w:hint="eastAsia"/>
                <w:sz w:val="24"/>
                <w:szCs w:val="24"/>
              </w:rPr>
              <w:t>F、建立健全环境档案管理与保密制度、污染防治设施设计技术改进及运行资料、污染源调查技术档案、环境监测及评价资料等；</w:t>
            </w:r>
          </w:p>
          <w:p>
            <w:pPr>
              <w:ind w:firstLine="480"/>
              <w:rPr>
                <w:sz w:val="24"/>
                <w:szCs w:val="24"/>
              </w:rPr>
            </w:pPr>
            <w:r>
              <w:rPr>
                <w:rFonts w:hint="eastAsia"/>
                <w:sz w:val="24"/>
                <w:szCs w:val="24"/>
              </w:rPr>
              <w:t>G、企业应逐步按照ISO14001建立并运行环境管理体系，环境管理手册、程序文件及作业文件。</w:t>
            </w:r>
          </w:p>
          <w:p>
            <w:pPr>
              <w:ind w:firstLine="480"/>
              <w:rPr>
                <w:sz w:val="24"/>
                <w:szCs w:val="24"/>
              </w:rPr>
            </w:pPr>
            <w:r>
              <w:rPr>
                <w:rFonts w:hint="eastAsia"/>
                <w:sz w:val="24"/>
                <w:szCs w:val="24"/>
              </w:rPr>
              <w:t>3、排污许可</w:t>
            </w:r>
          </w:p>
          <w:p>
            <w:pPr>
              <w:ind w:firstLine="480"/>
              <w:rPr>
                <w:sz w:val="24"/>
                <w:szCs w:val="24"/>
              </w:rPr>
            </w:pPr>
            <w:r>
              <w:rPr>
                <w:rFonts w:hint="eastAsia"/>
                <w:sz w:val="24"/>
                <w:szCs w:val="24"/>
              </w:rPr>
              <w:t>根据《固定污染源排污许可分类管理名录》 （2019年版） ，本项目属于 “三十七、废弃资源综合利用业”中的“93金属废料和碎屑加工处理421，非金属废料和碎屑加工处理422”，本项目为废弃电器电子产品、非机动车加工，实行排污许可简化管理，企业投产前应完善相关手续。</w:t>
            </w:r>
          </w:p>
          <w:p>
            <w:pPr>
              <w:pStyle w:val="15"/>
            </w:pPr>
          </w:p>
          <w:p>
            <w:pPr>
              <w:pStyle w:val="7"/>
              <w:ind w:firstLine="210"/>
            </w:pPr>
          </w:p>
          <w:p>
            <w:pPr>
              <w:ind w:firstLine="420"/>
            </w:pPr>
          </w:p>
          <w:p>
            <w:pPr>
              <w:pStyle w:val="15"/>
            </w:pPr>
          </w:p>
          <w:p>
            <w:pPr>
              <w:pStyle w:val="7"/>
              <w:ind w:firstLine="210"/>
            </w:pPr>
          </w:p>
          <w:p>
            <w:pPr>
              <w:ind w:firstLine="420"/>
            </w:pPr>
          </w:p>
          <w:p>
            <w:pPr>
              <w:pStyle w:val="15"/>
            </w:pPr>
          </w:p>
          <w:p>
            <w:pPr>
              <w:pStyle w:val="7"/>
              <w:ind w:firstLine="210"/>
            </w:pPr>
          </w:p>
          <w:p>
            <w:pPr>
              <w:ind w:firstLine="420"/>
            </w:pPr>
          </w:p>
          <w:p>
            <w:pPr>
              <w:pStyle w:val="15"/>
            </w:pPr>
          </w:p>
          <w:p>
            <w:pPr>
              <w:pStyle w:val="7"/>
              <w:ind w:firstLine="210"/>
            </w:pPr>
          </w:p>
          <w:p>
            <w:pPr>
              <w:ind w:firstLine="420"/>
            </w:pPr>
          </w:p>
          <w:p>
            <w:pPr>
              <w:pStyle w:val="15"/>
            </w:pPr>
          </w:p>
          <w:p>
            <w:pPr>
              <w:pStyle w:val="7"/>
              <w:ind w:firstLine="210"/>
            </w:pPr>
          </w:p>
          <w:p>
            <w:pPr>
              <w:ind w:firstLine="420"/>
            </w:pPr>
          </w:p>
          <w:p>
            <w:pPr>
              <w:pStyle w:val="15"/>
            </w:pPr>
          </w:p>
          <w:p>
            <w:pPr>
              <w:pStyle w:val="7"/>
              <w:ind w:firstLine="210"/>
            </w:pPr>
          </w:p>
          <w:p>
            <w:pPr>
              <w:ind w:firstLine="420"/>
            </w:pPr>
          </w:p>
          <w:p>
            <w:pPr>
              <w:pStyle w:val="15"/>
            </w:pPr>
          </w:p>
          <w:p>
            <w:pPr>
              <w:ind w:firstLine="420"/>
            </w:pPr>
          </w:p>
          <w:p>
            <w:pPr>
              <w:pStyle w:val="15"/>
            </w:pPr>
          </w:p>
          <w:p>
            <w:pPr>
              <w:pStyle w:val="7"/>
              <w:ind w:firstLine="210"/>
            </w:pPr>
          </w:p>
          <w:p>
            <w:pPr>
              <w:ind w:firstLine="420"/>
            </w:pPr>
          </w:p>
          <w:p>
            <w:pPr>
              <w:pStyle w:val="15"/>
            </w:pPr>
          </w:p>
          <w:p>
            <w:pPr>
              <w:pStyle w:val="7"/>
              <w:ind w:firstLine="210"/>
            </w:pPr>
          </w:p>
          <w:p>
            <w:pPr>
              <w:ind w:firstLine="420"/>
            </w:pPr>
          </w:p>
        </w:tc>
      </w:tr>
    </w:tbl>
    <w:p>
      <w:pPr>
        <w:ind w:firstLine="420"/>
        <w:sectPr>
          <w:pgSz w:w="11906" w:h="16838"/>
          <w:pgMar w:top="1418" w:right="1418" w:bottom="1418" w:left="1418" w:header="851" w:footer="992" w:gutter="0"/>
          <w:pgNumType w:fmt="numberInDash"/>
          <w:cols w:space="425" w:num="1"/>
          <w:docGrid w:type="lines" w:linePitch="312" w:charSpace="0"/>
        </w:sectPr>
      </w:pPr>
    </w:p>
    <w:p>
      <w:pPr>
        <w:pStyle w:val="2"/>
      </w:pPr>
      <w:r>
        <w:t>六</w:t>
      </w:r>
      <w:r>
        <w:rPr>
          <w:rFonts w:hint="eastAsia"/>
        </w:rPr>
        <w:t>、</w:t>
      </w:r>
      <w:r>
        <w:t>结论</w:t>
      </w: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30" w:hRule="atLeast"/>
        </w:trPr>
        <w:tc>
          <w:tcPr>
            <w:tcW w:w="9286" w:type="dxa"/>
          </w:tcPr>
          <w:p>
            <w:pPr>
              <w:ind w:firstLine="480"/>
              <w:rPr>
                <w:sz w:val="24"/>
                <w:szCs w:val="24"/>
              </w:rPr>
            </w:pPr>
            <w:r>
              <w:rPr>
                <w:rFonts w:hint="eastAsia"/>
                <w:sz w:val="24"/>
              </w:rPr>
              <w:t>安康爱博绿环保科技有限公司石泉县再生资源回收利用建设项目</w:t>
            </w:r>
            <w:r>
              <w:rPr>
                <w:rFonts w:hint="eastAsia"/>
                <w:sz w:val="24"/>
                <w:szCs w:val="24"/>
              </w:rPr>
              <w:t>符合国家产业政策、环境保护政策。本项目在认真落实环评报告表提出的各项污染防治措施后，不会影响当地环境质量，从环境影响角度分析，本项目环境影响可行。</w:t>
            </w:r>
          </w:p>
        </w:tc>
      </w:tr>
    </w:tbl>
    <w:p>
      <w:pPr>
        <w:ind w:firstLine="420"/>
        <w:sectPr>
          <w:pgSz w:w="11906" w:h="16838"/>
          <w:pgMar w:top="1418" w:right="1418" w:bottom="1418" w:left="1418" w:header="851" w:footer="992" w:gutter="0"/>
          <w:pgNumType w:fmt="numberInDash"/>
          <w:cols w:space="425" w:num="1"/>
          <w:docGrid w:type="lines" w:linePitch="312" w:charSpace="0"/>
        </w:sectPr>
      </w:pPr>
    </w:p>
    <w:p>
      <w:pPr>
        <w:pStyle w:val="2"/>
        <w:jc w:val="left"/>
      </w:pPr>
      <w:r>
        <w:t>附表</w:t>
      </w:r>
    </w:p>
    <w:p>
      <w:pPr>
        <w:pStyle w:val="2"/>
        <w:rPr>
          <w:rFonts w:ascii="黑体" w:hAnsi="黑体"/>
          <w:b w:val="0"/>
        </w:rPr>
      </w:pPr>
      <w:r>
        <w:rPr>
          <w:rFonts w:ascii="黑体" w:hAnsi="黑体"/>
          <w:b w:val="0"/>
        </w:rPr>
        <w:t>建设项目污染物排放量汇总表</w:t>
      </w:r>
    </w:p>
    <w:tbl>
      <w:tblPr>
        <w:tblStyle w:val="2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559"/>
        <w:gridCol w:w="1701"/>
        <w:gridCol w:w="1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304" w:type="dxa"/>
            <w:tcBorders>
              <w:tl2br w:val="single" w:color="auto" w:sz="4" w:space="0"/>
            </w:tcBorders>
            <w:tcMar>
              <w:left w:w="28" w:type="dxa"/>
              <w:right w:w="28" w:type="dxa"/>
            </w:tcMar>
            <w:vAlign w:val="center"/>
          </w:tcPr>
          <w:p>
            <w:pPr>
              <w:pStyle w:val="41"/>
              <w:spacing w:beforeLines="0" w:afterLines="0" w:line="240" w:lineRule="auto"/>
              <w:ind w:firstLine="0" w:firstLineChars="0"/>
              <w:jc w:val="right"/>
              <w:rPr>
                <w:rFonts w:ascii="Times New Roman" w:eastAsia="黑体"/>
                <w:snapToGrid w:val="0"/>
                <w:spacing w:val="-6"/>
                <w:kern w:val="21"/>
                <w:sz w:val="24"/>
                <w:szCs w:val="21"/>
              </w:rPr>
            </w:pPr>
            <w:r>
              <w:rPr>
                <w:rFonts w:ascii="Times New Roman" w:eastAsia="黑体"/>
                <w:snapToGrid w:val="0"/>
                <w:spacing w:val="-6"/>
                <w:kern w:val="21"/>
                <w:sz w:val="24"/>
                <w:szCs w:val="21"/>
              </w:rPr>
              <w:t>项目</w:t>
            </w:r>
          </w:p>
          <w:p>
            <w:pPr>
              <w:pStyle w:val="41"/>
              <w:spacing w:beforeLines="0" w:afterLines="0" w:line="240" w:lineRule="auto"/>
              <w:ind w:firstLine="0" w:firstLineChars="0"/>
              <w:jc w:val="left"/>
              <w:rPr>
                <w:rFonts w:ascii="Times New Roman" w:eastAsia="黑体"/>
                <w:snapToGrid w:val="0"/>
                <w:spacing w:val="-6"/>
                <w:kern w:val="21"/>
                <w:sz w:val="24"/>
                <w:szCs w:val="21"/>
              </w:rPr>
            </w:pPr>
            <w:r>
              <w:rPr>
                <w:rFonts w:ascii="Times New Roman" w:eastAsia="黑体"/>
                <w:snapToGrid w:val="0"/>
                <w:spacing w:val="-6"/>
                <w:kern w:val="21"/>
                <w:sz w:val="24"/>
                <w:szCs w:val="21"/>
              </w:rPr>
              <w:t>分类</w:t>
            </w:r>
          </w:p>
        </w:tc>
        <w:tc>
          <w:tcPr>
            <w:tcW w:w="1701" w:type="dxa"/>
            <w:tcMar>
              <w:left w:w="28" w:type="dxa"/>
              <w:right w:w="28" w:type="dxa"/>
            </w:tcMar>
            <w:vAlign w:val="center"/>
          </w:tcPr>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t>污染物名称</w:t>
            </w:r>
          </w:p>
        </w:tc>
        <w:tc>
          <w:tcPr>
            <w:tcW w:w="1701" w:type="dxa"/>
            <w:tcMar>
              <w:left w:w="28" w:type="dxa"/>
              <w:right w:w="28" w:type="dxa"/>
            </w:tcMar>
            <w:vAlign w:val="center"/>
          </w:tcPr>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t>现有工程</w:t>
            </w:r>
          </w:p>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t>排放量（固体废物产生量）</w:t>
            </w:r>
            <w:r>
              <w:rPr>
                <w:rFonts w:ascii="Times New Roman" w:eastAsia="黑体"/>
                <w:snapToGrid w:val="0"/>
                <w:spacing w:val="-6"/>
                <w:kern w:val="21"/>
                <w:sz w:val="24"/>
                <w:szCs w:val="21"/>
              </w:rPr>
              <w:fldChar w:fldCharType="begin"/>
            </w:r>
            <w:r>
              <w:rPr>
                <w:rFonts w:ascii="Times New Roman" w:eastAsia="黑体"/>
                <w:snapToGrid w:val="0"/>
                <w:spacing w:val="-6"/>
                <w:kern w:val="21"/>
                <w:sz w:val="24"/>
                <w:szCs w:val="21"/>
              </w:rPr>
              <w:instrText xml:space="preserve"> = 1 \* GB3 \* MERGEFORMAT </w:instrText>
            </w:r>
            <w:r>
              <w:rPr>
                <w:rFonts w:ascii="Times New Roman" w:eastAsia="黑体"/>
                <w:snapToGrid w:val="0"/>
                <w:spacing w:val="-6"/>
                <w:kern w:val="21"/>
                <w:sz w:val="24"/>
                <w:szCs w:val="21"/>
              </w:rPr>
              <w:fldChar w:fldCharType="separate"/>
            </w:r>
            <w:r>
              <w:rPr>
                <w:rFonts w:ascii="Times New Roman" w:eastAsia="黑体"/>
                <w:sz w:val="24"/>
                <w:szCs w:val="21"/>
              </w:rPr>
              <w:t>①</w:t>
            </w:r>
            <w:r>
              <w:rPr>
                <w:rFonts w:ascii="Times New Roman" w:eastAsia="黑体"/>
                <w:snapToGrid w:val="0"/>
                <w:spacing w:val="-6"/>
                <w:kern w:val="21"/>
                <w:sz w:val="24"/>
                <w:szCs w:val="21"/>
              </w:rPr>
              <w:fldChar w:fldCharType="end"/>
            </w:r>
          </w:p>
        </w:tc>
        <w:tc>
          <w:tcPr>
            <w:tcW w:w="1276" w:type="dxa"/>
            <w:tcMar>
              <w:left w:w="28" w:type="dxa"/>
              <w:right w:w="28" w:type="dxa"/>
            </w:tcMar>
            <w:vAlign w:val="center"/>
          </w:tcPr>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t>现有工程</w:t>
            </w:r>
          </w:p>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t>许可排放量</w:t>
            </w:r>
          </w:p>
          <w:p>
            <w:pPr>
              <w:pStyle w:val="41"/>
              <w:spacing w:beforeLines="0" w:afterLines="0"/>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fldChar w:fldCharType="begin"/>
            </w:r>
            <w:r>
              <w:rPr>
                <w:rFonts w:ascii="Times New Roman" w:eastAsia="黑体"/>
                <w:snapToGrid w:val="0"/>
                <w:spacing w:val="-6"/>
                <w:kern w:val="21"/>
                <w:sz w:val="24"/>
                <w:szCs w:val="21"/>
              </w:rPr>
              <w:instrText xml:space="preserve"> = 2 \* GB3 \* MERGEFORMAT </w:instrText>
            </w:r>
            <w:r>
              <w:rPr>
                <w:rFonts w:ascii="Times New Roman" w:eastAsia="黑体"/>
                <w:snapToGrid w:val="0"/>
                <w:spacing w:val="-6"/>
                <w:kern w:val="21"/>
                <w:sz w:val="24"/>
                <w:szCs w:val="21"/>
              </w:rPr>
              <w:fldChar w:fldCharType="separate"/>
            </w:r>
            <w:r>
              <w:rPr>
                <w:rFonts w:ascii="Times New Roman" w:eastAsia="黑体"/>
                <w:snapToGrid w:val="0"/>
                <w:spacing w:val="-6"/>
                <w:kern w:val="21"/>
                <w:sz w:val="24"/>
                <w:szCs w:val="21"/>
              </w:rPr>
              <w:t>②</w:t>
            </w:r>
            <w:r>
              <w:rPr>
                <w:rFonts w:ascii="Times New Roman" w:eastAsia="黑体"/>
                <w:snapToGrid w:val="0"/>
                <w:spacing w:val="-6"/>
                <w:kern w:val="21"/>
                <w:sz w:val="24"/>
                <w:szCs w:val="21"/>
              </w:rPr>
              <w:fldChar w:fldCharType="end"/>
            </w:r>
          </w:p>
        </w:tc>
        <w:tc>
          <w:tcPr>
            <w:tcW w:w="1701" w:type="dxa"/>
            <w:tcMar>
              <w:left w:w="28" w:type="dxa"/>
              <w:right w:w="28" w:type="dxa"/>
            </w:tcMar>
            <w:vAlign w:val="center"/>
          </w:tcPr>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t>在建工程</w:t>
            </w:r>
          </w:p>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t>排放量（固体废物产生量）</w:t>
            </w:r>
            <w:r>
              <w:rPr>
                <w:rFonts w:ascii="Times New Roman" w:eastAsia="黑体"/>
                <w:snapToGrid w:val="0"/>
                <w:spacing w:val="-6"/>
                <w:kern w:val="21"/>
                <w:sz w:val="24"/>
                <w:szCs w:val="21"/>
              </w:rPr>
              <w:fldChar w:fldCharType="begin"/>
            </w:r>
            <w:r>
              <w:rPr>
                <w:rFonts w:ascii="Times New Roman" w:eastAsia="黑体"/>
                <w:snapToGrid w:val="0"/>
                <w:spacing w:val="-6"/>
                <w:kern w:val="21"/>
                <w:sz w:val="24"/>
                <w:szCs w:val="21"/>
              </w:rPr>
              <w:instrText xml:space="preserve"> = 3 \* GB3 \* MERGEFORMAT </w:instrText>
            </w:r>
            <w:r>
              <w:rPr>
                <w:rFonts w:ascii="Times New Roman" w:eastAsia="黑体"/>
                <w:snapToGrid w:val="0"/>
                <w:spacing w:val="-6"/>
                <w:kern w:val="21"/>
                <w:sz w:val="24"/>
                <w:szCs w:val="21"/>
              </w:rPr>
              <w:fldChar w:fldCharType="separate"/>
            </w:r>
            <w:r>
              <w:rPr>
                <w:rFonts w:ascii="Times New Roman" w:eastAsia="黑体"/>
                <w:sz w:val="24"/>
                <w:szCs w:val="21"/>
              </w:rPr>
              <w:t>③</w:t>
            </w:r>
            <w:r>
              <w:rPr>
                <w:rFonts w:ascii="Times New Roman" w:eastAsia="黑体"/>
                <w:snapToGrid w:val="0"/>
                <w:spacing w:val="-6"/>
                <w:kern w:val="21"/>
                <w:sz w:val="24"/>
                <w:szCs w:val="21"/>
              </w:rPr>
              <w:fldChar w:fldCharType="end"/>
            </w:r>
          </w:p>
        </w:tc>
        <w:tc>
          <w:tcPr>
            <w:tcW w:w="1559" w:type="dxa"/>
            <w:tcMar>
              <w:left w:w="28" w:type="dxa"/>
              <w:right w:w="28" w:type="dxa"/>
            </w:tcMar>
            <w:vAlign w:val="center"/>
          </w:tcPr>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t>本项目</w:t>
            </w:r>
          </w:p>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t>排放量（固体废物产生量）</w:t>
            </w:r>
            <w:r>
              <w:rPr>
                <w:rFonts w:ascii="Times New Roman" w:eastAsia="黑体"/>
                <w:snapToGrid w:val="0"/>
                <w:spacing w:val="-6"/>
                <w:kern w:val="21"/>
                <w:sz w:val="24"/>
                <w:szCs w:val="21"/>
              </w:rPr>
              <w:fldChar w:fldCharType="begin"/>
            </w:r>
            <w:r>
              <w:rPr>
                <w:rFonts w:ascii="Times New Roman" w:eastAsia="黑体"/>
                <w:snapToGrid w:val="0"/>
                <w:spacing w:val="-6"/>
                <w:kern w:val="21"/>
                <w:sz w:val="24"/>
                <w:szCs w:val="21"/>
              </w:rPr>
              <w:instrText xml:space="preserve"> = 4 \* GB3 \* MERGEFORMAT </w:instrText>
            </w:r>
            <w:r>
              <w:rPr>
                <w:rFonts w:ascii="Times New Roman" w:eastAsia="黑体"/>
                <w:snapToGrid w:val="0"/>
                <w:spacing w:val="-6"/>
                <w:kern w:val="21"/>
                <w:sz w:val="24"/>
                <w:szCs w:val="21"/>
              </w:rPr>
              <w:fldChar w:fldCharType="separate"/>
            </w:r>
            <w:r>
              <w:rPr>
                <w:rFonts w:ascii="Times New Roman" w:eastAsia="黑体"/>
                <w:sz w:val="24"/>
                <w:szCs w:val="21"/>
              </w:rPr>
              <w:t>④</w:t>
            </w:r>
            <w:r>
              <w:rPr>
                <w:rFonts w:ascii="Times New Roman" w:eastAsia="黑体"/>
                <w:snapToGrid w:val="0"/>
                <w:spacing w:val="-6"/>
                <w:kern w:val="21"/>
                <w:sz w:val="24"/>
                <w:szCs w:val="21"/>
              </w:rPr>
              <w:fldChar w:fldCharType="end"/>
            </w:r>
          </w:p>
        </w:tc>
        <w:tc>
          <w:tcPr>
            <w:tcW w:w="1559" w:type="dxa"/>
            <w:tcMar>
              <w:left w:w="28" w:type="dxa"/>
              <w:right w:w="28" w:type="dxa"/>
            </w:tcMar>
            <w:vAlign w:val="center"/>
          </w:tcPr>
          <w:p>
            <w:pPr>
              <w:pStyle w:val="41"/>
              <w:spacing w:beforeLines="0" w:afterLines="0" w:line="240" w:lineRule="auto"/>
              <w:ind w:firstLine="0" w:firstLineChars="0"/>
              <w:rPr>
                <w:rFonts w:ascii="Times New Roman" w:eastAsia="黑体"/>
                <w:snapToGrid w:val="0"/>
                <w:spacing w:val="-16"/>
                <w:kern w:val="21"/>
                <w:sz w:val="24"/>
                <w:szCs w:val="21"/>
              </w:rPr>
            </w:pPr>
            <w:r>
              <w:rPr>
                <w:rFonts w:ascii="Times New Roman" w:eastAsia="黑体"/>
                <w:snapToGrid w:val="0"/>
                <w:spacing w:val="-16"/>
                <w:kern w:val="21"/>
                <w:sz w:val="24"/>
                <w:szCs w:val="21"/>
              </w:rPr>
              <w:t>以新带老削减量</w:t>
            </w:r>
          </w:p>
          <w:p>
            <w:pPr>
              <w:pStyle w:val="41"/>
              <w:spacing w:beforeLines="0" w:afterLines="0" w:line="240" w:lineRule="auto"/>
              <w:ind w:firstLine="0" w:firstLineChars="0"/>
              <w:rPr>
                <w:rFonts w:ascii="Times New Roman" w:eastAsia="黑体"/>
                <w:snapToGrid w:val="0"/>
                <w:spacing w:val="-16"/>
                <w:kern w:val="21"/>
                <w:sz w:val="24"/>
                <w:szCs w:val="21"/>
              </w:rPr>
            </w:pPr>
            <w:r>
              <w:rPr>
                <w:rFonts w:ascii="Times New Roman" w:eastAsia="黑体"/>
                <w:snapToGrid w:val="0"/>
                <w:spacing w:val="-16"/>
                <w:kern w:val="21"/>
                <w:sz w:val="24"/>
                <w:szCs w:val="21"/>
              </w:rPr>
              <w:t>（新建项目不填）</w:t>
            </w:r>
            <w:r>
              <w:rPr>
                <w:rFonts w:ascii="Times New Roman" w:eastAsia="黑体"/>
                <w:snapToGrid w:val="0"/>
                <w:spacing w:val="-16"/>
                <w:kern w:val="21"/>
                <w:sz w:val="24"/>
                <w:szCs w:val="21"/>
              </w:rPr>
              <w:fldChar w:fldCharType="begin"/>
            </w:r>
            <w:r>
              <w:rPr>
                <w:rFonts w:ascii="Times New Roman" w:eastAsia="黑体"/>
                <w:snapToGrid w:val="0"/>
                <w:spacing w:val="-16"/>
                <w:kern w:val="21"/>
                <w:sz w:val="24"/>
                <w:szCs w:val="21"/>
              </w:rPr>
              <w:instrText xml:space="preserve"> = 5 \* GB3 \* MERGEFORMAT </w:instrText>
            </w:r>
            <w:r>
              <w:rPr>
                <w:rFonts w:ascii="Times New Roman" w:eastAsia="黑体"/>
                <w:snapToGrid w:val="0"/>
                <w:spacing w:val="-16"/>
                <w:kern w:val="21"/>
                <w:sz w:val="24"/>
                <w:szCs w:val="21"/>
              </w:rPr>
              <w:fldChar w:fldCharType="separate"/>
            </w:r>
            <w:r>
              <w:rPr>
                <w:rFonts w:ascii="Times New Roman" w:eastAsia="黑体"/>
                <w:sz w:val="24"/>
                <w:szCs w:val="21"/>
              </w:rPr>
              <w:t>⑤</w:t>
            </w:r>
            <w:r>
              <w:rPr>
                <w:rFonts w:ascii="Times New Roman" w:eastAsia="黑体"/>
                <w:snapToGrid w:val="0"/>
                <w:spacing w:val="-16"/>
                <w:kern w:val="21"/>
                <w:sz w:val="24"/>
                <w:szCs w:val="21"/>
              </w:rPr>
              <w:fldChar w:fldCharType="end"/>
            </w:r>
          </w:p>
        </w:tc>
        <w:tc>
          <w:tcPr>
            <w:tcW w:w="1701" w:type="dxa"/>
            <w:tcMar>
              <w:left w:w="28" w:type="dxa"/>
              <w:right w:w="28" w:type="dxa"/>
            </w:tcMar>
            <w:vAlign w:val="center"/>
          </w:tcPr>
          <w:p>
            <w:pPr>
              <w:pStyle w:val="41"/>
              <w:spacing w:beforeLines="0" w:afterLines="0" w:line="240" w:lineRule="auto"/>
              <w:ind w:firstLine="0" w:firstLineChars="0"/>
              <w:rPr>
                <w:rFonts w:ascii="Times New Roman" w:eastAsia="黑体"/>
                <w:snapToGrid w:val="0"/>
                <w:spacing w:val="-16"/>
                <w:kern w:val="21"/>
                <w:sz w:val="24"/>
                <w:szCs w:val="21"/>
              </w:rPr>
            </w:pPr>
            <w:r>
              <w:rPr>
                <w:rFonts w:ascii="Times New Roman" w:eastAsia="黑体"/>
                <w:snapToGrid w:val="0"/>
                <w:spacing w:val="-16"/>
                <w:kern w:val="21"/>
                <w:sz w:val="24"/>
                <w:szCs w:val="21"/>
              </w:rPr>
              <w:t>本项目建成后</w:t>
            </w:r>
          </w:p>
          <w:p>
            <w:pPr>
              <w:pStyle w:val="41"/>
              <w:spacing w:beforeLines="0" w:afterLines="0" w:line="240" w:lineRule="auto"/>
              <w:ind w:firstLine="0" w:firstLineChars="0"/>
              <w:rPr>
                <w:rFonts w:ascii="Times New Roman" w:eastAsia="黑体"/>
                <w:snapToGrid w:val="0"/>
                <w:spacing w:val="-16"/>
                <w:kern w:val="21"/>
                <w:sz w:val="24"/>
                <w:szCs w:val="21"/>
              </w:rPr>
            </w:pPr>
            <w:r>
              <w:rPr>
                <w:rFonts w:ascii="Times New Roman" w:eastAsia="黑体"/>
                <w:snapToGrid w:val="0"/>
                <w:spacing w:val="-16"/>
                <w:kern w:val="21"/>
                <w:sz w:val="24"/>
                <w:szCs w:val="21"/>
              </w:rPr>
              <w:t>全厂排放量（固体废物产生量）</w:t>
            </w:r>
            <w:r>
              <w:rPr>
                <w:rFonts w:ascii="Times New Roman" w:eastAsia="黑体"/>
                <w:snapToGrid w:val="0"/>
                <w:spacing w:val="-16"/>
                <w:kern w:val="21"/>
                <w:sz w:val="24"/>
                <w:szCs w:val="21"/>
              </w:rPr>
              <w:fldChar w:fldCharType="begin"/>
            </w:r>
            <w:r>
              <w:rPr>
                <w:rFonts w:ascii="Times New Roman" w:eastAsia="黑体"/>
                <w:snapToGrid w:val="0"/>
                <w:spacing w:val="-16"/>
                <w:kern w:val="21"/>
                <w:sz w:val="24"/>
                <w:szCs w:val="21"/>
              </w:rPr>
              <w:instrText xml:space="preserve"> = 6 \* GB3 \* MERGEFORMAT </w:instrText>
            </w:r>
            <w:r>
              <w:rPr>
                <w:rFonts w:ascii="Times New Roman" w:eastAsia="黑体"/>
                <w:snapToGrid w:val="0"/>
                <w:spacing w:val="-16"/>
                <w:kern w:val="21"/>
                <w:sz w:val="24"/>
                <w:szCs w:val="21"/>
              </w:rPr>
              <w:fldChar w:fldCharType="separate"/>
            </w:r>
            <w:r>
              <w:rPr>
                <w:rFonts w:ascii="Times New Roman" w:eastAsia="黑体"/>
                <w:sz w:val="24"/>
                <w:szCs w:val="21"/>
              </w:rPr>
              <w:t>⑥</w:t>
            </w:r>
            <w:r>
              <w:rPr>
                <w:rFonts w:ascii="Times New Roman" w:eastAsia="黑体"/>
                <w:snapToGrid w:val="0"/>
                <w:spacing w:val="-16"/>
                <w:kern w:val="21"/>
                <w:sz w:val="24"/>
                <w:szCs w:val="21"/>
              </w:rPr>
              <w:fldChar w:fldCharType="end"/>
            </w:r>
          </w:p>
        </w:tc>
        <w:tc>
          <w:tcPr>
            <w:tcW w:w="1286" w:type="dxa"/>
            <w:tcMar>
              <w:left w:w="28" w:type="dxa"/>
              <w:right w:w="28" w:type="dxa"/>
            </w:tcMar>
            <w:vAlign w:val="center"/>
          </w:tcPr>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t>变化量</w:t>
            </w:r>
          </w:p>
          <w:p>
            <w:pPr>
              <w:pStyle w:val="41"/>
              <w:spacing w:beforeLines="0" w:afterLines="0" w:line="240" w:lineRule="auto"/>
              <w:ind w:firstLine="0" w:firstLineChars="0"/>
              <w:rPr>
                <w:rFonts w:ascii="Times New Roman" w:eastAsia="黑体"/>
                <w:snapToGrid w:val="0"/>
                <w:spacing w:val="-6"/>
                <w:kern w:val="21"/>
                <w:sz w:val="24"/>
                <w:szCs w:val="21"/>
              </w:rPr>
            </w:pPr>
            <w:r>
              <w:rPr>
                <w:rFonts w:ascii="Times New Roman" w:eastAsia="黑体"/>
                <w:snapToGrid w:val="0"/>
                <w:spacing w:val="-6"/>
                <w:kern w:val="21"/>
                <w:sz w:val="24"/>
                <w:szCs w:val="21"/>
              </w:rPr>
              <w:fldChar w:fldCharType="begin"/>
            </w:r>
            <w:r>
              <w:rPr>
                <w:rFonts w:ascii="Times New Roman" w:eastAsia="黑体"/>
                <w:snapToGrid w:val="0"/>
                <w:spacing w:val="-6"/>
                <w:kern w:val="21"/>
                <w:sz w:val="24"/>
                <w:szCs w:val="21"/>
              </w:rPr>
              <w:instrText xml:space="preserve"> = 7 \* GB3 \* MERGEFORMAT </w:instrText>
            </w:r>
            <w:r>
              <w:rPr>
                <w:rFonts w:ascii="Times New Roman" w:eastAsia="黑体"/>
                <w:snapToGrid w:val="0"/>
                <w:spacing w:val="-6"/>
                <w:kern w:val="21"/>
                <w:sz w:val="24"/>
                <w:szCs w:val="21"/>
              </w:rPr>
              <w:fldChar w:fldCharType="separate"/>
            </w:r>
            <w:r>
              <w:rPr>
                <w:rFonts w:ascii="Times New Roman" w:eastAsia="黑体"/>
                <w:sz w:val="24"/>
                <w:szCs w:val="21"/>
              </w:rPr>
              <w:t>⑦</w:t>
            </w:r>
            <w:r>
              <w:rPr>
                <w:rFonts w:ascii="Times New Roman" w:eastAsia="黑体"/>
                <w:snapToGrid w:val="0"/>
                <w:spacing w:val="-6"/>
                <w:kern w:val="21"/>
                <w:sz w:val="24"/>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restart"/>
            <w:vAlign w:val="center"/>
          </w:tcPr>
          <w:p>
            <w:pPr>
              <w:pStyle w:val="41"/>
              <w:spacing w:beforeLines="0" w:afterLines="0" w:line="240" w:lineRule="auto"/>
              <w:ind w:firstLine="0" w:firstLineChars="0"/>
              <w:rPr>
                <w:rFonts w:ascii="Times New Roman"/>
                <w:snapToGrid w:val="0"/>
                <w:kern w:val="21"/>
                <w:sz w:val="24"/>
                <w:szCs w:val="21"/>
              </w:rPr>
            </w:pPr>
            <w:r>
              <w:rPr>
                <w:rFonts w:ascii="Times New Roman"/>
                <w:snapToGrid w:val="0"/>
                <w:kern w:val="21"/>
                <w:sz w:val="24"/>
                <w:szCs w:val="21"/>
              </w:rPr>
              <w:t>废气</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ascii="Times New Roman"/>
                <w:snapToGrid w:val="0"/>
                <w:kern w:val="21"/>
                <w:sz w:val="24"/>
                <w:szCs w:val="21"/>
              </w:rPr>
              <w:t>颗粒物</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1.113t/a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1.113t/a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Lines="0" w:afterLines="0" w:line="240" w:lineRule="auto"/>
              <w:ind w:firstLine="0" w:firstLineChars="0"/>
              <w:rPr>
                <w:rFonts w:ascii="Times New Roman"/>
                <w:snapToGrid w:val="0"/>
                <w:kern w:val="21"/>
                <w:sz w:val="24"/>
                <w:szCs w:val="21"/>
              </w:rPr>
            </w:pP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ascii="Times New Roman"/>
                <w:snapToGrid w:val="0"/>
                <w:kern w:val="21"/>
                <w:sz w:val="24"/>
                <w:szCs w:val="21"/>
              </w:rPr>
              <w:t>非甲烷总烃</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0.022t/a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0.022t/a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restart"/>
            <w:vAlign w:val="center"/>
          </w:tcPr>
          <w:p>
            <w:pPr>
              <w:pStyle w:val="41"/>
              <w:spacing w:beforeLines="0" w:afterLines="0" w:line="240" w:lineRule="auto"/>
              <w:ind w:firstLine="0" w:firstLineChars="0"/>
              <w:rPr>
                <w:rFonts w:ascii="Times New Roman"/>
                <w:snapToGrid w:val="0"/>
                <w:kern w:val="21"/>
                <w:sz w:val="24"/>
                <w:szCs w:val="21"/>
              </w:rPr>
            </w:pPr>
            <w:r>
              <w:rPr>
                <w:rFonts w:ascii="Times New Roman"/>
                <w:snapToGrid w:val="0"/>
                <w:kern w:val="21"/>
                <w:sz w:val="24"/>
                <w:szCs w:val="21"/>
              </w:rPr>
              <w:t>废水</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ascii="Times New Roman"/>
                <w:snapToGrid w:val="0"/>
                <w:kern w:val="21"/>
                <w:sz w:val="24"/>
                <w:szCs w:val="21"/>
              </w:rPr>
              <w:t>废水量</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576m</w:t>
            </w:r>
            <w:r>
              <w:rPr>
                <w:rFonts w:hint="eastAsia" w:ascii="Times New Roman"/>
                <w:snapToGrid w:val="0"/>
                <w:kern w:val="21"/>
                <w:sz w:val="24"/>
                <w:szCs w:val="21"/>
                <w:vertAlign w:val="superscript"/>
              </w:rPr>
              <w:t>3</w:t>
            </w:r>
            <w:r>
              <w:rPr>
                <w:rFonts w:hint="eastAsia" w:ascii="Times New Roman"/>
                <w:snapToGrid w:val="0"/>
                <w:kern w:val="21"/>
                <w:sz w:val="24"/>
                <w:szCs w:val="21"/>
              </w:rPr>
              <w: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576 m</w:t>
            </w:r>
            <w:r>
              <w:rPr>
                <w:rFonts w:hint="eastAsia" w:ascii="Times New Roman"/>
                <w:snapToGrid w:val="0"/>
                <w:kern w:val="21"/>
                <w:sz w:val="24"/>
                <w:szCs w:val="21"/>
                <w:vertAlign w:val="superscript"/>
              </w:rPr>
              <w:t>3</w:t>
            </w:r>
            <w:r>
              <w:rPr>
                <w:rFonts w:hint="eastAsia" w:ascii="Times New Roman"/>
                <w:snapToGrid w:val="0"/>
                <w:kern w:val="21"/>
                <w:sz w:val="24"/>
                <w:szCs w:val="21"/>
              </w:rPr>
              <w: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Lines="0" w:afterLines="0" w:line="240" w:lineRule="auto"/>
              <w:ind w:firstLine="0" w:firstLineChars="0"/>
              <w:rPr>
                <w:rFonts w:ascii="Times New Roman"/>
                <w:snapToGrid w:val="0"/>
                <w:kern w:val="21"/>
                <w:sz w:val="24"/>
                <w:szCs w:val="21"/>
              </w:rPr>
            </w:pP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COD</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0.17t/a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0.17t/a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Lines="0" w:afterLines="0" w:line="240" w:lineRule="auto"/>
              <w:ind w:firstLine="0" w:firstLineChars="0"/>
              <w:rPr>
                <w:rFonts w:ascii="Times New Roman"/>
                <w:snapToGrid w:val="0"/>
                <w:kern w:val="21"/>
                <w:sz w:val="24"/>
                <w:szCs w:val="21"/>
              </w:rPr>
            </w:pP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BOD</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0.09t/a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0.09t/a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Lines="0" w:afterLines="0" w:line="240" w:lineRule="auto"/>
              <w:ind w:firstLine="0" w:firstLineChars="0"/>
              <w:rPr>
                <w:rFonts w:ascii="Times New Roman"/>
                <w:snapToGrid w:val="0"/>
                <w:kern w:val="21"/>
                <w:sz w:val="24"/>
                <w:szCs w:val="21"/>
              </w:rPr>
            </w:pP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NH</w:t>
            </w:r>
            <w:r>
              <w:rPr>
                <w:rFonts w:hint="eastAsia" w:ascii="Times New Roman"/>
                <w:snapToGrid w:val="0"/>
                <w:kern w:val="21"/>
                <w:sz w:val="24"/>
                <w:szCs w:val="21"/>
                <w:vertAlign w:val="subscript"/>
              </w:rPr>
              <w:t>3</w:t>
            </w:r>
            <w:r>
              <w:rPr>
                <w:rFonts w:hint="eastAsia" w:ascii="Times New Roman"/>
                <w:snapToGrid w:val="0"/>
                <w:kern w:val="21"/>
                <w:sz w:val="24"/>
                <w:szCs w:val="21"/>
              </w:rPr>
              <w:t>-N</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0.014t/a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0.014t/a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Lines="0" w:afterLines="0" w:line="240" w:lineRule="auto"/>
              <w:ind w:firstLine="0" w:firstLineChars="0"/>
              <w:rPr>
                <w:rFonts w:ascii="Times New Roman"/>
                <w:snapToGrid w:val="0"/>
                <w:kern w:val="21"/>
                <w:sz w:val="24"/>
                <w:szCs w:val="21"/>
              </w:rPr>
            </w:pP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SS</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0.12t/a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0.12t/a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restart"/>
            <w:vAlign w:val="center"/>
          </w:tcPr>
          <w:p>
            <w:pPr>
              <w:pStyle w:val="41"/>
              <w:spacing w:beforeLines="0" w:afterLines="0" w:line="240" w:lineRule="auto"/>
              <w:ind w:firstLine="0" w:firstLineChars="0"/>
              <w:rPr>
                <w:rFonts w:ascii="Times New Roman"/>
                <w:snapToGrid w:val="0"/>
                <w:kern w:val="21"/>
                <w:sz w:val="24"/>
                <w:szCs w:val="21"/>
              </w:rPr>
            </w:pPr>
            <w:r>
              <w:rPr>
                <w:rFonts w:ascii="Times New Roman"/>
                <w:snapToGrid w:val="0"/>
                <w:kern w:val="21"/>
                <w:sz w:val="24"/>
                <w:szCs w:val="21"/>
              </w:rPr>
              <w:t>一般工业</w:t>
            </w:r>
          </w:p>
          <w:p>
            <w:pPr>
              <w:pStyle w:val="41"/>
              <w:spacing w:beforeLines="0" w:afterLines="0" w:line="240" w:lineRule="auto"/>
              <w:ind w:firstLine="0" w:firstLineChars="0"/>
              <w:rPr>
                <w:rFonts w:ascii="Times New Roman"/>
                <w:snapToGrid w:val="0"/>
                <w:kern w:val="21"/>
                <w:sz w:val="24"/>
                <w:szCs w:val="21"/>
              </w:rPr>
            </w:pPr>
            <w:r>
              <w:rPr>
                <w:rFonts w:ascii="Times New Roman"/>
                <w:snapToGrid w:val="0"/>
                <w:kern w:val="21"/>
                <w:sz w:val="24"/>
                <w:szCs w:val="21"/>
              </w:rPr>
              <w:t>固体废物</w:t>
            </w:r>
          </w:p>
        </w:tc>
        <w:tc>
          <w:tcPr>
            <w:tcW w:w="1701" w:type="dxa"/>
            <w:vAlign w:val="center"/>
          </w:tcPr>
          <w:p>
            <w:pPr>
              <w:pStyle w:val="34"/>
              <w:rPr>
                <w:sz w:val="24"/>
              </w:rPr>
            </w:pPr>
            <w:r>
              <w:rPr>
                <w:rFonts w:hint="eastAsia"/>
                <w:sz w:val="24"/>
              </w:rPr>
              <w:t>废玻璃</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rFonts w:eastAsiaTheme="minorEastAsia"/>
                <w:sz w:val="24"/>
              </w:rPr>
              <w:t>485.1</w:t>
            </w:r>
            <w:r>
              <w:rPr>
                <w:rFonts w:hint="eastAsia"/>
                <w:snapToGrid w:val="0"/>
                <w:kern w:val="21"/>
                <w:sz w:val="24"/>
                <w:szCs w:val="21"/>
              </w:rPr>
              <w:t xml:space="preserve"> 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rFonts w:eastAsiaTheme="minorEastAsia"/>
                <w:sz w:val="24"/>
              </w:rPr>
              <w:t>485.1</w:t>
            </w:r>
            <w:r>
              <w:rPr>
                <w:rFonts w:hint="eastAsia"/>
                <w:snapToGrid w:val="0"/>
                <w:kern w:val="21"/>
                <w:sz w:val="24"/>
                <w:szCs w:val="21"/>
              </w:rPr>
              <w:t xml:space="preserve"> 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Lines="0" w:afterLines="0" w:line="240" w:lineRule="auto"/>
              <w:ind w:firstLine="0" w:firstLineChars="0"/>
              <w:rPr>
                <w:rFonts w:ascii="Times New Roman"/>
                <w:snapToGrid w:val="0"/>
                <w:kern w:val="21"/>
                <w:sz w:val="24"/>
                <w:szCs w:val="21"/>
              </w:rPr>
            </w:pPr>
          </w:p>
        </w:tc>
        <w:tc>
          <w:tcPr>
            <w:tcW w:w="1701" w:type="dxa"/>
            <w:vAlign w:val="center"/>
          </w:tcPr>
          <w:p>
            <w:pPr>
              <w:pStyle w:val="34"/>
              <w:rPr>
                <w:sz w:val="24"/>
              </w:rPr>
            </w:pPr>
            <w:r>
              <w:rPr>
                <w:rFonts w:hint="eastAsia"/>
                <w:sz w:val="24"/>
              </w:rPr>
              <w:t>废尼龙布、废皮革</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rFonts w:eastAsiaTheme="minorEastAsia"/>
                <w:sz w:val="24"/>
              </w:rPr>
              <w:t>88.9</w:t>
            </w:r>
            <w:r>
              <w:rPr>
                <w:rFonts w:hint="eastAsia"/>
                <w:snapToGrid w:val="0"/>
                <w:kern w:val="21"/>
                <w:sz w:val="24"/>
                <w:szCs w:val="21"/>
              </w:rPr>
              <w:t xml:space="preserve"> 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rFonts w:eastAsiaTheme="minorEastAsia"/>
                <w:sz w:val="24"/>
              </w:rPr>
              <w:t>88.9</w:t>
            </w:r>
            <w:r>
              <w:rPr>
                <w:rFonts w:hint="eastAsia"/>
                <w:snapToGrid w:val="0"/>
                <w:kern w:val="21"/>
                <w:sz w:val="24"/>
                <w:szCs w:val="21"/>
              </w:rPr>
              <w:t xml:space="preserve"> 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Lines="0" w:afterLines="0" w:line="240" w:lineRule="auto"/>
              <w:ind w:firstLine="0" w:firstLineChars="0"/>
              <w:rPr>
                <w:rFonts w:ascii="Times New Roman"/>
                <w:snapToGrid w:val="0"/>
                <w:kern w:val="21"/>
                <w:sz w:val="24"/>
                <w:szCs w:val="21"/>
              </w:rPr>
            </w:pPr>
          </w:p>
        </w:tc>
        <w:tc>
          <w:tcPr>
            <w:tcW w:w="1701" w:type="dxa"/>
            <w:vAlign w:val="center"/>
          </w:tcPr>
          <w:p>
            <w:pPr>
              <w:pStyle w:val="34"/>
              <w:rPr>
                <w:sz w:val="24"/>
              </w:rPr>
            </w:pPr>
            <w:r>
              <w:rPr>
                <w:rFonts w:hint="eastAsia"/>
                <w:sz w:val="24"/>
              </w:rPr>
              <w:t>其他不可</w:t>
            </w:r>
          </w:p>
          <w:p>
            <w:pPr>
              <w:pStyle w:val="34"/>
              <w:rPr>
                <w:sz w:val="24"/>
              </w:rPr>
            </w:pPr>
            <w:r>
              <w:rPr>
                <w:rFonts w:hint="eastAsia"/>
                <w:sz w:val="24"/>
              </w:rPr>
              <w:t>利用物</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rFonts w:eastAsiaTheme="minorEastAsia"/>
                <w:sz w:val="24"/>
              </w:rPr>
              <w:t>803.4</w:t>
            </w:r>
            <w:r>
              <w:rPr>
                <w:rFonts w:hint="eastAsia"/>
                <w:snapToGrid w:val="0"/>
                <w:kern w:val="21"/>
                <w:sz w:val="24"/>
                <w:szCs w:val="21"/>
              </w:rPr>
              <w:t xml:space="preserve"> 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rFonts w:eastAsiaTheme="minorEastAsia"/>
                <w:sz w:val="24"/>
              </w:rPr>
              <w:t>803.4</w:t>
            </w:r>
            <w:r>
              <w:rPr>
                <w:rFonts w:hint="eastAsia"/>
                <w:snapToGrid w:val="0"/>
                <w:kern w:val="21"/>
                <w:sz w:val="24"/>
                <w:szCs w:val="21"/>
              </w:rPr>
              <w:t xml:space="preserve"> 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Lines="0" w:afterLines="0" w:line="240" w:lineRule="auto"/>
              <w:ind w:firstLine="0" w:firstLineChars="0"/>
              <w:rPr>
                <w:rFonts w:ascii="Times New Roman"/>
                <w:snapToGrid w:val="0"/>
                <w:kern w:val="21"/>
                <w:sz w:val="24"/>
                <w:szCs w:val="21"/>
              </w:rPr>
            </w:pPr>
          </w:p>
        </w:tc>
        <w:tc>
          <w:tcPr>
            <w:tcW w:w="1701" w:type="dxa"/>
            <w:vAlign w:val="center"/>
          </w:tcPr>
          <w:p>
            <w:pPr>
              <w:pStyle w:val="34"/>
              <w:rPr>
                <w:sz w:val="24"/>
              </w:rPr>
            </w:pPr>
            <w:r>
              <w:rPr>
                <w:sz w:val="24"/>
              </w:rPr>
              <w:t>废</w:t>
            </w:r>
            <w:r>
              <w:rPr>
                <w:rFonts w:hint="eastAsia"/>
                <w:sz w:val="24"/>
              </w:rPr>
              <w:t>动力蓄电池</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rFonts w:eastAsiaTheme="minorEastAsia"/>
                <w:sz w:val="24"/>
              </w:rPr>
              <w:t>1050</w:t>
            </w:r>
            <w:r>
              <w:rPr>
                <w:rFonts w:hint="eastAsia"/>
                <w:snapToGrid w:val="0"/>
                <w:kern w:val="21"/>
                <w:sz w:val="24"/>
                <w:szCs w:val="21"/>
              </w:rPr>
              <w:t xml:space="preserve"> 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rFonts w:eastAsiaTheme="minorEastAsia"/>
                <w:sz w:val="24"/>
              </w:rPr>
              <w:t>1050</w:t>
            </w:r>
            <w:r>
              <w:rPr>
                <w:rFonts w:hint="eastAsia"/>
                <w:snapToGrid w:val="0"/>
                <w:kern w:val="21"/>
                <w:sz w:val="24"/>
                <w:szCs w:val="21"/>
              </w:rPr>
              <w:t xml:space="preserve"> 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restart"/>
            <w:vAlign w:val="center"/>
          </w:tcPr>
          <w:p>
            <w:pPr>
              <w:pStyle w:val="41"/>
              <w:spacing w:before="31" w:after="31"/>
              <w:ind w:firstLine="0" w:firstLineChars="0"/>
              <w:rPr>
                <w:rFonts w:ascii="Times New Roman"/>
                <w:snapToGrid w:val="0"/>
                <w:kern w:val="21"/>
                <w:sz w:val="24"/>
                <w:szCs w:val="21"/>
              </w:rPr>
            </w:pPr>
            <w:r>
              <w:rPr>
                <w:rFonts w:ascii="Times New Roman"/>
                <w:snapToGrid w:val="0"/>
                <w:kern w:val="21"/>
                <w:sz w:val="24"/>
                <w:szCs w:val="21"/>
              </w:rPr>
              <w:t>危险废物</w:t>
            </w:r>
          </w:p>
        </w:tc>
        <w:tc>
          <w:tcPr>
            <w:tcW w:w="1701" w:type="dxa"/>
            <w:vAlign w:val="center"/>
          </w:tcPr>
          <w:p>
            <w:pPr>
              <w:pStyle w:val="34"/>
              <w:rPr>
                <w:sz w:val="24"/>
              </w:rPr>
            </w:pPr>
            <w:r>
              <w:rPr>
                <w:rFonts w:hint="eastAsia"/>
                <w:sz w:val="24"/>
              </w:rPr>
              <w:t>废燃料油</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sz w:val="24"/>
              </w:rPr>
              <w:t>10.8</w:t>
            </w:r>
            <w:r>
              <w:rPr>
                <w:rFonts w:hint="eastAsia"/>
                <w:snapToGrid w:val="0"/>
                <w:kern w:val="21"/>
                <w:sz w:val="24"/>
                <w:szCs w:val="21"/>
              </w:rPr>
              <w:t xml:space="preserve"> 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sz w:val="24"/>
              </w:rPr>
              <w:t>10.8</w:t>
            </w:r>
            <w:r>
              <w:rPr>
                <w:rFonts w:hint="eastAsia"/>
                <w:snapToGrid w:val="0"/>
                <w:kern w:val="21"/>
                <w:sz w:val="24"/>
                <w:szCs w:val="21"/>
              </w:rPr>
              <w:t xml:space="preserve"> 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31" w:after="31"/>
              <w:ind w:firstLine="0" w:firstLineChars="0"/>
              <w:rPr>
                <w:rFonts w:ascii="Times New Roman"/>
                <w:snapToGrid w:val="0"/>
                <w:kern w:val="21"/>
                <w:sz w:val="24"/>
                <w:szCs w:val="21"/>
              </w:rPr>
            </w:pPr>
          </w:p>
        </w:tc>
        <w:tc>
          <w:tcPr>
            <w:tcW w:w="1701" w:type="dxa"/>
            <w:vAlign w:val="center"/>
          </w:tcPr>
          <w:p>
            <w:pPr>
              <w:pStyle w:val="34"/>
              <w:rPr>
                <w:rFonts w:cs="宋体"/>
                <w:sz w:val="24"/>
              </w:rPr>
            </w:pPr>
            <w:r>
              <w:rPr>
                <w:rFonts w:hint="eastAsia"/>
                <w:sz w:val="24"/>
              </w:rPr>
              <w:t>废油液</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sz w:val="24"/>
              </w:rPr>
              <w:t>176.1</w:t>
            </w:r>
            <w:r>
              <w:rPr>
                <w:rFonts w:hint="eastAsia"/>
                <w:snapToGrid w:val="0"/>
                <w:kern w:val="21"/>
                <w:sz w:val="24"/>
                <w:szCs w:val="21"/>
              </w:rPr>
              <w:t xml:space="preserve"> 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sz w:val="24"/>
              </w:rPr>
              <w:t>176.1</w:t>
            </w:r>
            <w:r>
              <w:rPr>
                <w:rFonts w:hint="eastAsia"/>
                <w:snapToGrid w:val="0"/>
                <w:kern w:val="21"/>
                <w:sz w:val="24"/>
                <w:szCs w:val="21"/>
              </w:rPr>
              <w:t xml:space="preserve"> 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31" w:after="31"/>
              <w:ind w:firstLine="0" w:firstLineChars="0"/>
              <w:rPr>
                <w:rFonts w:ascii="Times New Roman"/>
                <w:snapToGrid w:val="0"/>
                <w:kern w:val="21"/>
                <w:sz w:val="24"/>
                <w:szCs w:val="21"/>
              </w:rPr>
            </w:pPr>
          </w:p>
        </w:tc>
        <w:tc>
          <w:tcPr>
            <w:tcW w:w="1701" w:type="dxa"/>
            <w:vAlign w:val="center"/>
          </w:tcPr>
          <w:p>
            <w:pPr>
              <w:pStyle w:val="34"/>
              <w:rPr>
                <w:sz w:val="24"/>
              </w:rPr>
            </w:pPr>
            <w:r>
              <w:rPr>
                <w:rFonts w:hint="eastAsia"/>
                <w:sz w:val="24"/>
              </w:rPr>
              <w:t>废防冻液</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sz w:val="24"/>
              </w:rPr>
              <w:t>11.7</w:t>
            </w:r>
            <w:r>
              <w:rPr>
                <w:rFonts w:hint="eastAsia"/>
                <w:snapToGrid w:val="0"/>
                <w:kern w:val="21"/>
                <w:sz w:val="24"/>
                <w:szCs w:val="21"/>
              </w:rPr>
              <w:t xml:space="preserve"> 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sz w:val="24"/>
              </w:rPr>
              <w:t>11.7</w:t>
            </w:r>
            <w:r>
              <w:rPr>
                <w:rFonts w:hint="eastAsia"/>
                <w:snapToGrid w:val="0"/>
                <w:kern w:val="21"/>
                <w:sz w:val="24"/>
                <w:szCs w:val="21"/>
              </w:rPr>
              <w:t xml:space="preserve"> 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31" w:after="31"/>
              <w:ind w:firstLine="0" w:firstLineChars="0"/>
              <w:rPr>
                <w:rFonts w:ascii="Times New Roman"/>
                <w:snapToGrid w:val="0"/>
                <w:kern w:val="21"/>
                <w:sz w:val="24"/>
                <w:szCs w:val="21"/>
              </w:rPr>
            </w:pPr>
          </w:p>
        </w:tc>
        <w:tc>
          <w:tcPr>
            <w:tcW w:w="1701" w:type="dxa"/>
            <w:vAlign w:val="center"/>
          </w:tcPr>
          <w:p>
            <w:pPr>
              <w:pStyle w:val="34"/>
              <w:rPr>
                <w:sz w:val="24"/>
              </w:rPr>
            </w:pPr>
            <w:r>
              <w:rPr>
                <w:rFonts w:hint="eastAsia"/>
                <w:sz w:val="24"/>
              </w:rPr>
              <w:t>废电路板</w:t>
            </w:r>
          </w:p>
          <w:p>
            <w:pPr>
              <w:pStyle w:val="34"/>
              <w:rPr>
                <w:rFonts w:cs="宋体"/>
                <w:sz w:val="24"/>
              </w:rPr>
            </w:pPr>
            <w:r>
              <w:rPr>
                <w:rFonts w:hint="eastAsia"/>
                <w:sz w:val="24"/>
              </w:rPr>
              <w:t>(含</w:t>
            </w:r>
            <w:r>
              <w:rPr>
                <w:sz w:val="24"/>
              </w:rPr>
              <w:t>电容器</w:t>
            </w:r>
            <w:r>
              <w:rPr>
                <w:rFonts w:hint="eastAsia"/>
                <w:sz w:val="24"/>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sz w:val="24"/>
              </w:rPr>
              <w:t>17.1</w:t>
            </w:r>
            <w:r>
              <w:rPr>
                <w:rFonts w:hint="eastAsia"/>
                <w:snapToGrid w:val="0"/>
                <w:kern w:val="21"/>
                <w:sz w:val="24"/>
                <w:szCs w:val="21"/>
              </w:rPr>
              <w:t xml:space="preserve"> 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sz w:val="24"/>
              </w:rPr>
              <w:t>17.1</w:t>
            </w:r>
            <w:r>
              <w:rPr>
                <w:rFonts w:hint="eastAsia"/>
                <w:snapToGrid w:val="0"/>
                <w:kern w:val="21"/>
                <w:sz w:val="24"/>
                <w:szCs w:val="21"/>
              </w:rPr>
              <w:t xml:space="preserve"> 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31" w:after="31"/>
              <w:ind w:firstLine="0" w:firstLineChars="0"/>
              <w:rPr>
                <w:rFonts w:ascii="Times New Roman"/>
                <w:snapToGrid w:val="0"/>
                <w:kern w:val="21"/>
                <w:sz w:val="24"/>
                <w:szCs w:val="21"/>
              </w:rPr>
            </w:pPr>
          </w:p>
        </w:tc>
        <w:tc>
          <w:tcPr>
            <w:tcW w:w="1701" w:type="dxa"/>
            <w:vAlign w:val="center"/>
          </w:tcPr>
          <w:p>
            <w:pPr>
              <w:pStyle w:val="34"/>
              <w:rPr>
                <w:sz w:val="24"/>
              </w:rPr>
            </w:pPr>
            <w:r>
              <w:rPr>
                <w:rFonts w:hint="eastAsia"/>
                <w:sz w:val="24"/>
              </w:rPr>
              <w:t>废</w:t>
            </w:r>
            <w:r>
              <w:rPr>
                <w:sz w:val="24"/>
              </w:rPr>
              <w:t>铅蓄电池</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sz w:val="24"/>
              </w:rPr>
              <w:t>234.2</w:t>
            </w:r>
            <w:r>
              <w:rPr>
                <w:rFonts w:hint="eastAsia"/>
                <w:snapToGrid w:val="0"/>
                <w:kern w:val="21"/>
                <w:sz w:val="24"/>
                <w:szCs w:val="21"/>
              </w:rPr>
              <w:t xml:space="preserve"> 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sz w:val="24"/>
              </w:rPr>
              <w:t>234.2</w:t>
            </w:r>
            <w:r>
              <w:rPr>
                <w:rFonts w:hint="eastAsia"/>
                <w:snapToGrid w:val="0"/>
                <w:kern w:val="21"/>
                <w:sz w:val="24"/>
                <w:szCs w:val="21"/>
              </w:rPr>
              <w:t xml:space="preserve"> 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31" w:after="31"/>
              <w:ind w:firstLine="0" w:firstLineChars="0"/>
              <w:rPr>
                <w:rFonts w:ascii="Times New Roman"/>
                <w:snapToGrid w:val="0"/>
                <w:kern w:val="21"/>
                <w:sz w:val="24"/>
                <w:szCs w:val="21"/>
              </w:rPr>
            </w:pPr>
          </w:p>
        </w:tc>
        <w:tc>
          <w:tcPr>
            <w:tcW w:w="1701" w:type="dxa"/>
            <w:vAlign w:val="center"/>
          </w:tcPr>
          <w:p>
            <w:pPr>
              <w:pStyle w:val="34"/>
              <w:rPr>
                <w:sz w:val="24"/>
              </w:rPr>
            </w:pPr>
            <w:r>
              <w:rPr>
                <w:rFonts w:hint="eastAsia"/>
                <w:sz w:val="24"/>
              </w:rPr>
              <w:t>污水处理</w:t>
            </w:r>
          </w:p>
          <w:p>
            <w:pPr>
              <w:pStyle w:val="34"/>
              <w:rPr>
                <w:sz w:val="24"/>
              </w:rPr>
            </w:pPr>
            <w:r>
              <w:rPr>
                <w:rFonts w:hint="eastAsia"/>
                <w:sz w:val="24"/>
              </w:rPr>
              <w:t>废油泥</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rFonts w:hint="eastAsia"/>
                <w:sz w:val="24"/>
              </w:rPr>
              <w:t>0.9t/a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rFonts w:hint="eastAsia"/>
                <w:sz w:val="24"/>
              </w:rPr>
              <w:t>0.9t/a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31" w:after="31"/>
              <w:ind w:firstLine="0" w:firstLineChars="0"/>
              <w:rPr>
                <w:rFonts w:ascii="Times New Roman"/>
                <w:snapToGrid w:val="0"/>
                <w:kern w:val="21"/>
                <w:sz w:val="24"/>
                <w:szCs w:val="21"/>
              </w:rPr>
            </w:pPr>
          </w:p>
        </w:tc>
        <w:tc>
          <w:tcPr>
            <w:tcW w:w="1701" w:type="dxa"/>
            <w:vAlign w:val="center"/>
          </w:tcPr>
          <w:p>
            <w:pPr>
              <w:pStyle w:val="34"/>
              <w:rPr>
                <w:sz w:val="24"/>
              </w:rPr>
            </w:pPr>
            <w:r>
              <w:rPr>
                <w:rFonts w:hint="eastAsia"/>
                <w:sz w:val="24"/>
              </w:rPr>
              <w:t>废尾气净化催化剂</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sz w:val="24"/>
              </w:rPr>
              <w:t>22</w:t>
            </w:r>
            <w:r>
              <w:rPr>
                <w:rFonts w:hint="eastAsia"/>
                <w:snapToGrid w:val="0"/>
                <w:kern w:val="21"/>
                <w:sz w:val="24"/>
                <w:szCs w:val="21"/>
              </w:rPr>
              <w:t xml:space="preserve"> 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sz w:val="24"/>
              </w:rPr>
              <w:t>22</w:t>
            </w:r>
            <w:r>
              <w:rPr>
                <w:rFonts w:hint="eastAsia"/>
                <w:snapToGrid w:val="0"/>
                <w:kern w:val="21"/>
                <w:sz w:val="24"/>
                <w:szCs w:val="21"/>
              </w:rPr>
              <w:t xml:space="preserve"> 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4" w:type="dxa"/>
            <w:vMerge w:val="continue"/>
            <w:vAlign w:val="center"/>
          </w:tcPr>
          <w:p>
            <w:pPr>
              <w:pStyle w:val="41"/>
              <w:spacing w:before="31" w:after="31"/>
              <w:ind w:firstLine="0" w:firstLineChars="0"/>
              <w:rPr>
                <w:rFonts w:ascii="Times New Roman"/>
                <w:snapToGrid w:val="0"/>
                <w:kern w:val="21"/>
                <w:sz w:val="24"/>
                <w:szCs w:val="21"/>
              </w:rPr>
            </w:pPr>
          </w:p>
        </w:tc>
        <w:tc>
          <w:tcPr>
            <w:tcW w:w="1701" w:type="dxa"/>
            <w:vAlign w:val="center"/>
          </w:tcPr>
          <w:p>
            <w:pPr>
              <w:pStyle w:val="34"/>
              <w:rPr>
                <w:sz w:val="24"/>
              </w:rPr>
            </w:pPr>
            <w:r>
              <w:rPr>
                <w:rFonts w:hint="eastAsia"/>
                <w:sz w:val="24"/>
              </w:rPr>
              <w:t>废</w:t>
            </w:r>
            <w:r>
              <w:rPr>
                <w:sz w:val="24"/>
              </w:rPr>
              <w:t>活性炭</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27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559" w:type="dxa"/>
            <w:vAlign w:val="center"/>
          </w:tcPr>
          <w:p>
            <w:pPr>
              <w:pStyle w:val="34"/>
              <w:rPr>
                <w:sz w:val="24"/>
              </w:rPr>
            </w:pPr>
            <w:r>
              <w:rPr>
                <w:rFonts w:hint="eastAsia"/>
                <w:sz w:val="24"/>
              </w:rPr>
              <w:t>0</w:t>
            </w:r>
            <w:r>
              <w:rPr>
                <w:sz w:val="24"/>
              </w:rPr>
              <w:t>.</w:t>
            </w:r>
            <w:r>
              <w:rPr>
                <w:rFonts w:hint="eastAsia"/>
                <w:sz w:val="24"/>
              </w:rPr>
              <w:t>24</w:t>
            </w:r>
            <w:r>
              <w:rPr>
                <w:rFonts w:hint="eastAsia"/>
                <w:snapToGrid w:val="0"/>
                <w:kern w:val="21"/>
                <w:sz w:val="24"/>
                <w:szCs w:val="21"/>
              </w:rPr>
              <w:t>t/a</w:t>
            </w:r>
          </w:p>
        </w:tc>
        <w:tc>
          <w:tcPr>
            <w:tcW w:w="1559"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c>
          <w:tcPr>
            <w:tcW w:w="1701" w:type="dxa"/>
            <w:vAlign w:val="center"/>
          </w:tcPr>
          <w:p>
            <w:pPr>
              <w:pStyle w:val="34"/>
              <w:rPr>
                <w:sz w:val="24"/>
              </w:rPr>
            </w:pPr>
            <w:r>
              <w:rPr>
                <w:rFonts w:hint="eastAsia"/>
                <w:sz w:val="24"/>
              </w:rPr>
              <w:t>0</w:t>
            </w:r>
            <w:r>
              <w:rPr>
                <w:sz w:val="24"/>
              </w:rPr>
              <w:t>.</w:t>
            </w:r>
            <w:r>
              <w:rPr>
                <w:rFonts w:hint="eastAsia"/>
                <w:sz w:val="24"/>
              </w:rPr>
              <w:t xml:space="preserve"> 24</w:t>
            </w:r>
            <w:r>
              <w:rPr>
                <w:rFonts w:hint="eastAsia"/>
                <w:snapToGrid w:val="0"/>
                <w:kern w:val="21"/>
                <w:sz w:val="24"/>
                <w:szCs w:val="21"/>
              </w:rPr>
              <w:t>t/a</w:t>
            </w:r>
          </w:p>
        </w:tc>
        <w:tc>
          <w:tcPr>
            <w:tcW w:w="1286" w:type="dxa"/>
            <w:vAlign w:val="center"/>
          </w:tcPr>
          <w:p>
            <w:pPr>
              <w:pStyle w:val="41"/>
              <w:spacing w:beforeLines="0" w:afterLines="0" w:line="240" w:lineRule="auto"/>
              <w:ind w:firstLine="0" w:firstLineChars="0"/>
              <w:rPr>
                <w:rFonts w:ascii="Times New Roman"/>
                <w:snapToGrid w:val="0"/>
                <w:kern w:val="21"/>
                <w:sz w:val="24"/>
                <w:szCs w:val="21"/>
              </w:rPr>
            </w:pPr>
            <w:r>
              <w:rPr>
                <w:rFonts w:hint="eastAsia" w:ascii="Times New Roman"/>
                <w:snapToGrid w:val="0"/>
                <w:kern w:val="21"/>
                <w:sz w:val="24"/>
                <w:szCs w:val="21"/>
              </w:rPr>
              <w:t>/</w:t>
            </w:r>
          </w:p>
        </w:tc>
      </w:tr>
    </w:tbl>
    <w:p>
      <w:pPr>
        <w:pStyle w:val="41"/>
        <w:spacing w:beforeLines="80" w:after="31"/>
        <w:ind w:firstLine="420"/>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bookmarkEnd w:id="0"/>
    <w:p>
      <w:pPr>
        <w:ind w:firstLine="420"/>
      </w:pPr>
    </w:p>
    <w:sectPr>
      <w:pgSz w:w="16838" w:h="11906" w:orient="landscape"/>
      <w:pgMar w:top="1418" w:right="1418" w:bottom="1418" w:left="141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roman"/>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Light">
    <w:altName w:val="Arial Unicode MS"/>
    <w:panose1 w:val="00000000000000000000"/>
    <w:charset w:val="86"/>
    <w:family w:val="auto"/>
    <w:pitch w:val="default"/>
    <w:sig w:usb0="00000000" w:usb1="00000000" w:usb2="00000016" w:usb3="00000000" w:csb0="0004000F" w:csb1="00000000"/>
  </w:font>
  <w:font w:name="MS Mincho">
    <w:panose1 w:val="02020609040205080304"/>
    <w:charset w:val="80"/>
    <w:family w:val="modern"/>
    <w:pitch w:val="default"/>
    <w:sig w:usb0="E00002FF" w:usb1="6AC7FDFB" w:usb2="00000012" w:usb3="00000000" w:csb0="4002009F" w:csb1="DFD70000"/>
  </w:font>
  <w:font w:name="等线">
    <w:altName w:val="Arial Unicode MS"/>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fldChar w:fldCharType="begin"/>
    </w:r>
    <w:r>
      <w:instrText xml:space="preserve"> PAGE    \* MERGEFORMAT </w:instrText>
    </w:r>
    <w:r>
      <w:fldChar w:fldCharType="separate"/>
    </w:r>
    <w:r>
      <w:rPr>
        <w:rFonts w:asciiTheme="majorHAnsi" w:hAnsiTheme="majorHAnsi"/>
        <w:sz w:val="28"/>
        <w:szCs w:val="28"/>
        <w:lang w:val="zh-CN"/>
      </w:rPr>
      <w:t>-</w:t>
    </w:r>
    <w:r>
      <w:t xml:space="preserve"> 5 -</w:t>
    </w:r>
    <w:r>
      <w:fldChar w:fldCharType="end"/>
    </w:r>
    <w:r>
      <w:rPr>
        <w:rFonts w:asciiTheme="majorHAnsi" w:hAnsiTheme="majorHAnsi"/>
        <w:sz w:val="28"/>
        <w:szCs w:val="28"/>
        <w:lang w:val="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hNzY1Y2FhYzU5OTY2N2NjNjE4ZWQ3ZjZjYWM0ZjgifQ=="/>
  </w:docVars>
  <w:rsids>
    <w:rsidRoot w:val="00A9064C"/>
    <w:rsid w:val="000005AA"/>
    <w:rsid w:val="0000497B"/>
    <w:rsid w:val="000072D8"/>
    <w:rsid w:val="00012B22"/>
    <w:rsid w:val="00013AB6"/>
    <w:rsid w:val="00015F8B"/>
    <w:rsid w:val="000252B0"/>
    <w:rsid w:val="00034D54"/>
    <w:rsid w:val="0003705F"/>
    <w:rsid w:val="000377A7"/>
    <w:rsid w:val="00041003"/>
    <w:rsid w:val="000428EA"/>
    <w:rsid w:val="00047827"/>
    <w:rsid w:val="00047DDC"/>
    <w:rsid w:val="00052149"/>
    <w:rsid w:val="00065570"/>
    <w:rsid w:val="00071603"/>
    <w:rsid w:val="000742D2"/>
    <w:rsid w:val="00085BB3"/>
    <w:rsid w:val="00086CC9"/>
    <w:rsid w:val="00087C59"/>
    <w:rsid w:val="00092D8C"/>
    <w:rsid w:val="000A3E97"/>
    <w:rsid w:val="000A57EA"/>
    <w:rsid w:val="000A59AE"/>
    <w:rsid w:val="000A5D8E"/>
    <w:rsid w:val="000B4E0F"/>
    <w:rsid w:val="000C3125"/>
    <w:rsid w:val="000C73B2"/>
    <w:rsid w:val="000C7E4C"/>
    <w:rsid w:val="000D0C6C"/>
    <w:rsid w:val="000D236E"/>
    <w:rsid w:val="000E31AE"/>
    <w:rsid w:val="000E68E7"/>
    <w:rsid w:val="000F2198"/>
    <w:rsid w:val="000F361F"/>
    <w:rsid w:val="000F6950"/>
    <w:rsid w:val="00104409"/>
    <w:rsid w:val="001061C6"/>
    <w:rsid w:val="001128C3"/>
    <w:rsid w:val="0011406B"/>
    <w:rsid w:val="00114E7F"/>
    <w:rsid w:val="00115660"/>
    <w:rsid w:val="00117D00"/>
    <w:rsid w:val="00120B32"/>
    <w:rsid w:val="00123537"/>
    <w:rsid w:val="001257E8"/>
    <w:rsid w:val="00125EF3"/>
    <w:rsid w:val="00141998"/>
    <w:rsid w:val="001441F0"/>
    <w:rsid w:val="00145976"/>
    <w:rsid w:val="00147E98"/>
    <w:rsid w:val="0015011A"/>
    <w:rsid w:val="00150C9A"/>
    <w:rsid w:val="00152A71"/>
    <w:rsid w:val="001534D3"/>
    <w:rsid w:val="00161A4F"/>
    <w:rsid w:val="00162CDF"/>
    <w:rsid w:val="001674C8"/>
    <w:rsid w:val="001750FD"/>
    <w:rsid w:val="00177342"/>
    <w:rsid w:val="001812BA"/>
    <w:rsid w:val="001835F5"/>
    <w:rsid w:val="00184284"/>
    <w:rsid w:val="00185E10"/>
    <w:rsid w:val="001972C7"/>
    <w:rsid w:val="00197983"/>
    <w:rsid w:val="001A0542"/>
    <w:rsid w:val="001A05B8"/>
    <w:rsid w:val="001B3185"/>
    <w:rsid w:val="001B63B1"/>
    <w:rsid w:val="001B78DA"/>
    <w:rsid w:val="001B7909"/>
    <w:rsid w:val="001C3CEF"/>
    <w:rsid w:val="001C572E"/>
    <w:rsid w:val="001D00E3"/>
    <w:rsid w:val="001D0917"/>
    <w:rsid w:val="001D280C"/>
    <w:rsid w:val="001D2F3E"/>
    <w:rsid w:val="001D4CAA"/>
    <w:rsid w:val="001D6075"/>
    <w:rsid w:val="001E0640"/>
    <w:rsid w:val="001E30AF"/>
    <w:rsid w:val="001E5792"/>
    <w:rsid w:val="001E5CD3"/>
    <w:rsid w:val="001E7EF6"/>
    <w:rsid w:val="001F3CFC"/>
    <w:rsid w:val="001F3E1C"/>
    <w:rsid w:val="001F4068"/>
    <w:rsid w:val="001F73DC"/>
    <w:rsid w:val="002109C8"/>
    <w:rsid w:val="002157A3"/>
    <w:rsid w:val="00226639"/>
    <w:rsid w:val="00230D0F"/>
    <w:rsid w:val="002333DC"/>
    <w:rsid w:val="002350EB"/>
    <w:rsid w:val="002401F7"/>
    <w:rsid w:val="0024117A"/>
    <w:rsid w:val="00241316"/>
    <w:rsid w:val="00245CD5"/>
    <w:rsid w:val="0024782E"/>
    <w:rsid w:val="00250EE0"/>
    <w:rsid w:val="00252109"/>
    <w:rsid w:val="00254CF1"/>
    <w:rsid w:val="00262F6A"/>
    <w:rsid w:val="00272457"/>
    <w:rsid w:val="002729FB"/>
    <w:rsid w:val="002736E0"/>
    <w:rsid w:val="00276FBA"/>
    <w:rsid w:val="00277008"/>
    <w:rsid w:val="00277E7F"/>
    <w:rsid w:val="00280A6A"/>
    <w:rsid w:val="002816C5"/>
    <w:rsid w:val="00281E2A"/>
    <w:rsid w:val="002823BA"/>
    <w:rsid w:val="00283973"/>
    <w:rsid w:val="00285A36"/>
    <w:rsid w:val="00291062"/>
    <w:rsid w:val="0029314E"/>
    <w:rsid w:val="0029415C"/>
    <w:rsid w:val="00296AC6"/>
    <w:rsid w:val="002A0822"/>
    <w:rsid w:val="002A4B61"/>
    <w:rsid w:val="002A7438"/>
    <w:rsid w:val="002B5E16"/>
    <w:rsid w:val="002C58E6"/>
    <w:rsid w:val="002D0B38"/>
    <w:rsid w:val="002D0E76"/>
    <w:rsid w:val="002D19EC"/>
    <w:rsid w:val="002D7F76"/>
    <w:rsid w:val="002E7C23"/>
    <w:rsid w:val="002E7E67"/>
    <w:rsid w:val="002F381E"/>
    <w:rsid w:val="0030069C"/>
    <w:rsid w:val="00301529"/>
    <w:rsid w:val="00304BE4"/>
    <w:rsid w:val="00310E5A"/>
    <w:rsid w:val="0031267E"/>
    <w:rsid w:val="003134B5"/>
    <w:rsid w:val="003137A0"/>
    <w:rsid w:val="00315D54"/>
    <w:rsid w:val="00316860"/>
    <w:rsid w:val="0032582D"/>
    <w:rsid w:val="00343AF6"/>
    <w:rsid w:val="003507B6"/>
    <w:rsid w:val="00352A9F"/>
    <w:rsid w:val="003542AC"/>
    <w:rsid w:val="00356DFD"/>
    <w:rsid w:val="00357938"/>
    <w:rsid w:val="00357CBB"/>
    <w:rsid w:val="00360959"/>
    <w:rsid w:val="00360D1D"/>
    <w:rsid w:val="00362166"/>
    <w:rsid w:val="00362AD0"/>
    <w:rsid w:val="00370274"/>
    <w:rsid w:val="0037089A"/>
    <w:rsid w:val="0037368C"/>
    <w:rsid w:val="003816BB"/>
    <w:rsid w:val="0039111A"/>
    <w:rsid w:val="003A1E8A"/>
    <w:rsid w:val="003A4AAD"/>
    <w:rsid w:val="003A4FD0"/>
    <w:rsid w:val="003B0698"/>
    <w:rsid w:val="003B27E5"/>
    <w:rsid w:val="003B2ED1"/>
    <w:rsid w:val="003C4461"/>
    <w:rsid w:val="003D13DD"/>
    <w:rsid w:val="003D2584"/>
    <w:rsid w:val="003D57FA"/>
    <w:rsid w:val="003D6701"/>
    <w:rsid w:val="003D7403"/>
    <w:rsid w:val="003E21F3"/>
    <w:rsid w:val="003E3133"/>
    <w:rsid w:val="003E32F1"/>
    <w:rsid w:val="003E335F"/>
    <w:rsid w:val="003E3E43"/>
    <w:rsid w:val="003E4207"/>
    <w:rsid w:val="003E6F66"/>
    <w:rsid w:val="004033C6"/>
    <w:rsid w:val="0041576A"/>
    <w:rsid w:val="00422A9E"/>
    <w:rsid w:val="00423DDF"/>
    <w:rsid w:val="00425730"/>
    <w:rsid w:val="004313B2"/>
    <w:rsid w:val="00431CD8"/>
    <w:rsid w:val="00432BC7"/>
    <w:rsid w:val="00435B32"/>
    <w:rsid w:val="004438C6"/>
    <w:rsid w:val="00450588"/>
    <w:rsid w:val="00450EF9"/>
    <w:rsid w:val="00454371"/>
    <w:rsid w:val="00457C16"/>
    <w:rsid w:val="0046416A"/>
    <w:rsid w:val="004665D5"/>
    <w:rsid w:val="004677E3"/>
    <w:rsid w:val="00471650"/>
    <w:rsid w:val="00472B68"/>
    <w:rsid w:val="004737E7"/>
    <w:rsid w:val="0047403E"/>
    <w:rsid w:val="004824E4"/>
    <w:rsid w:val="0048316F"/>
    <w:rsid w:val="004833DD"/>
    <w:rsid w:val="00490D4A"/>
    <w:rsid w:val="00491790"/>
    <w:rsid w:val="0049268D"/>
    <w:rsid w:val="004926BD"/>
    <w:rsid w:val="0049535A"/>
    <w:rsid w:val="004A255D"/>
    <w:rsid w:val="004A34B4"/>
    <w:rsid w:val="004B6892"/>
    <w:rsid w:val="004D1CB4"/>
    <w:rsid w:val="004D5CFC"/>
    <w:rsid w:val="004D7262"/>
    <w:rsid w:val="004E35B7"/>
    <w:rsid w:val="004E49E7"/>
    <w:rsid w:val="004F0E8B"/>
    <w:rsid w:val="004F2A1D"/>
    <w:rsid w:val="0050075D"/>
    <w:rsid w:val="00503DFD"/>
    <w:rsid w:val="005046C1"/>
    <w:rsid w:val="00526616"/>
    <w:rsid w:val="00533F89"/>
    <w:rsid w:val="00534AA5"/>
    <w:rsid w:val="00541AB0"/>
    <w:rsid w:val="00542F28"/>
    <w:rsid w:val="00543042"/>
    <w:rsid w:val="00544B70"/>
    <w:rsid w:val="00547FBE"/>
    <w:rsid w:val="00552976"/>
    <w:rsid w:val="005567C2"/>
    <w:rsid w:val="0056009B"/>
    <w:rsid w:val="00562A5B"/>
    <w:rsid w:val="005723AE"/>
    <w:rsid w:val="00573A6D"/>
    <w:rsid w:val="00576C90"/>
    <w:rsid w:val="0057771A"/>
    <w:rsid w:val="00582018"/>
    <w:rsid w:val="00582F03"/>
    <w:rsid w:val="005921AB"/>
    <w:rsid w:val="005B0E21"/>
    <w:rsid w:val="005B2D5E"/>
    <w:rsid w:val="005B6F8C"/>
    <w:rsid w:val="005C0385"/>
    <w:rsid w:val="005C171B"/>
    <w:rsid w:val="005C1C51"/>
    <w:rsid w:val="005C2882"/>
    <w:rsid w:val="005D1EB3"/>
    <w:rsid w:val="005E5F4E"/>
    <w:rsid w:val="005F0B2C"/>
    <w:rsid w:val="005F3609"/>
    <w:rsid w:val="005F3A2B"/>
    <w:rsid w:val="005F57CD"/>
    <w:rsid w:val="005F6E01"/>
    <w:rsid w:val="0060284C"/>
    <w:rsid w:val="00604017"/>
    <w:rsid w:val="006046E1"/>
    <w:rsid w:val="00604FF2"/>
    <w:rsid w:val="00612DCD"/>
    <w:rsid w:val="006132A7"/>
    <w:rsid w:val="006137B3"/>
    <w:rsid w:val="00620DEA"/>
    <w:rsid w:val="00623AA2"/>
    <w:rsid w:val="00623C69"/>
    <w:rsid w:val="006269AA"/>
    <w:rsid w:val="006277D5"/>
    <w:rsid w:val="00634190"/>
    <w:rsid w:val="006435F9"/>
    <w:rsid w:val="00650E10"/>
    <w:rsid w:val="00654270"/>
    <w:rsid w:val="0065468A"/>
    <w:rsid w:val="006623EE"/>
    <w:rsid w:val="006631E8"/>
    <w:rsid w:val="00663977"/>
    <w:rsid w:val="006647D5"/>
    <w:rsid w:val="00665466"/>
    <w:rsid w:val="006660F5"/>
    <w:rsid w:val="006675AC"/>
    <w:rsid w:val="00671D96"/>
    <w:rsid w:val="00676731"/>
    <w:rsid w:val="006769B2"/>
    <w:rsid w:val="00677894"/>
    <w:rsid w:val="006805AA"/>
    <w:rsid w:val="006927FA"/>
    <w:rsid w:val="00694F40"/>
    <w:rsid w:val="006A0444"/>
    <w:rsid w:val="006A2A07"/>
    <w:rsid w:val="006A41EE"/>
    <w:rsid w:val="006A5E76"/>
    <w:rsid w:val="006B0F4E"/>
    <w:rsid w:val="006B2A0B"/>
    <w:rsid w:val="006B6C68"/>
    <w:rsid w:val="006C2579"/>
    <w:rsid w:val="006C503B"/>
    <w:rsid w:val="006C7F44"/>
    <w:rsid w:val="006D2282"/>
    <w:rsid w:val="006D2F81"/>
    <w:rsid w:val="006D35F0"/>
    <w:rsid w:val="006D6D43"/>
    <w:rsid w:val="006D7215"/>
    <w:rsid w:val="006E1CD4"/>
    <w:rsid w:val="006F726F"/>
    <w:rsid w:val="0070588F"/>
    <w:rsid w:val="00706FBA"/>
    <w:rsid w:val="00707B78"/>
    <w:rsid w:val="00715C46"/>
    <w:rsid w:val="007161FA"/>
    <w:rsid w:val="00722660"/>
    <w:rsid w:val="00723ACB"/>
    <w:rsid w:val="00724C90"/>
    <w:rsid w:val="00726CB8"/>
    <w:rsid w:val="007321EA"/>
    <w:rsid w:val="00732839"/>
    <w:rsid w:val="007347DE"/>
    <w:rsid w:val="007362A0"/>
    <w:rsid w:val="007451DD"/>
    <w:rsid w:val="007469FD"/>
    <w:rsid w:val="0074764C"/>
    <w:rsid w:val="00747EB1"/>
    <w:rsid w:val="0075255A"/>
    <w:rsid w:val="007535DD"/>
    <w:rsid w:val="00753885"/>
    <w:rsid w:val="00755C66"/>
    <w:rsid w:val="00755FC4"/>
    <w:rsid w:val="00756EBA"/>
    <w:rsid w:val="0076045C"/>
    <w:rsid w:val="007611CF"/>
    <w:rsid w:val="00766372"/>
    <w:rsid w:val="00774449"/>
    <w:rsid w:val="0078507E"/>
    <w:rsid w:val="00794D99"/>
    <w:rsid w:val="007A034F"/>
    <w:rsid w:val="007A2A78"/>
    <w:rsid w:val="007A4565"/>
    <w:rsid w:val="007A4C2D"/>
    <w:rsid w:val="007A5D40"/>
    <w:rsid w:val="007A716A"/>
    <w:rsid w:val="007B2C24"/>
    <w:rsid w:val="007B749C"/>
    <w:rsid w:val="007C21B6"/>
    <w:rsid w:val="007C4E76"/>
    <w:rsid w:val="007D030E"/>
    <w:rsid w:val="007D2FAB"/>
    <w:rsid w:val="007D770C"/>
    <w:rsid w:val="007E0078"/>
    <w:rsid w:val="007F056A"/>
    <w:rsid w:val="007F10D6"/>
    <w:rsid w:val="007F12E2"/>
    <w:rsid w:val="007F6230"/>
    <w:rsid w:val="00801140"/>
    <w:rsid w:val="008053B4"/>
    <w:rsid w:val="0081461A"/>
    <w:rsid w:val="00815A99"/>
    <w:rsid w:val="008206C3"/>
    <w:rsid w:val="0082657E"/>
    <w:rsid w:val="008265D0"/>
    <w:rsid w:val="008314F6"/>
    <w:rsid w:val="00833D6C"/>
    <w:rsid w:val="0083401A"/>
    <w:rsid w:val="00834CAF"/>
    <w:rsid w:val="00835F1A"/>
    <w:rsid w:val="00841C86"/>
    <w:rsid w:val="008447C9"/>
    <w:rsid w:val="00845FDA"/>
    <w:rsid w:val="00853AAC"/>
    <w:rsid w:val="00854421"/>
    <w:rsid w:val="00857C87"/>
    <w:rsid w:val="00863B6E"/>
    <w:rsid w:val="00864939"/>
    <w:rsid w:val="00867823"/>
    <w:rsid w:val="00871F8C"/>
    <w:rsid w:val="00872D0D"/>
    <w:rsid w:val="008747D7"/>
    <w:rsid w:val="008833DB"/>
    <w:rsid w:val="0088383B"/>
    <w:rsid w:val="0088695E"/>
    <w:rsid w:val="008906F6"/>
    <w:rsid w:val="00896CB6"/>
    <w:rsid w:val="00897908"/>
    <w:rsid w:val="008A15E3"/>
    <w:rsid w:val="008B03C2"/>
    <w:rsid w:val="008B177F"/>
    <w:rsid w:val="008B2B31"/>
    <w:rsid w:val="008B4C5B"/>
    <w:rsid w:val="008B569D"/>
    <w:rsid w:val="008C15CF"/>
    <w:rsid w:val="008C2770"/>
    <w:rsid w:val="008C2BC5"/>
    <w:rsid w:val="008D235E"/>
    <w:rsid w:val="008D3814"/>
    <w:rsid w:val="008E04AF"/>
    <w:rsid w:val="008E22BE"/>
    <w:rsid w:val="008E3EFC"/>
    <w:rsid w:val="008E5409"/>
    <w:rsid w:val="008F164E"/>
    <w:rsid w:val="008F1FEA"/>
    <w:rsid w:val="008F3CD8"/>
    <w:rsid w:val="008F666F"/>
    <w:rsid w:val="00900945"/>
    <w:rsid w:val="00902DBE"/>
    <w:rsid w:val="00906815"/>
    <w:rsid w:val="00907575"/>
    <w:rsid w:val="00916C73"/>
    <w:rsid w:val="009173E3"/>
    <w:rsid w:val="0092741F"/>
    <w:rsid w:val="009318BD"/>
    <w:rsid w:val="00931E74"/>
    <w:rsid w:val="00933777"/>
    <w:rsid w:val="00934E28"/>
    <w:rsid w:val="00937529"/>
    <w:rsid w:val="00942B1F"/>
    <w:rsid w:val="00944040"/>
    <w:rsid w:val="00944511"/>
    <w:rsid w:val="00944AE6"/>
    <w:rsid w:val="009519D2"/>
    <w:rsid w:val="00955FA2"/>
    <w:rsid w:val="0096403E"/>
    <w:rsid w:val="009647EE"/>
    <w:rsid w:val="0096551A"/>
    <w:rsid w:val="00967228"/>
    <w:rsid w:val="00971636"/>
    <w:rsid w:val="009749C2"/>
    <w:rsid w:val="009822D0"/>
    <w:rsid w:val="00982CA4"/>
    <w:rsid w:val="0099291E"/>
    <w:rsid w:val="00994F56"/>
    <w:rsid w:val="00996FE4"/>
    <w:rsid w:val="009A0F10"/>
    <w:rsid w:val="009A20C0"/>
    <w:rsid w:val="009A3615"/>
    <w:rsid w:val="009A4D31"/>
    <w:rsid w:val="009B1E74"/>
    <w:rsid w:val="009B4A60"/>
    <w:rsid w:val="009B7EF8"/>
    <w:rsid w:val="009C3395"/>
    <w:rsid w:val="009C3DD6"/>
    <w:rsid w:val="009C445D"/>
    <w:rsid w:val="009C54B2"/>
    <w:rsid w:val="009D4CBA"/>
    <w:rsid w:val="009E065D"/>
    <w:rsid w:val="009E0973"/>
    <w:rsid w:val="009E2A17"/>
    <w:rsid w:val="009E4F8C"/>
    <w:rsid w:val="009E55DE"/>
    <w:rsid w:val="009F0BE2"/>
    <w:rsid w:val="009F7543"/>
    <w:rsid w:val="00A00E4C"/>
    <w:rsid w:val="00A05192"/>
    <w:rsid w:val="00A0571F"/>
    <w:rsid w:val="00A05E31"/>
    <w:rsid w:val="00A067D6"/>
    <w:rsid w:val="00A0713A"/>
    <w:rsid w:val="00A2128C"/>
    <w:rsid w:val="00A22405"/>
    <w:rsid w:val="00A2748F"/>
    <w:rsid w:val="00A32BAC"/>
    <w:rsid w:val="00A331F8"/>
    <w:rsid w:val="00A33363"/>
    <w:rsid w:val="00A33C95"/>
    <w:rsid w:val="00A35CD3"/>
    <w:rsid w:val="00A36A38"/>
    <w:rsid w:val="00A451E4"/>
    <w:rsid w:val="00A50545"/>
    <w:rsid w:val="00A532B5"/>
    <w:rsid w:val="00A5504A"/>
    <w:rsid w:val="00A6638E"/>
    <w:rsid w:val="00A73532"/>
    <w:rsid w:val="00A7601B"/>
    <w:rsid w:val="00A8080A"/>
    <w:rsid w:val="00A81D54"/>
    <w:rsid w:val="00A9064C"/>
    <w:rsid w:val="00A91D63"/>
    <w:rsid w:val="00A937EA"/>
    <w:rsid w:val="00AA1404"/>
    <w:rsid w:val="00AA63A7"/>
    <w:rsid w:val="00AA667B"/>
    <w:rsid w:val="00AB0A81"/>
    <w:rsid w:val="00AC1879"/>
    <w:rsid w:val="00AC2AFD"/>
    <w:rsid w:val="00AC3DA5"/>
    <w:rsid w:val="00AC4B00"/>
    <w:rsid w:val="00AC4F3A"/>
    <w:rsid w:val="00AD1DB1"/>
    <w:rsid w:val="00AD2ED6"/>
    <w:rsid w:val="00AD663B"/>
    <w:rsid w:val="00AE167D"/>
    <w:rsid w:val="00AE2EA4"/>
    <w:rsid w:val="00AE4234"/>
    <w:rsid w:val="00AE58A1"/>
    <w:rsid w:val="00AE69DD"/>
    <w:rsid w:val="00AF5294"/>
    <w:rsid w:val="00AF5A7E"/>
    <w:rsid w:val="00AF76A6"/>
    <w:rsid w:val="00B004D4"/>
    <w:rsid w:val="00B02969"/>
    <w:rsid w:val="00B02E1B"/>
    <w:rsid w:val="00B07363"/>
    <w:rsid w:val="00B10213"/>
    <w:rsid w:val="00B13E1A"/>
    <w:rsid w:val="00B16B0D"/>
    <w:rsid w:val="00B3216D"/>
    <w:rsid w:val="00B32413"/>
    <w:rsid w:val="00B325C7"/>
    <w:rsid w:val="00B372CA"/>
    <w:rsid w:val="00B41585"/>
    <w:rsid w:val="00B509F7"/>
    <w:rsid w:val="00B556E6"/>
    <w:rsid w:val="00B56F25"/>
    <w:rsid w:val="00B761E0"/>
    <w:rsid w:val="00B77634"/>
    <w:rsid w:val="00B80560"/>
    <w:rsid w:val="00B81C45"/>
    <w:rsid w:val="00B82BF1"/>
    <w:rsid w:val="00B82E15"/>
    <w:rsid w:val="00B84F01"/>
    <w:rsid w:val="00B9342D"/>
    <w:rsid w:val="00BA75ED"/>
    <w:rsid w:val="00BB100B"/>
    <w:rsid w:val="00BB150C"/>
    <w:rsid w:val="00BB3A4D"/>
    <w:rsid w:val="00BC068C"/>
    <w:rsid w:val="00BC2BDD"/>
    <w:rsid w:val="00BC49A4"/>
    <w:rsid w:val="00BC57B1"/>
    <w:rsid w:val="00BC693B"/>
    <w:rsid w:val="00BD4D89"/>
    <w:rsid w:val="00BD6628"/>
    <w:rsid w:val="00BE148F"/>
    <w:rsid w:val="00BE2223"/>
    <w:rsid w:val="00BE486E"/>
    <w:rsid w:val="00BE5938"/>
    <w:rsid w:val="00BF19F2"/>
    <w:rsid w:val="00BF48E5"/>
    <w:rsid w:val="00C04287"/>
    <w:rsid w:val="00C060C5"/>
    <w:rsid w:val="00C06261"/>
    <w:rsid w:val="00C066C4"/>
    <w:rsid w:val="00C10F8A"/>
    <w:rsid w:val="00C114D4"/>
    <w:rsid w:val="00C14772"/>
    <w:rsid w:val="00C15DB3"/>
    <w:rsid w:val="00C201E1"/>
    <w:rsid w:val="00C23ABA"/>
    <w:rsid w:val="00C25B37"/>
    <w:rsid w:val="00C3015F"/>
    <w:rsid w:val="00C31842"/>
    <w:rsid w:val="00C41EFF"/>
    <w:rsid w:val="00C4418F"/>
    <w:rsid w:val="00C52C4C"/>
    <w:rsid w:val="00C544B6"/>
    <w:rsid w:val="00C54D68"/>
    <w:rsid w:val="00C62CEB"/>
    <w:rsid w:val="00C6462F"/>
    <w:rsid w:val="00C7133D"/>
    <w:rsid w:val="00C75D12"/>
    <w:rsid w:val="00C770B0"/>
    <w:rsid w:val="00C77E0E"/>
    <w:rsid w:val="00C813DF"/>
    <w:rsid w:val="00C86EC3"/>
    <w:rsid w:val="00C92511"/>
    <w:rsid w:val="00C9284A"/>
    <w:rsid w:val="00C9357D"/>
    <w:rsid w:val="00C9423C"/>
    <w:rsid w:val="00CA0AF5"/>
    <w:rsid w:val="00CA61CA"/>
    <w:rsid w:val="00CA6F14"/>
    <w:rsid w:val="00CA75F3"/>
    <w:rsid w:val="00CB458A"/>
    <w:rsid w:val="00CB6F0B"/>
    <w:rsid w:val="00CB72BA"/>
    <w:rsid w:val="00CC0B97"/>
    <w:rsid w:val="00CC23E3"/>
    <w:rsid w:val="00CC3EFC"/>
    <w:rsid w:val="00CC557F"/>
    <w:rsid w:val="00CC791D"/>
    <w:rsid w:val="00CD00B4"/>
    <w:rsid w:val="00CD28E7"/>
    <w:rsid w:val="00CE4627"/>
    <w:rsid w:val="00CE5B25"/>
    <w:rsid w:val="00CF0208"/>
    <w:rsid w:val="00CF2D6A"/>
    <w:rsid w:val="00CF2F02"/>
    <w:rsid w:val="00CF59DE"/>
    <w:rsid w:val="00D003FE"/>
    <w:rsid w:val="00D01A24"/>
    <w:rsid w:val="00D0523D"/>
    <w:rsid w:val="00D05290"/>
    <w:rsid w:val="00D07138"/>
    <w:rsid w:val="00D07463"/>
    <w:rsid w:val="00D1714F"/>
    <w:rsid w:val="00D21EE1"/>
    <w:rsid w:val="00D27EF1"/>
    <w:rsid w:val="00D342BD"/>
    <w:rsid w:val="00D406F8"/>
    <w:rsid w:val="00D4079D"/>
    <w:rsid w:val="00D441D4"/>
    <w:rsid w:val="00D44557"/>
    <w:rsid w:val="00D56072"/>
    <w:rsid w:val="00D57218"/>
    <w:rsid w:val="00D60293"/>
    <w:rsid w:val="00D66E10"/>
    <w:rsid w:val="00D7294B"/>
    <w:rsid w:val="00D762A6"/>
    <w:rsid w:val="00D7693C"/>
    <w:rsid w:val="00D80713"/>
    <w:rsid w:val="00D8720C"/>
    <w:rsid w:val="00D910D8"/>
    <w:rsid w:val="00D934C3"/>
    <w:rsid w:val="00D95F45"/>
    <w:rsid w:val="00DA03BD"/>
    <w:rsid w:val="00DA0D71"/>
    <w:rsid w:val="00DA1A11"/>
    <w:rsid w:val="00DA248A"/>
    <w:rsid w:val="00DA3654"/>
    <w:rsid w:val="00DA3D4E"/>
    <w:rsid w:val="00DA57AE"/>
    <w:rsid w:val="00DA6B65"/>
    <w:rsid w:val="00DB4504"/>
    <w:rsid w:val="00DB59E1"/>
    <w:rsid w:val="00DB6442"/>
    <w:rsid w:val="00DC4725"/>
    <w:rsid w:val="00DC61C4"/>
    <w:rsid w:val="00DD565B"/>
    <w:rsid w:val="00DE0B90"/>
    <w:rsid w:val="00DE1660"/>
    <w:rsid w:val="00DE2510"/>
    <w:rsid w:val="00DE3A1A"/>
    <w:rsid w:val="00DE4A74"/>
    <w:rsid w:val="00DE6328"/>
    <w:rsid w:val="00DE7F70"/>
    <w:rsid w:val="00E018C2"/>
    <w:rsid w:val="00E0301F"/>
    <w:rsid w:val="00E10A33"/>
    <w:rsid w:val="00E12A14"/>
    <w:rsid w:val="00E20083"/>
    <w:rsid w:val="00E22248"/>
    <w:rsid w:val="00E256ED"/>
    <w:rsid w:val="00E331F4"/>
    <w:rsid w:val="00E423D2"/>
    <w:rsid w:val="00E52524"/>
    <w:rsid w:val="00E547E9"/>
    <w:rsid w:val="00E54E5B"/>
    <w:rsid w:val="00E55A76"/>
    <w:rsid w:val="00E55DB4"/>
    <w:rsid w:val="00E57C0A"/>
    <w:rsid w:val="00E7477B"/>
    <w:rsid w:val="00E75D93"/>
    <w:rsid w:val="00E77BEB"/>
    <w:rsid w:val="00E801B0"/>
    <w:rsid w:val="00E81935"/>
    <w:rsid w:val="00E929BE"/>
    <w:rsid w:val="00E9433A"/>
    <w:rsid w:val="00E95DB6"/>
    <w:rsid w:val="00EA2786"/>
    <w:rsid w:val="00EA32E8"/>
    <w:rsid w:val="00EA60E9"/>
    <w:rsid w:val="00EB2446"/>
    <w:rsid w:val="00EB380F"/>
    <w:rsid w:val="00EB60CD"/>
    <w:rsid w:val="00EC26A7"/>
    <w:rsid w:val="00EC6B6E"/>
    <w:rsid w:val="00ED282D"/>
    <w:rsid w:val="00ED5F11"/>
    <w:rsid w:val="00EE05B9"/>
    <w:rsid w:val="00EE081C"/>
    <w:rsid w:val="00EE1091"/>
    <w:rsid w:val="00EE1843"/>
    <w:rsid w:val="00EE3987"/>
    <w:rsid w:val="00EE4DB4"/>
    <w:rsid w:val="00EE527B"/>
    <w:rsid w:val="00EF3EF7"/>
    <w:rsid w:val="00EF652E"/>
    <w:rsid w:val="00EF6841"/>
    <w:rsid w:val="00F007BD"/>
    <w:rsid w:val="00F04697"/>
    <w:rsid w:val="00F11E7F"/>
    <w:rsid w:val="00F1449A"/>
    <w:rsid w:val="00F15B03"/>
    <w:rsid w:val="00F23B31"/>
    <w:rsid w:val="00F24B3D"/>
    <w:rsid w:val="00F30459"/>
    <w:rsid w:val="00F32814"/>
    <w:rsid w:val="00F35ADD"/>
    <w:rsid w:val="00F40CE6"/>
    <w:rsid w:val="00F61E4D"/>
    <w:rsid w:val="00F7582C"/>
    <w:rsid w:val="00F80615"/>
    <w:rsid w:val="00F82C80"/>
    <w:rsid w:val="00F8721E"/>
    <w:rsid w:val="00F87B15"/>
    <w:rsid w:val="00F95CFB"/>
    <w:rsid w:val="00FA07EB"/>
    <w:rsid w:val="00FA421A"/>
    <w:rsid w:val="00FA5254"/>
    <w:rsid w:val="00FB10F8"/>
    <w:rsid w:val="00FC10BB"/>
    <w:rsid w:val="00FC17FE"/>
    <w:rsid w:val="00FC687F"/>
    <w:rsid w:val="00FC6C40"/>
    <w:rsid w:val="00FD05E1"/>
    <w:rsid w:val="00FE2778"/>
    <w:rsid w:val="00FE5225"/>
    <w:rsid w:val="00FE717C"/>
    <w:rsid w:val="00FF7853"/>
    <w:rsid w:val="018A18DF"/>
    <w:rsid w:val="0E30588C"/>
    <w:rsid w:val="1E8228A6"/>
    <w:rsid w:val="1F634321"/>
    <w:rsid w:val="3C1B3654"/>
    <w:rsid w:val="41E44164"/>
    <w:rsid w:val="57D559A2"/>
    <w:rsid w:val="59B02EC7"/>
    <w:rsid w:val="63556314"/>
    <w:rsid w:val="68757FB7"/>
    <w:rsid w:val="6EB627F6"/>
    <w:rsid w:val="74201A34"/>
    <w:rsid w:val="774D41FA"/>
    <w:rsid w:val="79D86BAE"/>
    <w:rsid w:val="7BC741CB"/>
    <w:rsid w:val="7D5F6459"/>
    <w:rsid w:val="7EA05DB4"/>
    <w:rsid w:val="7F635ACA"/>
    <w:rsid w:val="7F7820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opLinePunct/>
      <w:adjustRightInd w:val="0"/>
      <w:snapToGrid w:val="0"/>
      <w:spacing w:line="360" w:lineRule="auto"/>
      <w:ind w:firstLine="200" w:firstLineChars="200"/>
    </w:pPr>
    <w:rPr>
      <w:rFonts w:ascii="Times New Roman" w:hAnsi="Times New Roman" w:eastAsia="宋体" w:cs="Times New Roman"/>
      <w:sz w:val="21"/>
      <w:lang w:val="en-US" w:eastAsia="zh-CN" w:bidi="ar-SA"/>
    </w:rPr>
  </w:style>
  <w:style w:type="paragraph" w:styleId="2">
    <w:name w:val="heading 1"/>
    <w:basedOn w:val="1"/>
    <w:next w:val="1"/>
    <w:link w:val="26"/>
    <w:qFormat/>
    <w:uiPriority w:val="0"/>
    <w:pPr>
      <w:keepNext/>
      <w:keepLines/>
      <w:spacing w:before="100" w:beforeAutospacing="1" w:after="100" w:afterAutospacing="1"/>
      <w:ind w:firstLine="0" w:firstLineChars="0"/>
      <w:jc w:val="center"/>
      <w:outlineLvl w:val="0"/>
    </w:pPr>
    <w:rPr>
      <w:rFonts w:eastAsia="黑体" w:cs="宋体"/>
      <w:b/>
      <w:bCs/>
      <w:kern w:val="44"/>
      <w:sz w:val="30"/>
      <w:szCs w:val="44"/>
    </w:rPr>
  </w:style>
  <w:style w:type="paragraph" w:styleId="3">
    <w:name w:val="heading 2"/>
    <w:basedOn w:val="1"/>
    <w:next w:val="1"/>
    <w:link w:val="27"/>
    <w:qFormat/>
    <w:uiPriority w:val="0"/>
    <w:pPr>
      <w:keepNext/>
      <w:keepLines/>
      <w:outlineLvl w:val="1"/>
    </w:pPr>
    <w:rPr>
      <w:rFonts w:ascii="Arial" w:hAnsi="Arial"/>
      <w:b/>
      <w:bCs/>
      <w:kern w:val="2"/>
      <w:szCs w:val="32"/>
    </w:rPr>
  </w:style>
  <w:style w:type="paragraph" w:styleId="4">
    <w:name w:val="heading 3"/>
    <w:basedOn w:val="1"/>
    <w:next w:val="1"/>
    <w:link w:val="31"/>
    <w:qFormat/>
    <w:uiPriority w:val="0"/>
    <w:pPr>
      <w:keepNext/>
      <w:keepLines/>
      <w:jc w:val="both"/>
      <w:outlineLvl w:val="2"/>
    </w:pPr>
    <w:rPr>
      <w:rFonts w:ascii="宋体" w:hAnsi="宋体" w:cs="宋体"/>
      <w:b/>
      <w:bCs/>
      <w:kern w:val="2"/>
      <w:szCs w:val="32"/>
    </w:rPr>
  </w:style>
  <w:style w:type="character" w:default="1" w:styleId="19">
    <w:name w:val="Default Paragraph Font"/>
    <w:semiHidden/>
    <w:unhideWhenUsed/>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58"/>
    <w:semiHidden/>
    <w:unhideWhenUsed/>
    <w:qFormat/>
    <w:uiPriority w:val="99"/>
    <w:pPr>
      <w:topLinePunct/>
      <w:adjustRightInd w:val="0"/>
      <w:snapToGrid w:val="0"/>
      <w:spacing w:line="360" w:lineRule="auto"/>
      <w:ind w:firstLine="200" w:firstLineChars="200"/>
    </w:pPr>
    <w:rPr>
      <w:b/>
      <w:bCs/>
      <w:sz w:val="21"/>
    </w:rPr>
  </w:style>
  <w:style w:type="paragraph" w:styleId="6">
    <w:name w:val="annotation text"/>
    <w:basedOn w:val="1"/>
    <w:link w:val="49"/>
    <w:semiHidden/>
    <w:qFormat/>
    <w:uiPriority w:val="0"/>
    <w:pPr>
      <w:topLinePunct w:val="0"/>
      <w:adjustRightInd/>
      <w:snapToGrid/>
      <w:spacing w:line="240" w:lineRule="auto"/>
      <w:ind w:firstLine="0" w:firstLineChars="0"/>
    </w:pPr>
    <w:rPr>
      <w:sz w:val="24"/>
    </w:rPr>
  </w:style>
  <w:style w:type="paragraph" w:styleId="7">
    <w:name w:val="Body Text First Indent"/>
    <w:basedOn w:val="8"/>
    <w:next w:val="1"/>
    <w:link w:val="52"/>
    <w:qFormat/>
    <w:uiPriority w:val="0"/>
    <w:pPr>
      <w:widowControl/>
      <w:topLinePunct w:val="0"/>
      <w:adjustRightInd/>
      <w:spacing w:before="60" w:line="240" w:lineRule="auto"/>
      <w:ind w:right="113" w:firstLine="420" w:firstLineChars="100"/>
      <w:jc w:val="both"/>
    </w:pPr>
    <w:rPr>
      <w:kern w:val="2"/>
    </w:rPr>
  </w:style>
  <w:style w:type="paragraph" w:styleId="8">
    <w:name w:val="Body Text"/>
    <w:basedOn w:val="1"/>
    <w:link w:val="51"/>
    <w:semiHidden/>
    <w:unhideWhenUsed/>
    <w:qFormat/>
    <w:uiPriority w:val="99"/>
    <w:pPr>
      <w:spacing w:after="120"/>
    </w:pPr>
  </w:style>
  <w:style w:type="paragraph" w:styleId="9">
    <w:name w:val="Normal Indent"/>
    <w:basedOn w:val="1"/>
    <w:unhideWhenUsed/>
    <w:qFormat/>
    <w:uiPriority w:val="0"/>
    <w:pPr>
      <w:ind w:firstLine="420"/>
    </w:pPr>
  </w:style>
  <w:style w:type="paragraph" w:styleId="10">
    <w:name w:val="Body Text Indent"/>
    <w:basedOn w:val="1"/>
    <w:link w:val="60"/>
    <w:semiHidden/>
    <w:unhideWhenUsed/>
    <w:qFormat/>
    <w:uiPriority w:val="99"/>
    <w:pPr>
      <w:spacing w:after="120"/>
      <w:ind w:left="420" w:leftChars="200"/>
    </w:pPr>
  </w:style>
  <w:style w:type="paragraph" w:styleId="11">
    <w:name w:val="Block Text"/>
    <w:basedOn w:val="1"/>
    <w:qFormat/>
    <w:uiPriority w:val="0"/>
    <w:pPr>
      <w:topLinePunct w:val="0"/>
      <w:adjustRightInd/>
      <w:snapToGrid/>
      <w:spacing w:line="240" w:lineRule="auto"/>
      <w:ind w:left="113" w:right="113" w:firstLine="0" w:firstLineChars="0"/>
      <w:jc w:val="both"/>
    </w:pPr>
    <w:rPr>
      <w:kern w:val="2"/>
      <w:sz w:val="28"/>
      <w:szCs w:val="24"/>
    </w:rPr>
  </w:style>
  <w:style w:type="paragraph" w:styleId="12">
    <w:name w:val="Plain Text"/>
    <w:next w:val="1"/>
    <w:link w:val="30"/>
    <w:qFormat/>
    <w:uiPriority w:val="0"/>
    <w:pPr>
      <w:jc w:val="center"/>
    </w:pPr>
    <w:rPr>
      <w:rFonts w:ascii="Times New Roman" w:hAnsi="Times New Roman" w:eastAsia="宋体" w:cs="Times New Roman"/>
      <w:b/>
      <w:w w:val="90"/>
      <w:kern w:val="2"/>
      <w:sz w:val="21"/>
      <w:szCs w:val="44"/>
      <w:lang w:val="en-US" w:eastAsia="zh-CN" w:bidi="ar-SA"/>
    </w:rPr>
  </w:style>
  <w:style w:type="paragraph" w:styleId="13">
    <w:name w:val="Balloon Text"/>
    <w:basedOn w:val="1"/>
    <w:link w:val="47"/>
    <w:semiHidden/>
    <w:unhideWhenUsed/>
    <w:qFormat/>
    <w:uiPriority w:val="99"/>
    <w:pPr>
      <w:spacing w:line="240" w:lineRule="auto"/>
    </w:pPr>
    <w:rPr>
      <w:sz w:val="18"/>
      <w:szCs w:val="18"/>
    </w:rPr>
  </w:style>
  <w:style w:type="paragraph" w:styleId="14">
    <w:name w:val="footer"/>
    <w:basedOn w:val="1"/>
    <w:link w:val="43"/>
    <w:unhideWhenUsed/>
    <w:qFormat/>
    <w:uiPriority w:val="0"/>
    <w:pPr>
      <w:tabs>
        <w:tab w:val="center" w:pos="4153"/>
        <w:tab w:val="right" w:pos="8306"/>
      </w:tabs>
      <w:spacing w:line="240" w:lineRule="auto"/>
    </w:pPr>
    <w:rPr>
      <w:sz w:val="18"/>
      <w:szCs w:val="18"/>
    </w:rPr>
  </w:style>
  <w:style w:type="paragraph" w:styleId="15">
    <w:name w:val="Body Text First Indent 2"/>
    <w:basedOn w:val="10"/>
    <w:next w:val="7"/>
    <w:link w:val="61"/>
    <w:unhideWhenUsed/>
    <w:qFormat/>
    <w:uiPriority w:val="99"/>
    <w:pPr>
      <w:ind w:firstLine="420"/>
    </w:pPr>
  </w:style>
  <w:style w:type="paragraph" w:styleId="16">
    <w:name w:val="header"/>
    <w:basedOn w:val="1"/>
    <w:link w:val="42"/>
    <w:semiHidden/>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17">
    <w:name w:val="Normal (Web)"/>
    <w:basedOn w:val="1"/>
    <w:link w:val="36"/>
    <w:qFormat/>
    <w:uiPriority w:val="0"/>
    <w:pPr>
      <w:widowControl/>
      <w:topLinePunct w:val="0"/>
      <w:spacing w:before="100" w:beforeAutospacing="1" w:after="100" w:afterAutospacing="1"/>
    </w:pPr>
    <w:rPr>
      <w:rFonts w:ascii="宋体" w:hAnsi="宋体"/>
      <w:kern w:val="2"/>
      <w:sz w:val="24"/>
    </w:rPr>
  </w:style>
  <w:style w:type="paragraph" w:styleId="18">
    <w:name w:val="Title"/>
    <w:basedOn w:val="1"/>
    <w:next w:val="1"/>
    <w:link w:val="25"/>
    <w:qFormat/>
    <w:uiPriority w:val="0"/>
    <w:pPr>
      <w:spacing w:after="60"/>
      <w:jc w:val="center"/>
      <w:outlineLvl w:val="0"/>
    </w:pPr>
    <w:rPr>
      <w:b/>
      <w:bCs/>
      <w:color w:val="000000"/>
    </w:rPr>
  </w:style>
  <w:style w:type="character" w:styleId="20">
    <w:name w:val="annotation reference"/>
    <w:basedOn w:val="19"/>
    <w:semiHidden/>
    <w:unhideWhenUsed/>
    <w:qFormat/>
    <w:uiPriority w:val="99"/>
    <w:rPr>
      <w:sz w:val="21"/>
      <w:szCs w:val="21"/>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3">
    <w:name w:val="报告正文"/>
    <w:basedOn w:val="1"/>
    <w:next w:val="9"/>
    <w:qFormat/>
    <w:uiPriority w:val="0"/>
  </w:style>
  <w:style w:type="paragraph" w:customStyle="1" w:styleId="24">
    <w:name w:val="表头1"/>
    <w:basedOn w:val="1"/>
    <w:qFormat/>
    <w:uiPriority w:val="0"/>
    <w:pPr>
      <w:jc w:val="center"/>
    </w:pPr>
    <w:rPr>
      <w:b/>
      <w:color w:val="000000"/>
    </w:rPr>
  </w:style>
  <w:style w:type="character" w:customStyle="1" w:styleId="25">
    <w:name w:val="标题 Char"/>
    <w:link w:val="18"/>
    <w:qFormat/>
    <w:uiPriority w:val="0"/>
    <w:rPr>
      <w:rFonts w:ascii="Times New Roman" w:hAnsi="Times New Roman" w:eastAsia="宋体" w:cs="Times New Roman"/>
      <w:b/>
      <w:bCs/>
      <w:color w:val="000000"/>
      <w:kern w:val="0"/>
      <w:sz w:val="24"/>
      <w:szCs w:val="24"/>
    </w:rPr>
  </w:style>
  <w:style w:type="character" w:customStyle="1" w:styleId="26">
    <w:name w:val="标题 1 Char"/>
    <w:link w:val="2"/>
    <w:qFormat/>
    <w:uiPriority w:val="0"/>
    <w:rPr>
      <w:rFonts w:eastAsia="黑体" w:cs="宋体"/>
      <w:b/>
      <w:bCs/>
      <w:kern w:val="44"/>
      <w:sz w:val="30"/>
      <w:szCs w:val="44"/>
    </w:rPr>
  </w:style>
  <w:style w:type="character" w:customStyle="1" w:styleId="27">
    <w:name w:val="标题 2 Char"/>
    <w:link w:val="3"/>
    <w:qFormat/>
    <w:uiPriority w:val="0"/>
    <w:rPr>
      <w:rFonts w:ascii="Arial" w:hAnsi="Arial"/>
      <w:b/>
      <w:bCs/>
      <w:sz w:val="24"/>
      <w:szCs w:val="32"/>
    </w:rPr>
  </w:style>
  <w:style w:type="paragraph" w:customStyle="1" w:styleId="28">
    <w:name w:val="标题3"/>
    <w:basedOn w:val="23"/>
    <w:link w:val="29"/>
    <w:qFormat/>
    <w:uiPriority w:val="0"/>
    <w:pPr>
      <w:ind w:right="210" w:firstLine="0" w:firstLineChars="0"/>
    </w:pPr>
    <w:rPr>
      <w:rFonts w:ascii="宋体" w:hAnsi="宋体"/>
      <w:lang w:val="zh-TW" w:eastAsia="zh-TW"/>
    </w:rPr>
  </w:style>
  <w:style w:type="character" w:customStyle="1" w:styleId="29">
    <w:name w:val="标题3 字符"/>
    <w:link w:val="28"/>
    <w:qFormat/>
    <w:uiPriority w:val="0"/>
    <w:rPr>
      <w:rFonts w:ascii="宋体" w:hAnsi="宋体" w:eastAsia="宋体" w:cs="Times New Roman"/>
      <w:color w:val="000000"/>
      <w:sz w:val="24"/>
      <w:szCs w:val="24"/>
      <w:lang w:val="zh-TW" w:eastAsia="zh-TW"/>
    </w:rPr>
  </w:style>
  <w:style w:type="character" w:customStyle="1" w:styleId="30">
    <w:name w:val="纯文本 Char"/>
    <w:basedOn w:val="19"/>
    <w:link w:val="12"/>
    <w:qFormat/>
    <w:uiPriority w:val="0"/>
    <w:rPr>
      <w:b/>
      <w:w w:val="90"/>
      <w:sz w:val="21"/>
      <w:szCs w:val="44"/>
    </w:rPr>
  </w:style>
  <w:style w:type="character" w:customStyle="1" w:styleId="31">
    <w:name w:val="标题 3 Char"/>
    <w:link w:val="4"/>
    <w:qFormat/>
    <w:uiPriority w:val="0"/>
    <w:rPr>
      <w:rFonts w:ascii="宋体" w:hAnsi="宋体" w:cs="宋体"/>
      <w:b/>
      <w:bCs/>
      <w:sz w:val="24"/>
      <w:szCs w:val="32"/>
    </w:rPr>
  </w:style>
  <w:style w:type="paragraph" w:customStyle="1" w:styleId="32">
    <w:name w:val="表头"/>
    <w:link w:val="33"/>
    <w:qFormat/>
    <w:uiPriority w:val="0"/>
    <w:pPr>
      <w:jc w:val="center"/>
    </w:pPr>
    <w:rPr>
      <w:rFonts w:ascii="Times New Roman" w:hAnsi="Times New Roman" w:eastAsia="宋体" w:cs="Times New Roman"/>
      <w:b/>
      <w:w w:val="90"/>
      <w:kern w:val="2"/>
      <w:sz w:val="21"/>
      <w:szCs w:val="44"/>
      <w:lang w:val="en-US" w:eastAsia="zh-CN" w:bidi="ar-SA"/>
    </w:rPr>
  </w:style>
  <w:style w:type="character" w:customStyle="1" w:styleId="33">
    <w:name w:val="表头 字符"/>
    <w:basedOn w:val="19"/>
    <w:link w:val="32"/>
    <w:qFormat/>
    <w:uiPriority w:val="0"/>
    <w:rPr>
      <w:b/>
      <w:w w:val="90"/>
      <w:sz w:val="21"/>
      <w:szCs w:val="44"/>
    </w:rPr>
  </w:style>
  <w:style w:type="paragraph" w:customStyle="1" w:styleId="34">
    <w:name w:val="表格内容"/>
    <w:basedOn w:val="1"/>
    <w:next w:val="1"/>
    <w:link w:val="35"/>
    <w:qFormat/>
    <w:uiPriority w:val="0"/>
    <w:pPr>
      <w:topLinePunct w:val="0"/>
      <w:spacing w:line="240" w:lineRule="auto"/>
      <w:ind w:firstLine="0" w:firstLineChars="0"/>
      <w:jc w:val="center"/>
      <w:textAlignment w:val="center"/>
    </w:pPr>
    <w:rPr>
      <w:kern w:val="2"/>
      <w:szCs w:val="24"/>
    </w:rPr>
  </w:style>
  <w:style w:type="character" w:customStyle="1" w:styleId="35">
    <w:name w:val="表格内容 字符"/>
    <w:basedOn w:val="30"/>
    <w:link w:val="34"/>
    <w:qFormat/>
    <w:uiPriority w:val="0"/>
    <w:rPr>
      <w:w w:val="90"/>
      <w:sz w:val="21"/>
      <w:szCs w:val="24"/>
    </w:rPr>
  </w:style>
  <w:style w:type="character" w:customStyle="1" w:styleId="36">
    <w:name w:val="普通(网站) Char"/>
    <w:link w:val="17"/>
    <w:qFormat/>
    <w:locked/>
    <w:uiPriority w:val="0"/>
    <w:rPr>
      <w:rFonts w:ascii="宋体" w:hAnsi="宋体"/>
      <w:sz w:val="24"/>
    </w:rPr>
  </w:style>
  <w:style w:type="paragraph" w:customStyle="1" w:styleId="37">
    <w:name w:val="表格标题"/>
    <w:basedOn w:val="1"/>
    <w:link w:val="38"/>
    <w:qFormat/>
    <w:uiPriority w:val="0"/>
    <w:pPr>
      <w:topLinePunct w:val="0"/>
      <w:spacing w:line="240" w:lineRule="auto"/>
      <w:ind w:firstLine="0" w:firstLineChars="0"/>
      <w:jc w:val="center"/>
    </w:pPr>
    <w:rPr>
      <w:b/>
      <w:kern w:val="2"/>
      <w:sz w:val="24"/>
      <w:szCs w:val="21"/>
    </w:rPr>
  </w:style>
  <w:style w:type="character" w:customStyle="1" w:styleId="38">
    <w:name w:val="表格标题 字符"/>
    <w:link w:val="37"/>
    <w:qFormat/>
    <w:uiPriority w:val="0"/>
    <w:rPr>
      <w:b/>
      <w:sz w:val="24"/>
      <w:szCs w:val="21"/>
    </w:rPr>
  </w:style>
  <w:style w:type="paragraph" w:customStyle="1" w:styleId="39">
    <w:name w:val="表格-黄冈"/>
    <w:basedOn w:val="1"/>
    <w:next w:val="1"/>
    <w:qFormat/>
    <w:uiPriority w:val="0"/>
    <w:pPr>
      <w:topLinePunct w:val="0"/>
      <w:spacing w:line="240" w:lineRule="auto"/>
      <w:ind w:firstLine="0" w:firstLineChars="0"/>
      <w:jc w:val="both"/>
    </w:pPr>
    <w:rPr>
      <w:rFonts w:cs="宋体"/>
      <w:b/>
      <w:szCs w:val="24"/>
    </w:rPr>
  </w:style>
  <w:style w:type="character" w:customStyle="1" w:styleId="40">
    <w:name w:val="表格 Char"/>
    <w:link w:val="41"/>
    <w:qFormat/>
    <w:locked/>
    <w:uiPriority w:val="0"/>
    <w:rPr>
      <w:rFonts w:ascii="宋体"/>
      <w:sz w:val="21"/>
    </w:rPr>
  </w:style>
  <w:style w:type="paragraph" w:customStyle="1" w:styleId="41">
    <w:name w:val="表格"/>
    <w:basedOn w:val="1"/>
    <w:next w:val="1"/>
    <w:link w:val="40"/>
    <w:qFormat/>
    <w:uiPriority w:val="0"/>
    <w:pPr>
      <w:topLinePunct w:val="0"/>
      <w:spacing w:beforeLines="10" w:afterLines="10" w:line="259" w:lineRule="auto"/>
      <w:jc w:val="center"/>
    </w:pPr>
    <w:rPr>
      <w:rFonts w:ascii="宋体"/>
      <w:kern w:val="2"/>
    </w:rPr>
  </w:style>
  <w:style w:type="character" w:customStyle="1" w:styleId="42">
    <w:name w:val="页眉 Char"/>
    <w:basedOn w:val="19"/>
    <w:link w:val="16"/>
    <w:semiHidden/>
    <w:qFormat/>
    <w:uiPriority w:val="99"/>
    <w:rPr>
      <w:kern w:val="0"/>
      <w:sz w:val="18"/>
      <w:szCs w:val="18"/>
    </w:rPr>
  </w:style>
  <w:style w:type="character" w:customStyle="1" w:styleId="43">
    <w:name w:val="页脚 Char"/>
    <w:basedOn w:val="19"/>
    <w:link w:val="14"/>
    <w:qFormat/>
    <w:uiPriority w:val="0"/>
    <w:rPr>
      <w:kern w:val="0"/>
      <w:sz w:val="18"/>
      <w:szCs w:val="18"/>
    </w:rPr>
  </w:style>
  <w:style w:type="character" w:customStyle="1" w:styleId="44">
    <w:name w:val="样式 标题 3头条标题1.1.1标题 3 Char标题 33标题 3 Char1标题 3 Char Char Ch... Char"/>
    <w:link w:val="45"/>
    <w:qFormat/>
    <w:uiPriority w:val="0"/>
    <w:rPr>
      <w:rFonts w:ascii="仿宋_GB2312" w:eastAsia="仿宋_GB2312"/>
      <w:bCs/>
      <w:sz w:val="24"/>
      <w:szCs w:val="24"/>
    </w:rPr>
  </w:style>
  <w:style w:type="paragraph" w:customStyle="1" w:styleId="45">
    <w:name w:val="样式 标题 3头条标题1.1.1标题 3 Char标题 33标题 3 Char1标题 3 Char Char Ch..."/>
    <w:basedOn w:val="4"/>
    <w:link w:val="44"/>
    <w:qFormat/>
    <w:uiPriority w:val="0"/>
    <w:pPr>
      <w:topLinePunct w:val="0"/>
      <w:adjustRightInd/>
      <w:snapToGrid/>
      <w:spacing w:line="240" w:lineRule="auto"/>
      <w:ind w:firstLine="459"/>
    </w:pPr>
    <w:rPr>
      <w:rFonts w:ascii="仿宋_GB2312" w:hAnsi="Times New Roman" w:eastAsia="仿宋_GB2312" w:cs="Times New Roman"/>
      <w:b w:val="0"/>
      <w:sz w:val="24"/>
      <w:szCs w:val="24"/>
    </w:rPr>
  </w:style>
  <w:style w:type="paragraph" w:customStyle="1" w:styleId="46">
    <w:name w:val="表格文字"/>
    <w:basedOn w:val="1"/>
    <w:next w:val="1"/>
    <w:qFormat/>
    <w:uiPriority w:val="0"/>
    <w:pPr>
      <w:topLinePunct w:val="0"/>
      <w:adjustRightInd/>
      <w:spacing w:line="360" w:lineRule="exact"/>
      <w:ind w:firstLine="0" w:firstLineChars="0"/>
      <w:jc w:val="center"/>
    </w:pPr>
    <w:rPr>
      <w:rFonts w:ascii="Calibri" w:hAnsi="Calibri"/>
      <w:sz w:val="24"/>
    </w:rPr>
  </w:style>
  <w:style w:type="character" w:customStyle="1" w:styleId="47">
    <w:name w:val="批注框文本 Char"/>
    <w:basedOn w:val="19"/>
    <w:link w:val="13"/>
    <w:semiHidden/>
    <w:qFormat/>
    <w:uiPriority w:val="99"/>
    <w:rPr>
      <w:kern w:val="0"/>
      <w:sz w:val="18"/>
      <w:szCs w:val="18"/>
    </w:rPr>
  </w:style>
  <w:style w:type="paragraph" w:customStyle="1" w:styleId="4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9">
    <w:name w:val="批注文字 Char"/>
    <w:basedOn w:val="19"/>
    <w:link w:val="6"/>
    <w:qFormat/>
    <w:uiPriority w:val="0"/>
    <w:rPr>
      <w:kern w:val="0"/>
      <w:sz w:val="24"/>
    </w:rPr>
  </w:style>
  <w:style w:type="paragraph" w:customStyle="1" w:styleId="50">
    <w:name w:val="表格内部"/>
    <w:basedOn w:val="1"/>
    <w:qFormat/>
    <w:uiPriority w:val="0"/>
    <w:pPr>
      <w:topLinePunct w:val="0"/>
      <w:spacing w:line="240" w:lineRule="auto"/>
      <w:ind w:firstLine="0" w:firstLineChars="0"/>
      <w:jc w:val="center"/>
      <w:textAlignment w:val="baseline"/>
    </w:pPr>
    <w:rPr>
      <w:rFonts w:cs="Arial"/>
    </w:rPr>
  </w:style>
  <w:style w:type="character" w:customStyle="1" w:styleId="51">
    <w:name w:val="正文文本 Char"/>
    <w:basedOn w:val="19"/>
    <w:link w:val="8"/>
    <w:semiHidden/>
    <w:qFormat/>
    <w:uiPriority w:val="99"/>
    <w:rPr>
      <w:kern w:val="0"/>
      <w:sz w:val="21"/>
    </w:rPr>
  </w:style>
  <w:style w:type="character" w:customStyle="1" w:styleId="52">
    <w:name w:val="正文首行缩进 Char"/>
    <w:basedOn w:val="51"/>
    <w:link w:val="7"/>
    <w:qFormat/>
    <w:uiPriority w:val="0"/>
    <w:rPr>
      <w:kern w:val="0"/>
      <w:sz w:val="21"/>
    </w:rPr>
  </w:style>
  <w:style w:type="paragraph" w:customStyle="1" w:styleId="53">
    <w:name w:val="word"/>
    <w:basedOn w:val="1"/>
    <w:qFormat/>
    <w:uiPriority w:val="0"/>
    <w:pPr>
      <w:topLinePunct w:val="0"/>
      <w:adjustRightInd/>
      <w:snapToGrid/>
      <w:ind w:firstLine="838" w:firstLineChars="349"/>
      <w:jc w:val="both"/>
    </w:pPr>
    <w:rPr>
      <w:rFonts w:ascii="Calibri" w:hAnsi="Calibri"/>
      <w:kern w:val="2"/>
      <w:sz w:val="24"/>
      <w:szCs w:val="24"/>
    </w:rPr>
  </w:style>
  <w:style w:type="paragraph" w:customStyle="1" w:styleId="54">
    <w:name w:val="6-表头"/>
    <w:basedOn w:val="1"/>
    <w:qFormat/>
    <w:uiPriority w:val="0"/>
    <w:pPr>
      <w:topLinePunct w:val="0"/>
      <w:autoSpaceDE w:val="0"/>
      <w:autoSpaceDN w:val="0"/>
      <w:snapToGrid/>
      <w:ind w:firstLine="0" w:firstLineChars="0"/>
      <w:jc w:val="center"/>
    </w:pPr>
    <w:rPr>
      <w:b/>
      <w:bCs/>
      <w:kern w:val="2"/>
      <w:sz w:val="24"/>
      <w:szCs w:val="21"/>
    </w:rPr>
  </w:style>
  <w:style w:type="paragraph" w:customStyle="1" w:styleId="55">
    <w:name w:val="Table Paragraph"/>
    <w:basedOn w:val="1"/>
    <w:qFormat/>
    <w:uiPriority w:val="1"/>
    <w:pPr>
      <w:topLinePunct w:val="0"/>
      <w:autoSpaceDE w:val="0"/>
      <w:autoSpaceDN w:val="0"/>
      <w:adjustRightInd/>
      <w:snapToGrid/>
      <w:spacing w:line="240" w:lineRule="auto"/>
      <w:ind w:firstLine="0" w:firstLineChars="0"/>
      <w:jc w:val="center"/>
    </w:pPr>
    <w:rPr>
      <w:rFonts w:ascii="宋体" w:hAnsi="宋体" w:cs="宋体"/>
      <w:sz w:val="22"/>
      <w:szCs w:val="22"/>
      <w:lang w:eastAsia="en-US"/>
    </w:rPr>
  </w:style>
  <w:style w:type="character" w:customStyle="1" w:styleId="56">
    <w:name w:val="批注文字 字符1"/>
    <w:semiHidden/>
    <w:qFormat/>
    <w:uiPriority w:val="0"/>
    <w:rPr>
      <w:rFonts w:ascii="Times New Roman" w:hAnsi="Times New Roman" w:eastAsia="宋体"/>
      <w:sz w:val="24"/>
    </w:rPr>
  </w:style>
  <w:style w:type="paragraph" w:styleId="57">
    <w:name w:val="List Paragraph"/>
    <w:basedOn w:val="1"/>
    <w:qFormat/>
    <w:uiPriority w:val="1"/>
    <w:pPr>
      <w:topLinePunct w:val="0"/>
      <w:spacing w:line="460" w:lineRule="exact"/>
      <w:ind w:firstLine="420"/>
    </w:pPr>
    <w:rPr>
      <w:kern w:val="2"/>
      <w:sz w:val="24"/>
    </w:rPr>
  </w:style>
  <w:style w:type="character" w:customStyle="1" w:styleId="58">
    <w:name w:val="批注主题 Char"/>
    <w:basedOn w:val="49"/>
    <w:link w:val="5"/>
    <w:semiHidden/>
    <w:qFormat/>
    <w:uiPriority w:val="99"/>
    <w:rPr>
      <w:b/>
      <w:bCs/>
      <w:kern w:val="0"/>
      <w:sz w:val="21"/>
    </w:rPr>
  </w:style>
  <w:style w:type="paragraph" w:customStyle="1" w:styleId="59">
    <w:name w:val="Default"/>
    <w:unhideWhenUsed/>
    <w:qFormat/>
    <w:uiPriority w:val="99"/>
    <w:pPr>
      <w:widowControl w:val="0"/>
      <w:autoSpaceDE w:val="0"/>
      <w:autoSpaceDN w:val="0"/>
    </w:pPr>
    <w:rPr>
      <w:rFonts w:hint="eastAsia" w:ascii="宋体" w:hAnsi="Calibri" w:eastAsia="宋体" w:cs="Times New Roman"/>
      <w:color w:val="000000"/>
      <w:sz w:val="24"/>
      <w:szCs w:val="22"/>
      <w:lang w:val="en-US" w:eastAsia="zh-CN" w:bidi="ar-SA"/>
    </w:rPr>
  </w:style>
  <w:style w:type="character" w:customStyle="1" w:styleId="60">
    <w:name w:val="正文文本缩进 Char"/>
    <w:basedOn w:val="19"/>
    <w:link w:val="10"/>
    <w:semiHidden/>
    <w:qFormat/>
    <w:uiPriority w:val="99"/>
    <w:rPr>
      <w:kern w:val="0"/>
      <w:sz w:val="21"/>
    </w:rPr>
  </w:style>
  <w:style w:type="character" w:customStyle="1" w:styleId="61">
    <w:name w:val="正文首行缩进 2 Char"/>
    <w:basedOn w:val="60"/>
    <w:link w:val="15"/>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2.wmf"/><Relationship Id="rId23" Type="http://schemas.openxmlformats.org/officeDocument/2006/relationships/oleObject" Target="embeddings/oleObject2.bin"/><Relationship Id="rId22" Type="http://schemas.openxmlformats.org/officeDocument/2006/relationships/image" Target="media/image11.wmf"/><Relationship Id="rId21" Type="http://schemas.openxmlformats.org/officeDocument/2006/relationships/oleObject" Target="embeddings/oleObject1.bin"/><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CDF7DF-D181-4B06-9CCA-90863227862E}">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8</Pages>
  <Words>8177</Words>
  <Characters>46614</Characters>
  <Lines>388</Lines>
  <Paragraphs>109</Paragraphs>
  <TotalTime>230</TotalTime>
  <ScaleCrop>false</ScaleCrop>
  <LinksUpToDate>false</LinksUpToDate>
  <CharactersWithSpaces>54682</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2022-07-27T09:54:00Z</dcterms:created>
  <dc:creator>sxsl-3</dc:creator>
  <cp:lastModifiedBy>Administrator</cp:lastModifiedBy>
  <dcterms:modified xsi:type="dcterms:W3CDTF">2022-08-04T02:37:35Z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y fmtid="{D5CDD505-2E9C-101B-9397-08002B2CF9AE}" pid="3" name="ICV">
    <vt:lpwstr>5A5FB564B8114122BD0E66F007FD97E2</vt:lpwstr>
  </property>
</Properties>
</file>