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00" w:lineRule="exact"/>
        <w:jc w:val="both"/>
        <w:textAlignment w:val="auto"/>
        <w:rPr>
          <w:rFonts w:hint="eastAsia" w:ascii="黑体" w:eastAsia="黑体" w:cs="黑体"/>
          <w:color w:val="1C1C1C"/>
          <w:kern w:val="0"/>
          <w:sz w:val="32"/>
          <w:szCs w:val="32"/>
          <w:lang w:bidi="ar"/>
        </w:rPr>
      </w:pPr>
      <w:r>
        <w:rPr>
          <w:rFonts w:hint="eastAsia" w:ascii="黑体" w:eastAsia="黑体" w:cs="黑体"/>
          <w:color w:val="1C1C1C"/>
          <w:kern w:val="0"/>
          <w:sz w:val="32"/>
          <w:szCs w:val="32"/>
          <w:lang w:bidi="ar"/>
        </w:rPr>
        <w:t>附件1</w:t>
      </w:r>
    </w:p>
    <w:p>
      <w:pPr>
        <w:jc w:val="center"/>
        <w:textAlignment w:val="center"/>
        <w:rPr>
          <w:rFonts w:hint="eastAsia" w:ascii="方正小标宋简体" w:eastAsia="方正小标宋简体" w:cs="方正小标宋简体"/>
          <w:color w:val="1C1C1C"/>
          <w:kern w:val="0"/>
          <w:sz w:val="40"/>
          <w:szCs w:val="40"/>
          <w:lang w:bidi="ar"/>
        </w:rPr>
      </w:pPr>
      <w:r>
        <w:rPr>
          <w:rFonts w:hint="eastAsia" w:ascii="方正小标宋简体" w:eastAsia="方正小标宋简体" w:cs="方正小标宋简体"/>
          <w:color w:val="1C1C1C"/>
          <w:kern w:val="0"/>
          <w:sz w:val="40"/>
          <w:szCs w:val="40"/>
          <w:lang w:bidi="ar"/>
        </w:rPr>
        <w:t>202</w:t>
      </w:r>
      <w:r>
        <w:rPr>
          <w:rFonts w:ascii="方正小标宋简体" w:eastAsia="方正小标宋简体" w:cs="方正小标宋简体"/>
          <w:color w:val="1C1C1C"/>
          <w:kern w:val="0"/>
          <w:sz w:val="40"/>
          <w:szCs w:val="40"/>
          <w:lang w:bidi="ar"/>
        </w:rPr>
        <w:t>2</w:t>
      </w:r>
      <w:r>
        <w:rPr>
          <w:rFonts w:hint="eastAsia" w:ascii="方正小标宋简体" w:eastAsia="方正小标宋简体" w:cs="方正小标宋简体"/>
          <w:color w:val="1C1C1C"/>
          <w:kern w:val="0"/>
          <w:sz w:val="40"/>
          <w:szCs w:val="40"/>
          <w:lang w:bidi="ar"/>
        </w:rPr>
        <w:t>年一</w:t>
      </w:r>
      <w:r>
        <w:rPr>
          <w:rFonts w:ascii="方正小标宋简体" w:eastAsia="方正小标宋简体" w:cs="方正小标宋简体"/>
          <w:color w:val="1C1C1C"/>
          <w:kern w:val="0"/>
          <w:sz w:val="40"/>
          <w:szCs w:val="40"/>
          <w:lang w:bidi="ar"/>
        </w:rPr>
        <w:t>季度</w:t>
      </w:r>
      <w:r>
        <w:rPr>
          <w:rFonts w:hint="eastAsia" w:ascii="方正小标宋简体" w:eastAsia="方正小标宋简体" w:cs="方正小标宋简体"/>
          <w:color w:val="1C1C1C"/>
          <w:kern w:val="0"/>
          <w:sz w:val="40"/>
          <w:szCs w:val="40"/>
          <w:lang w:bidi="ar"/>
        </w:rPr>
        <w:t>政务信息采用统计表（镇）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221"/>
        <w:gridCol w:w="825"/>
        <w:gridCol w:w="825"/>
        <w:gridCol w:w="825"/>
        <w:gridCol w:w="765"/>
        <w:gridCol w:w="765"/>
        <w:gridCol w:w="765"/>
        <w:gridCol w:w="765"/>
        <w:gridCol w:w="878"/>
        <w:gridCol w:w="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0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475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新闻动态</w:t>
            </w:r>
          </w:p>
        </w:tc>
        <w:tc>
          <w:tcPr>
            <w:tcW w:w="306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政务信息</w:t>
            </w:r>
          </w:p>
        </w:tc>
        <w:tc>
          <w:tcPr>
            <w:tcW w:w="158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得分情况（分）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0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采用情况（条）</w:t>
            </w:r>
          </w:p>
        </w:tc>
        <w:tc>
          <w:tcPr>
            <w:tcW w:w="3060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采用情况（条）</w:t>
            </w:r>
          </w:p>
        </w:tc>
        <w:tc>
          <w:tcPr>
            <w:tcW w:w="158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0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各镇  快讯</w:t>
            </w:r>
          </w:p>
        </w:tc>
        <w:tc>
          <w:tcPr>
            <w:tcW w:w="82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聚焦  石泉</w:t>
            </w:r>
          </w:p>
        </w:tc>
        <w:tc>
          <w:tcPr>
            <w:tcW w:w="82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市政府网站</w:t>
            </w:r>
          </w:p>
        </w:tc>
        <w:tc>
          <w:tcPr>
            <w:tcW w:w="153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动态信息</w:t>
            </w:r>
          </w:p>
        </w:tc>
        <w:tc>
          <w:tcPr>
            <w:tcW w:w="153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调研信息</w:t>
            </w:r>
          </w:p>
        </w:tc>
        <w:tc>
          <w:tcPr>
            <w:tcW w:w="87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  <w:t>本期</w:t>
            </w:r>
          </w:p>
        </w:tc>
        <w:tc>
          <w:tcPr>
            <w:tcW w:w="7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  <w:t>累计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0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省级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市级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省级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eastAsia="黑体" w:cs="宋体"/>
                <w:bCs/>
                <w:color w:val="1C1C1C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color w:val="1C1C1C"/>
                <w:kern w:val="0"/>
                <w:sz w:val="24"/>
                <w:szCs w:val="24"/>
                <w:lang w:bidi="ar"/>
              </w:rPr>
              <w:t>市级</w:t>
            </w:r>
          </w:p>
        </w:tc>
        <w:tc>
          <w:tcPr>
            <w:tcW w:w="87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1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中池镇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51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26.5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26.5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池河镇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40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1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20.5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20.5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饶峰镇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111111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18.5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城关镇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36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18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迎丰镇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33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16.5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喜河镇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28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14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7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熨斗镇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24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2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13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8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两河镇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23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11.5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9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曾溪镇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22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11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10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云雾山镇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18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1C1C1C"/>
                <w:sz w:val="24"/>
                <w:szCs w:val="24"/>
              </w:rPr>
              <w:t>9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1C1C1C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11</w:t>
            </w:r>
          </w:p>
        </w:tc>
        <w:tc>
          <w:tcPr>
            <w:tcW w:w="122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11111"/>
                <w:sz w:val="24"/>
                <w:szCs w:val="24"/>
              </w:rPr>
              <w:t>后柳镇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18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7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Lucida Sans"/>
                <w:color w:val="1C1C1C"/>
                <w:sz w:val="24"/>
                <w:szCs w:val="24"/>
              </w:rPr>
              <w:t>——</w:t>
            </w:r>
          </w:p>
        </w:tc>
        <w:tc>
          <w:tcPr>
            <w:tcW w:w="87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9</w:t>
            </w:r>
          </w:p>
        </w:tc>
        <w:tc>
          <w:tcPr>
            <w:tcW w:w="7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1C1C1C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1C1C1C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color w:val="1C1C1C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8339" w:type="dxa"/>
            <w:gridSpan w:val="1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新闻动态信息被“各镇快讯”栏目采用计0.5分，“聚焦石泉”采用计0.5分，被市政府网站“县区新闻”栏目采用的加1分（从县政府网站稿件推荐）。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政务动态类信息被市政府办公室《政务信息专报》、省政府办公厅、国务院办公厅采用的分别加5分、10分、20分。</w:t>
            </w:r>
          </w:p>
          <w:p>
            <w:pPr>
              <w:jc w:val="left"/>
              <w:textAlignment w:val="center"/>
              <w:rPr>
                <w:rFonts w:hint="eastAsia" w:ascii="仿宋_GB2312" w:eastAsia="仿宋_GB2312" w:cs="仿宋_GB2312"/>
                <w:color w:val="1C1C1C"/>
                <w:sz w:val="22"/>
              </w:rPr>
            </w:pPr>
            <w:r>
              <w:rPr>
                <w:rFonts w:hint="eastAsia" w:ascii="仿宋_GB2312" w:eastAsia="仿宋_GB2312" w:cs="仿宋_GB2312"/>
                <w:color w:val="1C1C1C"/>
                <w:kern w:val="0"/>
                <w:sz w:val="24"/>
                <w:szCs w:val="24"/>
                <w:lang w:bidi="ar"/>
              </w:rPr>
              <w:t>3.调研类信息被县政府网站“政务信息”栏目采用的计3分，被市政府办公室《政务信息专报》、省政府办公厅、国务院办公厅采用的分别加10分、20分、30分（同一信息被多次采用的，以最高分计，加分部分不重复计分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7A089"/>
    <w:multiLevelType w:val="singleLevel"/>
    <w:tmpl w:val="A4D7A08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C50E6"/>
    <w:rsid w:val="513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2022-04-22T01:08:00Z</dcterms:created>
  <dc:creator>瘠薄</dc:creator>
  <cp:lastModifiedBy>瘠薄</cp:lastModifiedBy>
  <dcterms:modified xsi:type="dcterms:W3CDTF">2022-04-22T01:08:32Z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3A780374D89A43D0A9FB2895B9573513</vt:lpwstr>
  </property>
</Properties>
</file>