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rPr>
        <w:t>石泉县中心城区城镇标定地价体系建设项目</w:t>
      </w:r>
    </w:p>
    <w:p>
      <w:pPr>
        <w:jc w:val="center"/>
        <w:rPr>
          <w:rFonts w:hint="default" w:ascii="Times New Roman" w:hAnsi="Times New Roman" w:cs="Times New Roman" w:eastAsiaTheme="minorEastAsia"/>
          <w:b/>
          <w:bCs/>
          <w:sz w:val="32"/>
          <w:szCs w:val="32"/>
        </w:rPr>
      </w:pPr>
      <w:r>
        <w:rPr>
          <w:rFonts w:hint="default" w:ascii="Times New Roman" w:hAnsi="Times New Roman" w:cs="Times New Roman" w:eastAsiaTheme="minorEastAsia"/>
          <w:b/>
          <w:bCs/>
          <w:sz w:val="32"/>
          <w:szCs w:val="32"/>
        </w:rPr>
        <w:t>成果基本内容</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lang w:val="en-US" w:eastAsia="zh-CN"/>
        </w:rPr>
      </w:pPr>
      <w:r>
        <w:rPr>
          <w:rFonts w:hint="default" w:ascii="Times New Roman" w:hAnsi="Times New Roman" w:cs="Times New Roman" w:eastAsiaTheme="minorEastAsia"/>
          <w:sz w:val="28"/>
          <w:szCs w:val="28"/>
          <w:lang w:val="en-US" w:eastAsia="zh-CN"/>
        </w:rPr>
        <w:t>一、</w:t>
      </w:r>
      <w:r>
        <w:rPr>
          <w:rFonts w:hint="eastAsia" w:ascii="Times New Roman" w:hAnsi="Times New Roman" w:cs="Times New Roman"/>
          <w:sz w:val="28"/>
          <w:szCs w:val="28"/>
          <w:lang w:val="en-US" w:eastAsia="zh-CN"/>
        </w:rPr>
        <w:t>标定地价公示范围</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lang w:val="en-US" w:eastAsia="zh-CN"/>
        </w:rPr>
        <w:t>本次石泉县</w:t>
      </w:r>
      <w:r>
        <w:rPr>
          <w:rFonts w:hint="default" w:ascii="Times New Roman" w:hAnsi="Times New Roman" w:cs="Times New Roman" w:eastAsiaTheme="minorEastAsia"/>
          <w:sz w:val="28"/>
          <w:szCs w:val="28"/>
        </w:rPr>
        <w:t>城镇标定地价体系建设</w:t>
      </w:r>
      <w:r>
        <w:rPr>
          <w:rFonts w:hint="eastAsia" w:ascii="Times New Roman" w:hAnsi="Times New Roman" w:cs="Times New Roman" w:eastAsiaTheme="minorEastAsia"/>
          <w:sz w:val="28"/>
          <w:szCs w:val="28"/>
          <w:lang w:val="en-US" w:eastAsia="zh-CN"/>
        </w:rPr>
        <w:t>公示范围主要为石泉县中心城区，其中商服用地公示范围为121.87公顷，</w:t>
      </w:r>
      <w:r>
        <w:rPr>
          <w:rFonts w:hint="eastAsia" w:ascii="Times New Roman" w:hAnsi="Times New Roman" w:cs="Times New Roman" w:eastAsiaTheme="minorEastAsia"/>
          <w:sz w:val="28"/>
          <w:szCs w:val="28"/>
        </w:rPr>
        <w:t>住宅用地公示范围</w:t>
      </w:r>
      <w:r>
        <w:rPr>
          <w:rFonts w:hint="eastAsia" w:ascii="Times New Roman" w:hAnsi="Times New Roman" w:cs="Times New Roman" w:eastAsiaTheme="minorEastAsia"/>
          <w:sz w:val="28"/>
          <w:szCs w:val="28"/>
          <w:lang w:val="en-US" w:eastAsia="zh-CN"/>
        </w:rPr>
        <w:t>为</w:t>
      </w:r>
      <w:r>
        <w:rPr>
          <w:rFonts w:hint="eastAsia" w:ascii="Times New Roman" w:hAnsi="Times New Roman" w:cs="Times New Roman" w:eastAsiaTheme="minorEastAsia"/>
          <w:sz w:val="28"/>
          <w:szCs w:val="28"/>
        </w:rPr>
        <w:t>290.23公顷</w:t>
      </w:r>
      <w:r>
        <w:rPr>
          <w:rFonts w:hint="eastAsia" w:ascii="Times New Roman" w:hAnsi="Times New Roman" w:cs="Times New Roman" w:eastAsiaTheme="minorEastAsia"/>
          <w:sz w:val="28"/>
          <w:szCs w:val="28"/>
          <w:lang w:eastAsia="zh-CN"/>
        </w:rPr>
        <w:t>，</w:t>
      </w:r>
      <w:r>
        <w:rPr>
          <w:rFonts w:hint="eastAsia" w:ascii="Times New Roman" w:hAnsi="Times New Roman" w:cs="Times New Roman" w:eastAsiaTheme="minorEastAsia"/>
          <w:sz w:val="28"/>
          <w:szCs w:val="28"/>
        </w:rPr>
        <w:t>工业用地公示范围</w:t>
      </w:r>
      <w:r>
        <w:rPr>
          <w:rFonts w:hint="eastAsia" w:ascii="Times New Roman" w:hAnsi="Times New Roman" w:cs="Times New Roman"/>
          <w:sz w:val="28"/>
          <w:szCs w:val="28"/>
          <w:lang w:val="en-US" w:eastAsia="zh-CN"/>
        </w:rPr>
        <w:t>为</w:t>
      </w:r>
      <w:bookmarkStart w:id="0" w:name="_GoBack"/>
      <w:bookmarkEnd w:id="0"/>
      <w:r>
        <w:rPr>
          <w:rFonts w:hint="eastAsia" w:ascii="Times New Roman" w:hAnsi="Times New Roman" w:cs="Times New Roman" w:eastAsiaTheme="minorEastAsia"/>
          <w:sz w:val="28"/>
          <w:szCs w:val="28"/>
        </w:rPr>
        <w:t>129.04公顷</w:t>
      </w:r>
      <w:r>
        <w:rPr>
          <w:rFonts w:hint="eastAsia" w:ascii="Times New Roman" w:hAnsi="Times New Roman" w:cs="Times New Roman"/>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标定地价</w:t>
      </w:r>
      <w:r>
        <w:rPr>
          <w:rFonts w:hint="default" w:ascii="Times New Roman" w:hAnsi="Times New Roman" w:cs="Times New Roman"/>
          <w:sz w:val="28"/>
          <w:szCs w:val="28"/>
          <w:lang w:val="en-US" w:eastAsia="zh-CN"/>
        </w:rPr>
        <w:t>内涵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标定地价是政府为管理需要确定的，标准宗地在现状开发利用、正常市场条件、法定最高使用年期或政策规定年期下，某一估价期日的土地权利价格。根据标定地价的有关界定，明确本次石泉县中心城区标定地价体系建设工作的价格内涵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1、估价期日：2021年 1 月 1 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2、土地用途：标定地价土地用途为国有建设用地，包括商服用地、住宅用地和工业用地等3类用途。</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3、容积率：按照标准宗地的出让容积率或实际容积率，已建成的按实际容积率，未建成的按出让容积率，工业用地不考虑其容积率。</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4、使用年限：标准宗地价格评估的土地使用年期为各用途土地的法定最高使用年限，商服用地为40年，住宅用地为70年，工业用地为50 年。</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5、土地开发程度：根据标准宗地的实际开发程度。</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6、权利类型：标准宗地价格为国有土地使用权价格，不考虑抵押权、地役权等他项权利的限制。</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rPr>
      </w:pPr>
      <w:r>
        <w:rPr>
          <w:rFonts w:hint="eastAsia" w:ascii="Times New Roman" w:hAnsi="Times New Roman" w:cs="Times New Roman" w:eastAsiaTheme="minorEastAsia"/>
          <w:sz w:val="28"/>
          <w:szCs w:val="28"/>
        </w:rPr>
        <w:t>7、地价表现形式：评估标准宗地的合法现状开发利用条件下的土地价格，工业用地标定地价以地面单价形式表示，商服用地和住宅用地以地面单价和楼面单价形式表示。</w:t>
      </w:r>
    </w:p>
    <w:p>
      <w:pPr>
        <w:widowControl/>
        <w:spacing w:line="460" w:lineRule="exact"/>
        <w:ind w:firstLine="361" w:firstLineChars="0"/>
        <w:jc w:val="center"/>
        <w:rPr>
          <w:rFonts w:eastAsia="黑体" w:cs="宋体"/>
          <w:kern w:val="0"/>
          <w:sz w:val="24"/>
          <w:szCs w:val="24"/>
        </w:rPr>
      </w:pPr>
      <w:r>
        <w:rPr>
          <w:rFonts w:hint="eastAsia" w:eastAsia="黑体" w:cs="宋体"/>
          <w:kern w:val="0"/>
          <w:sz w:val="24"/>
          <w:szCs w:val="24"/>
        </w:rPr>
        <w:t>石泉县中心城区国有建设用地标定地价内涵表</w:t>
      </w:r>
    </w:p>
    <w:tbl>
      <w:tblPr>
        <w:tblStyle w:val="3"/>
        <w:tblW w:w="506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608"/>
        <w:gridCol w:w="2352"/>
        <w:gridCol w:w="2354"/>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blHeader/>
          <w:jc w:val="center"/>
        </w:trPr>
        <w:tc>
          <w:tcPr>
            <w:tcW w:w="949" w:type="pct"/>
            <w:shd w:val="clear" w:color="auto" w:fill="F1F1F1" w:themeFill="background1" w:themeFillShade="F2"/>
            <w:vAlign w:val="center"/>
          </w:tcPr>
          <w:p>
            <w:pPr>
              <w:spacing w:line="240" w:lineRule="atLeast"/>
              <w:ind w:firstLine="0" w:firstLineChars="0"/>
              <w:jc w:val="center"/>
              <w:rPr>
                <w:sz w:val="24"/>
                <w:szCs w:val="24"/>
              </w:rPr>
            </w:pPr>
            <w:r>
              <w:rPr>
                <w:sz w:val="24"/>
                <w:szCs w:val="24"/>
              </w:rPr>
              <w:t>用 途</w:t>
            </w:r>
          </w:p>
        </w:tc>
        <w:tc>
          <w:tcPr>
            <w:tcW w:w="1388" w:type="pct"/>
            <w:shd w:val="clear" w:color="auto" w:fill="F1F1F1" w:themeFill="background1" w:themeFillShade="F2"/>
            <w:vAlign w:val="center"/>
          </w:tcPr>
          <w:p>
            <w:pPr>
              <w:spacing w:line="240" w:lineRule="atLeast"/>
              <w:ind w:firstLine="0" w:firstLineChars="0"/>
              <w:jc w:val="center"/>
              <w:rPr>
                <w:sz w:val="24"/>
                <w:szCs w:val="24"/>
              </w:rPr>
            </w:pPr>
            <w:r>
              <w:rPr>
                <w:sz w:val="24"/>
                <w:szCs w:val="24"/>
              </w:rPr>
              <w:t>商服用地</w:t>
            </w:r>
          </w:p>
        </w:tc>
        <w:tc>
          <w:tcPr>
            <w:tcW w:w="1389" w:type="pct"/>
            <w:shd w:val="clear" w:color="auto" w:fill="F1F1F1" w:themeFill="background1" w:themeFillShade="F2"/>
            <w:vAlign w:val="center"/>
          </w:tcPr>
          <w:p>
            <w:pPr>
              <w:spacing w:line="240" w:lineRule="atLeast"/>
              <w:ind w:firstLine="0" w:firstLineChars="0"/>
              <w:jc w:val="center"/>
              <w:rPr>
                <w:sz w:val="24"/>
                <w:szCs w:val="24"/>
              </w:rPr>
            </w:pPr>
            <w:r>
              <w:rPr>
                <w:sz w:val="24"/>
                <w:szCs w:val="24"/>
              </w:rPr>
              <w:t>住宅用地</w:t>
            </w:r>
          </w:p>
        </w:tc>
        <w:tc>
          <w:tcPr>
            <w:tcW w:w="1274" w:type="pct"/>
            <w:shd w:val="clear" w:color="auto" w:fill="F1F1F1" w:themeFill="background1" w:themeFillShade="F2"/>
            <w:vAlign w:val="center"/>
          </w:tcPr>
          <w:p>
            <w:pPr>
              <w:spacing w:line="240" w:lineRule="atLeast"/>
              <w:ind w:firstLine="0" w:firstLineChars="0"/>
              <w:jc w:val="center"/>
              <w:rPr>
                <w:sz w:val="24"/>
                <w:szCs w:val="24"/>
              </w:rPr>
            </w:pPr>
            <w:r>
              <w:rPr>
                <w:sz w:val="24"/>
                <w:szCs w:val="24"/>
              </w:rPr>
              <w:t>工</w:t>
            </w:r>
            <w:r>
              <w:rPr>
                <w:rFonts w:hint="eastAsia"/>
                <w:sz w:val="24"/>
                <w:szCs w:val="24"/>
              </w:rPr>
              <w:t>业</w:t>
            </w:r>
            <w:r>
              <w:rPr>
                <w:sz w:val="24"/>
                <w:szCs w:val="24"/>
              </w:rPr>
              <w:t>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9" w:type="pct"/>
            <w:shd w:val="clear" w:color="auto" w:fill="auto"/>
            <w:vAlign w:val="center"/>
          </w:tcPr>
          <w:p>
            <w:pPr>
              <w:spacing w:line="240" w:lineRule="atLeast"/>
              <w:ind w:firstLine="0" w:firstLineChars="0"/>
              <w:jc w:val="center"/>
              <w:rPr>
                <w:sz w:val="24"/>
                <w:szCs w:val="24"/>
              </w:rPr>
            </w:pPr>
            <w:r>
              <w:rPr>
                <w:sz w:val="24"/>
                <w:szCs w:val="24"/>
              </w:rPr>
              <w:t>估价期日</w:t>
            </w:r>
          </w:p>
        </w:tc>
        <w:tc>
          <w:tcPr>
            <w:tcW w:w="4051" w:type="pct"/>
            <w:gridSpan w:val="3"/>
            <w:shd w:val="clear" w:color="auto" w:fill="auto"/>
            <w:vAlign w:val="center"/>
          </w:tcPr>
          <w:p>
            <w:pPr>
              <w:spacing w:line="240" w:lineRule="atLeast"/>
              <w:ind w:firstLine="0" w:firstLineChars="0"/>
              <w:jc w:val="center"/>
              <w:rPr>
                <w:sz w:val="24"/>
                <w:szCs w:val="24"/>
              </w:rPr>
            </w:pPr>
            <w:r>
              <w:rPr>
                <w:rFonts w:hint="eastAsia"/>
                <w:sz w:val="24"/>
                <w:szCs w:val="24"/>
              </w:rPr>
              <w:t>2021</w:t>
            </w:r>
            <w:r>
              <w:rPr>
                <w:sz w:val="24"/>
                <w:szCs w:val="24"/>
              </w:rPr>
              <w:t>年</w:t>
            </w:r>
            <w:r>
              <w:rPr>
                <w:rFonts w:hint="eastAsia"/>
                <w:sz w:val="24"/>
                <w:szCs w:val="24"/>
              </w:rPr>
              <w:t>1</w:t>
            </w:r>
            <w:r>
              <w:rPr>
                <w:sz w:val="24"/>
                <w:szCs w:val="24"/>
              </w:rPr>
              <w:t>月</w:t>
            </w:r>
            <w:r>
              <w:rPr>
                <w:rFonts w:hint="eastAsia"/>
                <w:sz w:val="24"/>
                <w:szCs w:val="24"/>
              </w:rPr>
              <w:t>1</w:t>
            </w:r>
            <w:r>
              <w:rPr>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9" w:type="pct"/>
            <w:shd w:val="clear" w:color="auto" w:fill="auto"/>
            <w:vAlign w:val="center"/>
          </w:tcPr>
          <w:p>
            <w:pPr>
              <w:spacing w:line="240" w:lineRule="atLeast"/>
              <w:ind w:firstLine="0" w:firstLineChars="0"/>
              <w:jc w:val="center"/>
              <w:rPr>
                <w:sz w:val="24"/>
                <w:szCs w:val="24"/>
              </w:rPr>
            </w:pPr>
            <w:r>
              <w:rPr>
                <w:sz w:val="24"/>
                <w:szCs w:val="24"/>
              </w:rPr>
              <w:t>容积率</w:t>
            </w:r>
          </w:p>
        </w:tc>
        <w:tc>
          <w:tcPr>
            <w:tcW w:w="4051" w:type="pct"/>
            <w:gridSpan w:val="3"/>
            <w:shd w:val="clear" w:color="auto" w:fill="auto"/>
            <w:vAlign w:val="center"/>
          </w:tcPr>
          <w:p>
            <w:pPr>
              <w:spacing w:line="240" w:lineRule="atLeast"/>
              <w:ind w:firstLine="0" w:firstLineChars="0"/>
              <w:jc w:val="center"/>
              <w:rPr>
                <w:sz w:val="24"/>
                <w:szCs w:val="24"/>
              </w:rPr>
            </w:pPr>
            <w:r>
              <w:rPr>
                <w:rFonts w:hint="eastAsia"/>
                <w:sz w:val="24"/>
                <w:szCs w:val="24"/>
              </w:rPr>
              <w:t>现状容积率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9" w:type="pct"/>
            <w:shd w:val="clear" w:color="auto" w:fill="auto"/>
            <w:vAlign w:val="center"/>
          </w:tcPr>
          <w:p>
            <w:pPr>
              <w:spacing w:line="240" w:lineRule="atLeast"/>
              <w:ind w:firstLine="0" w:firstLineChars="0"/>
              <w:jc w:val="center"/>
              <w:rPr>
                <w:sz w:val="24"/>
                <w:szCs w:val="24"/>
              </w:rPr>
            </w:pPr>
            <w:r>
              <w:rPr>
                <w:sz w:val="24"/>
                <w:szCs w:val="24"/>
              </w:rPr>
              <w:t>开发程度</w:t>
            </w:r>
          </w:p>
        </w:tc>
        <w:tc>
          <w:tcPr>
            <w:tcW w:w="4051" w:type="pct"/>
            <w:gridSpan w:val="3"/>
            <w:shd w:val="clear" w:color="auto" w:fill="auto"/>
            <w:vAlign w:val="center"/>
          </w:tcPr>
          <w:p>
            <w:pPr>
              <w:spacing w:line="240" w:lineRule="atLeast"/>
              <w:ind w:firstLine="0" w:firstLineChars="0"/>
              <w:jc w:val="center"/>
              <w:rPr>
                <w:sz w:val="24"/>
                <w:szCs w:val="24"/>
              </w:rPr>
            </w:pPr>
            <w:r>
              <w:rPr>
                <w:rFonts w:hint="eastAsia"/>
                <w:sz w:val="24"/>
                <w:szCs w:val="24"/>
              </w:rPr>
              <w:t>现状开发程度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9" w:type="pct"/>
            <w:shd w:val="clear" w:color="auto" w:fill="auto"/>
            <w:vAlign w:val="center"/>
          </w:tcPr>
          <w:p>
            <w:pPr>
              <w:spacing w:line="240" w:lineRule="atLeast"/>
              <w:ind w:firstLine="0" w:firstLineChars="0"/>
              <w:jc w:val="center"/>
              <w:rPr>
                <w:sz w:val="24"/>
                <w:szCs w:val="24"/>
              </w:rPr>
            </w:pPr>
            <w:r>
              <w:rPr>
                <w:sz w:val="24"/>
                <w:szCs w:val="24"/>
              </w:rPr>
              <w:t>法定最高出让年期</w:t>
            </w:r>
          </w:p>
        </w:tc>
        <w:tc>
          <w:tcPr>
            <w:tcW w:w="1388" w:type="pct"/>
            <w:shd w:val="clear" w:color="auto" w:fill="auto"/>
            <w:vAlign w:val="center"/>
          </w:tcPr>
          <w:p>
            <w:pPr>
              <w:spacing w:line="240" w:lineRule="atLeast"/>
              <w:ind w:firstLine="0" w:firstLineChars="0"/>
              <w:jc w:val="center"/>
              <w:rPr>
                <w:sz w:val="24"/>
                <w:szCs w:val="24"/>
              </w:rPr>
            </w:pPr>
            <w:r>
              <w:rPr>
                <w:sz w:val="24"/>
                <w:szCs w:val="24"/>
              </w:rPr>
              <w:t>40</w:t>
            </w:r>
          </w:p>
        </w:tc>
        <w:tc>
          <w:tcPr>
            <w:tcW w:w="1389" w:type="pct"/>
            <w:shd w:val="clear" w:color="auto" w:fill="auto"/>
            <w:vAlign w:val="center"/>
          </w:tcPr>
          <w:p>
            <w:pPr>
              <w:spacing w:line="240" w:lineRule="atLeast"/>
              <w:ind w:firstLine="0" w:firstLineChars="0"/>
              <w:jc w:val="center"/>
              <w:rPr>
                <w:sz w:val="24"/>
                <w:szCs w:val="24"/>
              </w:rPr>
            </w:pPr>
            <w:r>
              <w:rPr>
                <w:sz w:val="24"/>
                <w:szCs w:val="24"/>
              </w:rPr>
              <w:t>70</w:t>
            </w:r>
          </w:p>
        </w:tc>
        <w:tc>
          <w:tcPr>
            <w:tcW w:w="1274" w:type="pct"/>
            <w:shd w:val="clear" w:color="auto" w:fill="auto"/>
            <w:vAlign w:val="center"/>
          </w:tcPr>
          <w:p>
            <w:pPr>
              <w:spacing w:line="240" w:lineRule="atLeast"/>
              <w:ind w:firstLine="0" w:firstLineChars="0"/>
              <w:jc w:val="center"/>
              <w:rPr>
                <w:sz w:val="24"/>
                <w:szCs w:val="24"/>
              </w:rPr>
            </w:pPr>
            <w:r>
              <w:rPr>
                <w:rFonts w:hint="eastAsia"/>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949" w:type="pct"/>
            <w:shd w:val="clear" w:color="auto" w:fill="auto"/>
            <w:vAlign w:val="center"/>
          </w:tcPr>
          <w:p>
            <w:pPr>
              <w:spacing w:line="240" w:lineRule="atLeast"/>
              <w:ind w:firstLine="0" w:firstLineChars="0"/>
              <w:jc w:val="center"/>
              <w:rPr>
                <w:sz w:val="24"/>
                <w:szCs w:val="24"/>
              </w:rPr>
            </w:pPr>
            <w:r>
              <w:rPr>
                <w:rFonts w:hint="eastAsia"/>
                <w:sz w:val="24"/>
                <w:szCs w:val="24"/>
              </w:rPr>
              <w:t>价格表现形式</w:t>
            </w:r>
          </w:p>
        </w:tc>
        <w:tc>
          <w:tcPr>
            <w:tcW w:w="1388" w:type="pct"/>
            <w:shd w:val="clear" w:color="auto" w:fill="auto"/>
            <w:vAlign w:val="center"/>
          </w:tcPr>
          <w:p>
            <w:pPr>
              <w:spacing w:line="240" w:lineRule="atLeast"/>
              <w:ind w:firstLine="0" w:firstLineChars="0"/>
              <w:jc w:val="left"/>
              <w:rPr>
                <w:sz w:val="24"/>
                <w:szCs w:val="24"/>
              </w:rPr>
            </w:pPr>
            <w:r>
              <w:rPr>
                <w:rFonts w:hint="eastAsia"/>
                <w:sz w:val="24"/>
                <w:szCs w:val="24"/>
              </w:rPr>
              <w:t>地面地价、楼面地价</w:t>
            </w:r>
          </w:p>
        </w:tc>
        <w:tc>
          <w:tcPr>
            <w:tcW w:w="1389" w:type="pct"/>
            <w:shd w:val="clear" w:color="auto" w:fill="auto"/>
            <w:vAlign w:val="center"/>
          </w:tcPr>
          <w:p>
            <w:pPr>
              <w:spacing w:line="240" w:lineRule="atLeast"/>
              <w:ind w:firstLine="0" w:firstLineChars="0"/>
              <w:jc w:val="left"/>
              <w:rPr>
                <w:sz w:val="24"/>
                <w:szCs w:val="24"/>
              </w:rPr>
            </w:pPr>
            <w:r>
              <w:rPr>
                <w:rFonts w:hint="eastAsia"/>
                <w:sz w:val="24"/>
                <w:szCs w:val="24"/>
              </w:rPr>
              <w:t>地面地价、楼面地价</w:t>
            </w:r>
          </w:p>
        </w:tc>
        <w:tc>
          <w:tcPr>
            <w:tcW w:w="1274" w:type="pct"/>
            <w:shd w:val="clear" w:color="auto" w:fill="auto"/>
            <w:vAlign w:val="center"/>
          </w:tcPr>
          <w:p>
            <w:pPr>
              <w:spacing w:line="240" w:lineRule="atLeast"/>
              <w:ind w:firstLine="0" w:firstLineChars="0"/>
              <w:jc w:val="center"/>
              <w:rPr>
                <w:sz w:val="24"/>
                <w:szCs w:val="24"/>
              </w:rPr>
            </w:pPr>
            <w:r>
              <w:rPr>
                <w:rFonts w:hint="eastAsia"/>
                <w:sz w:val="24"/>
                <w:szCs w:val="24"/>
              </w:rPr>
              <w:t>地面地价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949" w:type="pct"/>
            <w:shd w:val="clear" w:color="auto" w:fill="auto"/>
            <w:vAlign w:val="center"/>
          </w:tcPr>
          <w:p>
            <w:pPr>
              <w:spacing w:line="240" w:lineRule="atLeast"/>
              <w:ind w:firstLine="0" w:firstLineChars="0"/>
              <w:jc w:val="center"/>
              <w:rPr>
                <w:sz w:val="24"/>
                <w:szCs w:val="24"/>
              </w:rPr>
            </w:pPr>
            <w:r>
              <w:rPr>
                <w:sz w:val="24"/>
                <w:szCs w:val="24"/>
              </w:rPr>
              <w:t>价格类型</w:t>
            </w:r>
          </w:p>
        </w:tc>
        <w:tc>
          <w:tcPr>
            <w:tcW w:w="4051" w:type="pct"/>
            <w:gridSpan w:val="3"/>
            <w:shd w:val="clear" w:color="auto" w:fill="auto"/>
            <w:vAlign w:val="center"/>
          </w:tcPr>
          <w:p>
            <w:pPr>
              <w:spacing w:line="240" w:lineRule="atLeast"/>
              <w:ind w:firstLine="0" w:firstLineChars="0"/>
              <w:jc w:val="left"/>
              <w:rPr>
                <w:sz w:val="24"/>
                <w:szCs w:val="24"/>
              </w:rPr>
            </w:pPr>
            <w:r>
              <w:rPr>
                <w:rFonts w:hint="eastAsia"/>
                <w:sz w:val="24"/>
                <w:szCs w:val="24"/>
              </w:rPr>
              <w:t>市场特征平稳正常情况、公开竞争市场条件下的权利特征完整的使用权价格</w:t>
            </w:r>
          </w:p>
        </w:tc>
      </w:tr>
    </w:tbl>
    <w:p>
      <w:pPr>
        <w:keepNext w:val="0"/>
        <w:keepLines w:val="0"/>
        <w:pageBreakBefore w:val="0"/>
        <w:widowControl w:val="0"/>
        <w:numPr>
          <w:ilvl w:val="0"/>
          <w:numId w:val="2"/>
        </w:numPr>
        <w:kinsoku/>
        <w:wordWrap/>
        <w:overflowPunct/>
        <w:topLinePunct w:val="0"/>
        <w:autoSpaceDE/>
        <w:autoSpaceDN/>
        <w:bidi w:val="0"/>
        <w:adjustRightInd/>
        <w:snapToGrid/>
        <w:ind w:left="70" w:leftChars="0" w:firstLine="560" w:firstLineChars="0"/>
        <w:jc w:val="left"/>
        <w:textAlignment w:val="auto"/>
        <w:rPr>
          <w:rFonts w:hint="default" w:ascii="Times New Roman" w:hAnsi="Times New Roman" w:cs="Times New Roman"/>
          <w:sz w:val="28"/>
          <w:szCs w:val="28"/>
          <w:lang w:val="en-US" w:eastAsia="zh-CN"/>
        </w:rPr>
      </w:pPr>
      <w:r>
        <w:rPr>
          <w:rFonts w:hint="eastAsia" w:ascii="Times New Roman" w:hAnsi="Times New Roman" w:cs="Times New Roman"/>
          <w:sz w:val="28"/>
          <w:szCs w:val="28"/>
          <w:lang w:val="en-US" w:eastAsia="zh-CN"/>
        </w:rPr>
        <w:t>标定区域、标准宗地划分结果</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jc w:val="left"/>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rPr>
        <w:t>本次石泉县共划定了26个标定区域，其中商服用地标定区域8个住宅用地标定区域15个，工业用地标定区域3个。</w:t>
      </w:r>
      <w:r>
        <w:rPr>
          <w:rFonts w:hint="eastAsia" w:ascii="Times New Roman" w:hAnsi="Times New Roman" w:cs="Times New Roman"/>
          <w:sz w:val="28"/>
          <w:szCs w:val="28"/>
          <w:lang w:val="en-US" w:eastAsia="zh-CN"/>
        </w:rPr>
        <w:t>按照规程标准，每个标定区域内仅设置1宗标准宗地。</w:t>
      </w:r>
    </w:p>
    <w:p>
      <w:pPr>
        <w:keepNext w:val="0"/>
        <w:keepLines w:val="0"/>
        <w:pageBreakBefore w:val="0"/>
        <w:widowControl w:val="0"/>
        <w:numPr>
          <w:ilvl w:val="0"/>
          <w:numId w:val="0"/>
        </w:numPr>
        <w:kinsoku/>
        <w:wordWrap/>
        <w:overflowPunct/>
        <w:topLinePunct w:val="0"/>
        <w:autoSpaceDE/>
        <w:autoSpaceDN/>
        <w:bidi w:val="0"/>
        <w:adjustRightInd/>
        <w:snapToGrid/>
        <w:ind w:left="630" w:leftChars="0"/>
        <w:jc w:val="left"/>
        <w:textAlignment w:val="auto"/>
        <w:rPr>
          <w:rFonts w:hint="default" w:ascii="Times New Roman" w:hAnsi="Times New Roman" w:cs="Times New Roman"/>
          <w:sz w:val="28"/>
          <w:szCs w:val="28"/>
          <w:lang w:val="en-US" w:eastAsia="zh-CN"/>
        </w:rPr>
      </w:pPr>
    </w:p>
    <w:p>
      <w:pPr>
        <w:numPr>
          <w:ilvl w:val="0"/>
          <w:numId w:val="0"/>
        </w:numPr>
        <w:ind w:left="420" w:leftChars="0"/>
        <w:jc w:val="left"/>
        <w:rPr>
          <w:rFonts w:hint="default" w:ascii="Times New Roman" w:hAnsi="Times New Roman" w:cs="Times New Roman"/>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9D4C9"/>
    <w:multiLevelType w:val="singleLevel"/>
    <w:tmpl w:val="8499D4C9"/>
    <w:lvl w:ilvl="0" w:tentative="0">
      <w:start w:val="3"/>
      <w:numFmt w:val="chineseCounting"/>
      <w:suff w:val="nothing"/>
      <w:lvlText w:val="%1、"/>
      <w:lvlJc w:val="left"/>
      <w:pPr>
        <w:ind w:left="70"/>
      </w:pPr>
      <w:rPr>
        <w:rFonts w:hint="eastAsia"/>
      </w:rPr>
    </w:lvl>
  </w:abstractNum>
  <w:abstractNum w:abstractNumId="1">
    <w:nsid w:val="A664BE83"/>
    <w:multiLevelType w:val="singleLevel"/>
    <w:tmpl w:val="A664BE8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95AA3"/>
    <w:rsid w:val="03B24C65"/>
    <w:rsid w:val="03F7425A"/>
    <w:rsid w:val="0B4E5BBB"/>
    <w:rsid w:val="1607170E"/>
    <w:rsid w:val="17F3167D"/>
    <w:rsid w:val="1844637C"/>
    <w:rsid w:val="1DFC5003"/>
    <w:rsid w:val="228312A5"/>
    <w:rsid w:val="243472A5"/>
    <w:rsid w:val="27494925"/>
    <w:rsid w:val="2A73664D"/>
    <w:rsid w:val="2B0F6376"/>
    <w:rsid w:val="2DEA6FED"/>
    <w:rsid w:val="30857C24"/>
    <w:rsid w:val="30A254C1"/>
    <w:rsid w:val="34381C14"/>
    <w:rsid w:val="348835DE"/>
    <w:rsid w:val="3665209A"/>
    <w:rsid w:val="3A5008E6"/>
    <w:rsid w:val="3BE92E22"/>
    <w:rsid w:val="4445243B"/>
    <w:rsid w:val="44845A5E"/>
    <w:rsid w:val="456B6447"/>
    <w:rsid w:val="462E7BA0"/>
    <w:rsid w:val="46B23977"/>
    <w:rsid w:val="47A23C1C"/>
    <w:rsid w:val="4ABD14F2"/>
    <w:rsid w:val="508C2093"/>
    <w:rsid w:val="51C5755B"/>
    <w:rsid w:val="54D510EB"/>
    <w:rsid w:val="582B37CD"/>
    <w:rsid w:val="5AE34FA5"/>
    <w:rsid w:val="5B0B1E06"/>
    <w:rsid w:val="5B79452E"/>
    <w:rsid w:val="5BF26384"/>
    <w:rsid w:val="5CD56B70"/>
    <w:rsid w:val="6A9A71B7"/>
    <w:rsid w:val="6FF2313D"/>
    <w:rsid w:val="70CD6084"/>
    <w:rsid w:val="724A3704"/>
    <w:rsid w:val="75B203D2"/>
    <w:rsid w:val="7A5933EC"/>
    <w:rsid w:val="7EC22DF1"/>
    <w:rsid w:val="7FF3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kern w:val="0"/>
      <w:sz w:val="20"/>
      <w:szCs w:val="20"/>
    </w:rPr>
  </w:style>
  <w:style w:type="paragraph" w:customStyle="1" w:styleId="5">
    <w:name w:val="图表标题"/>
    <w:basedOn w:val="6"/>
    <w:qFormat/>
    <w:uiPriority w:val="0"/>
    <w:pPr>
      <w:spacing w:line="440" w:lineRule="exact"/>
    </w:pPr>
    <w:rPr>
      <w:sz w:val="24"/>
      <w:szCs w:val="21"/>
    </w:rPr>
  </w:style>
  <w:style w:type="paragraph" w:customStyle="1" w:styleId="6">
    <w:name w:val="图标题"/>
    <w:basedOn w:val="1"/>
    <w:qFormat/>
    <w:uiPriority w:val="0"/>
    <w:pPr>
      <w:widowControl/>
      <w:ind w:firstLine="0" w:firstLineChars="0"/>
      <w:jc w:val="center"/>
    </w:pPr>
    <w:rPr>
      <w:rFonts w:eastAsia="黑体"/>
      <w:kern w:val="0"/>
      <w:sz w:val="21"/>
      <w:szCs w:val="24"/>
    </w:rPr>
  </w:style>
  <w:style w:type="paragraph" w:customStyle="1" w:styleId="7">
    <w:name w:val="图表"/>
    <w:basedOn w:val="1"/>
    <w:qFormat/>
    <w:uiPriority w:val="0"/>
    <w:pPr>
      <w:widowControl/>
      <w:spacing w:line="240" w:lineRule="atLeast"/>
      <w:ind w:firstLine="0" w:firstLineChars="0"/>
      <w:jc w:val="center"/>
    </w:pPr>
    <w:rPr>
      <w:kern w:val="0"/>
      <w:sz w:val="21"/>
      <w:szCs w:val="24"/>
    </w:rPr>
  </w:style>
  <w:style w:type="paragraph" w:customStyle="1" w:styleId="8">
    <w:name w:val="0图表标题"/>
    <w:basedOn w:val="9"/>
    <w:qFormat/>
    <w:uiPriority w:val="0"/>
    <w:pPr>
      <w:tabs>
        <w:tab w:val="left" w:pos="8306"/>
      </w:tabs>
      <w:adjustRightInd w:val="0"/>
      <w:snapToGrid w:val="0"/>
      <w:spacing w:line="480" w:lineRule="exact"/>
    </w:pPr>
    <w:rPr>
      <w:rFonts w:eastAsia="黑体"/>
      <w:color w:val="auto"/>
      <w:sz w:val="24"/>
      <w:szCs w:val="21"/>
    </w:rPr>
  </w:style>
  <w:style w:type="paragraph" w:customStyle="1" w:styleId="9">
    <w:name w:val="图"/>
    <w:basedOn w:val="1"/>
    <w:qFormat/>
    <w:uiPriority w:val="0"/>
    <w:pPr>
      <w:adjustRightInd w:val="0"/>
      <w:snapToGrid w:val="0"/>
      <w:spacing w:before="50" w:beforeLines="50" w:line="240" w:lineRule="atLeast"/>
      <w:ind w:firstLine="0" w:firstLineChars="0"/>
      <w:jc w:val="center"/>
    </w:pPr>
    <w:rPr>
      <w:color w:val="0000FF"/>
      <w:szCs w:val="24"/>
    </w:rPr>
  </w:style>
  <w:style w:type="paragraph" w:customStyle="1" w:styleId="10">
    <w:name w:val="0表格"/>
    <w:basedOn w:val="1"/>
    <w:qFormat/>
    <w:uiPriority w:val="0"/>
    <w:pPr>
      <w:spacing w:line="240" w:lineRule="atLeast"/>
      <w:ind w:firstLine="0" w:firstLineChars="0"/>
      <w:jc w:val="center"/>
    </w:pPr>
    <w:rPr>
      <w:color w:val="000000"/>
      <w:sz w:val="24"/>
      <w:szCs w:val="24"/>
    </w:rPr>
  </w:style>
  <w:style w:type="paragraph" w:customStyle="1" w:styleId="11">
    <w:name w:val="备注"/>
    <w:basedOn w:val="1"/>
    <w:qFormat/>
    <w:uiPriority w:val="0"/>
    <w:pPr>
      <w:spacing w:line="480" w:lineRule="exact"/>
    </w:pPr>
    <w:rPr>
      <w:bCs/>
      <w:color w:val="0070C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2021-12-19T10:06:00Z</dcterms:created>
  <dc:creator>aaa</dc:creator>
  <cp:lastModifiedBy>aaa</cp:lastModifiedBy>
  <dcterms:modified xsi:type="dcterms:W3CDTF">2021-12-19T10:44:00Z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A7AD70763D954586A9C3F47F0932C443</vt:lpwstr>
  </property>
</Properties>
</file>