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300" w:type="dxa"/>
        <w:tblInd w:w="0" w:type="dxa"/>
        <w:shd w:val="clear" w:color="auto" w:fill="auto"/>
        <w:tblLayout w:type="fixed"/>
        <w:tblCellMar>
          <w:top w:w="0" w:type="dxa"/>
          <w:left w:w="0" w:type="dxa"/>
          <w:bottom w:w="0" w:type="dxa"/>
          <w:right w:w="0" w:type="dxa"/>
        </w:tblCellMar>
      </w:tblPr>
      <w:tblGrid>
        <w:gridCol w:w="478"/>
        <w:gridCol w:w="739"/>
        <w:gridCol w:w="2340"/>
        <w:gridCol w:w="8569"/>
        <w:gridCol w:w="1209"/>
        <w:gridCol w:w="1125"/>
        <w:gridCol w:w="677"/>
        <w:gridCol w:w="1162"/>
        <w:gridCol w:w="1"/>
      </w:tblGrid>
      <w:tr>
        <w:tblPrEx>
          <w:shd w:val="clear" w:color="auto" w:fill="auto"/>
          <w:tblCellMar>
            <w:top w:w="0" w:type="dxa"/>
            <w:left w:w="0" w:type="dxa"/>
            <w:bottom w:w="0" w:type="dxa"/>
            <w:right w:w="0" w:type="dxa"/>
          </w:tblCellMar>
        </w:tblPrEx>
        <w:trPr>
          <w:gridAfter w:val="1"/>
          <w:wAfter w:w="1" w:type="dxa"/>
          <w:trHeight w:val="435" w:hRule="atLeast"/>
        </w:trPr>
        <w:tc>
          <w:tcPr>
            <w:tcW w:w="12126"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黑体" w:hAnsi="宋体" w:eastAsia="黑体" w:cs="黑体"/>
                <w:i w:val="0"/>
                <w:color w:val="000000"/>
                <w:sz w:val="28"/>
                <w:szCs w:val="28"/>
                <w:u w:val="none"/>
                <w:lang w:val="en-US" w:eastAsia="zh-CN"/>
              </w:rPr>
            </w:pPr>
            <w:r>
              <w:rPr>
                <w:rFonts w:hint="eastAsia" w:ascii="黑体" w:hAnsi="宋体" w:eastAsia="黑体" w:cs="黑体"/>
                <w:i w:val="0"/>
                <w:color w:val="000000"/>
                <w:sz w:val="32"/>
                <w:szCs w:val="32"/>
                <w:u w:val="none"/>
                <w:lang w:val="en-US" w:eastAsia="zh-CN"/>
              </w:rPr>
              <w:t>附件2</w:t>
            </w:r>
          </w:p>
        </w:tc>
        <w:tc>
          <w:tcPr>
            <w:tcW w:w="120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67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16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6" w:hRule="atLeast"/>
        </w:trPr>
        <w:tc>
          <w:tcPr>
            <w:tcW w:w="1513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0"/>
                <w:szCs w:val="40"/>
                <w:u w:val="none"/>
              </w:rPr>
            </w:pPr>
            <w:bookmarkStart w:id="0" w:name="_GoBack"/>
            <w:r>
              <w:rPr>
                <w:rStyle w:val="6"/>
                <w:sz w:val="44"/>
                <w:szCs w:val="44"/>
                <w:lang w:val="en-US" w:eastAsia="zh-CN" w:bidi="ar"/>
              </w:rPr>
              <w:t>陕西省中小学教师减负工作重点任务台账（</w:t>
            </w:r>
            <w:r>
              <w:rPr>
                <w:rStyle w:val="7"/>
                <w:rFonts w:eastAsia="宋体"/>
                <w:sz w:val="44"/>
                <w:szCs w:val="44"/>
                <w:lang w:val="en-US" w:eastAsia="zh-CN" w:bidi="ar"/>
              </w:rPr>
              <w:t>2021</w:t>
            </w:r>
            <w:r>
              <w:rPr>
                <w:rStyle w:val="6"/>
                <w:sz w:val="44"/>
                <w:szCs w:val="44"/>
                <w:lang w:val="en-US" w:eastAsia="zh-CN" w:bidi="ar"/>
              </w:rPr>
              <w:t>年）</w:t>
            </w:r>
            <w:bookmarkEnd w:id="0"/>
          </w:p>
        </w:tc>
        <w:tc>
          <w:tcPr>
            <w:tcW w:w="1163"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6"/>
                <w:lang w:val="en-US" w:eastAsia="zh-CN" w:bidi="ar"/>
              </w:rPr>
            </w:pPr>
          </w:p>
        </w:tc>
      </w:tr>
      <w:tr>
        <w:tblPrEx>
          <w:shd w:val="clear" w:color="auto" w:fill="auto"/>
          <w:tblCellMar>
            <w:top w:w="0" w:type="dxa"/>
            <w:left w:w="0" w:type="dxa"/>
            <w:bottom w:w="0" w:type="dxa"/>
            <w:right w:w="0" w:type="dxa"/>
          </w:tblCellMar>
        </w:tblPrEx>
        <w:trPr>
          <w:trHeight w:val="390" w:hRule="atLeast"/>
        </w:trPr>
        <w:tc>
          <w:tcPr>
            <w:tcW w:w="15137" w:type="dxa"/>
            <w:gridSpan w:val="7"/>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116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gridAfter w:val="2"/>
          <w:wAfter w:w="1163" w:type="dxa"/>
          <w:trHeight w:val="390" w:hRule="atLeast"/>
        </w:trPr>
        <w:tc>
          <w:tcPr>
            <w:tcW w:w="4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7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事项</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重点任务</w:t>
            </w:r>
          </w:p>
        </w:tc>
        <w:tc>
          <w:tcPr>
            <w:tcW w:w="1158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rPr>
            </w:pPr>
            <w:r>
              <w:rPr>
                <w:rFonts w:hint="eastAsia" w:ascii="黑体" w:hAnsi="黑体" w:eastAsia="黑体" w:cs="黑体"/>
                <w:i w:val="0"/>
                <w:color w:val="000000"/>
                <w:kern w:val="0"/>
                <w:sz w:val="21"/>
                <w:szCs w:val="21"/>
                <w:u w:val="none"/>
                <w:lang w:val="en-US" w:eastAsia="zh-CN" w:bidi="ar"/>
              </w:rPr>
              <w:t>工作要求</w:t>
            </w:r>
          </w:p>
        </w:tc>
      </w:tr>
      <w:tr>
        <w:tblPrEx>
          <w:shd w:val="clear" w:color="auto" w:fill="auto"/>
          <w:tblCellMar>
            <w:top w:w="0" w:type="dxa"/>
            <w:left w:w="0" w:type="dxa"/>
            <w:bottom w:w="0" w:type="dxa"/>
            <w:right w:w="0" w:type="dxa"/>
          </w:tblCellMar>
        </w:tblPrEx>
        <w:trPr>
          <w:gridAfter w:val="2"/>
          <w:wAfter w:w="1163" w:type="dxa"/>
          <w:trHeight w:val="1630" w:hRule="atLeast"/>
        </w:trPr>
        <w:tc>
          <w:tcPr>
            <w:tcW w:w="4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73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统筹规范督查检查评比考核事  项</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教育部门明确面向中小学校及教师的督查检查评比考核项目设置及工作程序，坚持归口管理原则，实行年度计划审批报备制度</w:t>
            </w:r>
          </w:p>
        </w:tc>
        <w:tc>
          <w:tcPr>
            <w:tcW w:w="1158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面向中小学校及教师的督查检查评比考核项目设置坚持归口管理原则，实行年度计划审批报备制度，由市县（区）相关部门提出设置需求，经教育部门统筹协调，统一报县区党委办公室统一审批。教育部门制定面向中小学校和教师督查检查评比考核事项年度计划，建立项目清单，并向社会公布。同时6月底前以市为单位统一向省教育厅教师工作处报备。原则上面向中小学的常规性评比考核项目一年不得超过3个，督查检查不超过5次，并在每年集中发布。</w:t>
            </w:r>
          </w:p>
        </w:tc>
      </w:tr>
      <w:tr>
        <w:tblPrEx>
          <w:shd w:val="clear" w:color="auto" w:fill="auto"/>
          <w:tblCellMar>
            <w:top w:w="0" w:type="dxa"/>
            <w:left w:w="0" w:type="dxa"/>
            <w:bottom w:w="0" w:type="dxa"/>
            <w:right w:w="0" w:type="dxa"/>
          </w:tblCellMar>
        </w:tblPrEx>
        <w:trPr>
          <w:gridAfter w:val="2"/>
          <w:wAfter w:w="1163" w:type="dxa"/>
          <w:trHeight w:val="1330" w:hRule="atLeast"/>
        </w:trPr>
        <w:tc>
          <w:tcPr>
            <w:tcW w:w="4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739"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教育部门建立统筹协调开展督查检查评比考核工作制度</w:t>
            </w:r>
          </w:p>
        </w:tc>
        <w:tc>
          <w:tcPr>
            <w:tcW w:w="11580"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中小学校和教师的督查检查评比考核事项，除教育部门外，其他部门不得自行设置，确需开展的要商教育部门按程序报当地党委审批后实施。涉及中小学校的安全、综治、消防、交通及卫生、食品安全等方面的常规性督查检查评比考核事项要统筹规划，合并进行，涉及多部门的联合组团开展，不能层层加码、扩大范围、增加环节、延长时间，坚决避免对学校和教师随意提出要求。除重大紧急事项外，对中小学校开展的临时性检查督查须向当地党委办公室报告并经同意后方可实施。</w:t>
            </w:r>
          </w:p>
        </w:tc>
      </w:tr>
      <w:tr>
        <w:tblPrEx>
          <w:shd w:val="clear" w:color="auto" w:fill="auto"/>
          <w:tblCellMar>
            <w:top w:w="0" w:type="dxa"/>
            <w:left w:w="0" w:type="dxa"/>
            <w:bottom w:w="0" w:type="dxa"/>
            <w:right w:w="0" w:type="dxa"/>
          </w:tblCellMar>
        </w:tblPrEx>
        <w:trPr>
          <w:gridAfter w:val="2"/>
          <w:wAfter w:w="1163" w:type="dxa"/>
          <w:trHeight w:val="681"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清理精简现有督察检查评比考核事项</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6月底前，各市、县（区）在全面梳理2020年以来涉及中小学校和教师的督查检查评比考核事项基础上，进行一次集中清理，确保在现有基础上减少50%，清理后保留的事项实行清单管理，报省教育厅教师处备案。</w:t>
            </w:r>
          </w:p>
        </w:tc>
      </w:tr>
      <w:tr>
        <w:tblPrEx>
          <w:shd w:val="clear" w:color="auto" w:fill="auto"/>
          <w:tblCellMar>
            <w:top w:w="0" w:type="dxa"/>
            <w:left w:w="0" w:type="dxa"/>
            <w:bottom w:w="0" w:type="dxa"/>
            <w:right w:w="0" w:type="dxa"/>
          </w:tblCellMar>
        </w:tblPrEx>
        <w:trPr>
          <w:gridAfter w:val="2"/>
          <w:wAfter w:w="1163" w:type="dxa"/>
          <w:trHeight w:val="1083"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改进督查检查评比考核方式方法，完善考核评价体系</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重工作实绩，不得以留痕作为评判工作成效的标准，不得以微信工作群、政务APP上传工作场景截图或录制视频等方式来代替实际工作评价，不能工作刚安排就开展督查检查评比考核。全面核查在中小学职称评聘、年度考核、评先树优和专业技能竞赛等评比考核中，以考试成绩、升学率、学历、论文、奖项作为唯一性评价指标的要求。</w:t>
            </w:r>
          </w:p>
        </w:tc>
      </w:tr>
      <w:tr>
        <w:tblPrEx>
          <w:shd w:val="clear" w:color="auto" w:fill="auto"/>
          <w:tblCellMar>
            <w:top w:w="0" w:type="dxa"/>
            <w:left w:w="0" w:type="dxa"/>
            <w:bottom w:w="0" w:type="dxa"/>
            <w:right w:w="0" w:type="dxa"/>
          </w:tblCellMar>
        </w:tblPrEx>
        <w:trPr>
          <w:gridAfter w:val="2"/>
          <w:wAfter w:w="1163" w:type="dxa"/>
          <w:trHeight w:val="7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73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统筹规范社会事务进校  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规范部署教育帮扶任务</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引导广大教师关心支持教育帮扶工作，充分运用校园和课堂教育开展教育帮扶，结合教育教学工作，扎实开展贫困学生结对帮扶、农村留守儿童关爱保护等工作。各地要汇总中小学教师参与巩固拓展脱贫攻坚成果任务的情况。</w:t>
            </w:r>
          </w:p>
        </w:tc>
      </w:tr>
      <w:tr>
        <w:tblPrEx>
          <w:shd w:val="clear" w:color="auto" w:fill="auto"/>
          <w:tblCellMar>
            <w:top w:w="0" w:type="dxa"/>
            <w:left w:w="0" w:type="dxa"/>
            <w:bottom w:w="0" w:type="dxa"/>
            <w:right w:w="0" w:type="dxa"/>
          </w:tblCellMar>
        </w:tblPrEx>
        <w:trPr>
          <w:gridAfter w:val="2"/>
          <w:wAfter w:w="1163" w:type="dxa"/>
          <w:trHeight w:val="61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7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合理安排专项任务</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确需中小学教师参与的，教育部门严格按要求依程序统筹安排，一般不得影响正常教育教学，不得安排中小学教师到与教育教学无关的场所开展相关工作。</w:t>
            </w:r>
          </w:p>
        </w:tc>
      </w:tr>
      <w:tr>
        <w:tblPrEx>
          <w:shd w:val="clear" w:color="auto" w:fill="auto"/>
          <w:tblCellMar>
            <w:top w:w="0" w:type="dxa"/>
            <w:left w:w="0" w:type="dxa"/>
            <w:bottom w:w="0" w:type="dxa"/>
            <w:right w:w="0" w:type="dxa"/>
          </w:tblCellMar>
        </w:tblPrEx>
        <w:trPr>
          <w:gridAfter w:val="2"/>
          <w:wAfter w:w="1163" w:type="dxa"/>
          <w:trHeight w:val="63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73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合理安排城市创优评先任务</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涉及中小学校的，由教育部门严格按要求依程序统筹安排，原则上不得安排教师上街执勤或做其他与教师职责无关的工作，不得影响正常教育教学。</w:t>
            </w:r>
          </w:p>
        </w:tc>
      </w:tr>
      <w:tr>
        <w:tblPrEx>
          <w:shd w:val="clear" w:color="auto" w:fill="auto"/>
          <w:tblCellMar>
            <w:top w:w="0" w:type="dxa"/>
            <w:left w:w="0" w:type="dxa"/>
            <w:bottom w:w="0" w:type="dxa"/>
            <w:right w:w="0" w:type="dxa"/>
          </w:tblCellMar>
        </w:tblPrEx>
        <w:trPr>
          <w:gridAfter w:val="2"/>
          <w:wAfter w:w="1163" w:type="dxa"/>
          <w:trHeight w:val="40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73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统筹规范社会事务进校  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合理安排街道社区事务</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街道社区对教师参与有关活动提出不合理要求或所提要求影响教育教学的，学校有权予以拒绝。</w:t>
            </w:r>
          </w:p>
        </w:tc>
      </w:tr>
      <w:tr>
        <w:tblPrEx>
          <w:shd w:val="clear" w:color="auto" w:fill="auto"/>
          <w:tblCellMar>
            <w:top w:w="0" w:type="dxa"/>
            <w:left w:w="0" w:type="dxa"/>
            <w:bottom w:w="0" w:type="dxa"/>
            <w:right w:w="0" w:type="dxa"/>
          </w:tblCellMar>
        </w:tblPrEx>
        <w:trPr>
          <w:gridAfter w:val="2"/>
          <w:wAfter w:w="1163" w:type="dxa"/>
          <w:trHeight w:val="716"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7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科学安排有关教育</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宣传活动</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宣传活动要根据中小学生德智体美劳全面发展的需要，由教育部门整体规划、分类指导、统筹安排进入校园。按要求开展的形势教育“进校园”要以实践活动为主，生动活泼，寓教于乐，各中小学校每学年的主题宣传教育不得超过2个。</w:t>
            </w:r>
          </w:p>
        </w:tc>
      </w:tr>
      <w:tr>
        <w:tblPrEx>
          <w:shd w:val="clear" w:color="auto" w:fill="auto"/>
          <w:tblCellMar>
            <w:top w:w="0" w:type="dxa"/>
            <w:left w:w="0" w:type="dxa"/>
            <w:bottom w:w="0" w:type="dxa"/>
            <w:right w:w="0" w:type="dxa"/>
          </w:tblCellMar>
        </w:tblPrEx>
        <w:trPr>
          <w:gridAfter w:val="2"/>
          <w:wAfter w:w="1163" w:type="dxa"/>
          <w:trHeight w:val="599"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73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坚决杜绝强制摊派无关事项</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不得把一些地方政府部门和企业等与教育教学无关的活动和工作强制摊派给中小学校，并向教师下达指令性任务，不得随意让学校停课出人出场地举办有关活动。</w:t>
            </w:r>
          </w:p>
        </w:tc>
      </w:tr>
      <w:tr>
        <w:tblPrEx>
          <w:shd w:val="clear" w:color="auto" w:fill="auto"/>
          <w:tblCellMar>
            <w:top w:w="0" w:type="dxa"/>
            <w:left w:w="0" w:type="dxa"/>
            <w:bottom w:w="0" w:type="dxa"/>
            <w:right w:w="0" w:type="dxa"/>
          </w:tblCellMar>
        </w:tblPrEx>
        <w:trPr>
          <w:gridAfter w:val="2"/>
          <w:wAfter w:w="1163" w:type="dxa"/>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统筹规范精简相关报表填写工  作</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规范精简各类报表填写</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统筹安排各类报表填报工作，精简填写内容和次数，杜绝重复上报各种数据及多头填写表格现象。</w:t>
            </w:r>
          </w:p>
        </w:tc>
      </w:tr>
      <w:tr>
        <w:tblPrEx>
          <w:shd w:val="clear" w:color="auto" w:fill="auto"/>
          <w:tblCellMar>
            <w:top w:w="0" w:type="dxa"/>
            <w:left w:w="0" w:type="dxa"/>
            <w:bottom w:w="0" w:type="dxa"/>
            <w:right w:w="0" w:type="dxa"/>
          </w:tblCellMar>
        </w:tblPrEx>
        <w:trPr>
          <w:gridAfter w:val="2"/>
          <w:wAfter w:w="1163" w:type="dxa"/>
          <w:trHeight w:val="70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规范教育统计和调研工作，落实报请审批备案制度</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除国家统计局外，其他部门开展涉及中小学校和教师的教育统计工作须向同级政府统计机构报请审批备案。针对中小学教师开展的调研活动，须经教育部门同意并部署，坚决避免不同部门多头和重复调研。</w:t>
            </w:r>
          </w:p>
        </w:tc>
      </w:tr>
      <w:tr>
        <w:tblPrEx>
          <w:shd w:val="clear" w:color="auto" w:fill="auto"/>
          <w:tblCellMar>
            <w:top w:w="0" w:type="dxa"/>
            <w:left w:w="0" w:type="dxa"/>
            <w:bottom w:w="0" w:type="dxa"/>
            <w:right w:w="0" w:type="dxa"/>
          </w:tblCellMar>
        </w:tblPrEx>
        <w:trPr>
          <w:gridAfter w:val="2"/>
          <w:wAfter w:w="1163" w:type="dxa"/>
          <w:trHeight w:val="103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加强信息管理系统建设，提升数据采集信息化水平</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基本信息管理和使用，努力做到一次采集多次使用，提升教育管理工作信息化、科学化水平，切实做到让信息多跑路、让教师少跑腿。11月底之前，全省集中组织中小学教师在陕西省教师工作管理平台（http://jsgz.sneducloud.com）填写基本信息数据，各地要结合实际提前做好填写准备工作。</w:t>
            </w:r>
          </w:p>
        </w:tc>
      </w:tr>
      <w:tr>
        <w:tblPrEx>
          <w:shd w:val="clear" w:color="auto" w:fill="auto"/>
          <w:tblCellMar>
            <w:top w:w="0" w:type="dxa"/>
            <w:left w:w="0" w:type="dxa"/>
            <w:bottom w:w="0" w:type="dxa"/>
            <w:right w:w="0" w:type="dxa"/>
          </w:tblCellMar>
        </w:tblPrEx>
        <w:trPr>
          <w:gridAfter w:val="2"/>
          <w:wAfter w:w="1163" w:type="dxa"/>
          <w:trHeight w:val="135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统筹规范抽调借用中小学教师事宜</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从严规范借用中小学教师行为，落实审批报备制度</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行政部门要统筹安排好中小学教师使用工作，严格限制和规范有关部门对中小学教师的抽调借用行为。对于借用中小学教师参与贯彻落实党和国家重大决策部署任务的，在不影响学校正常教育教学工作情况下，须经县级以上教育行政部门同意，并报县级党委审批，借用期限原则上不超过半年。严禁挤占、挪用、截留编制和有编不补，事业编制要优先保障边远艰苦地区和农村学校教师需求，根据乡镇寄宿制学校实际需要，探索将学校安保、生活保障等纳入政府购买服务范围，通过市场方式提供，保证中小学校师资力量充足。</w:t>
            </w:r>
          </w:p>
        </w:tc>
      </w:tr>
      <w:tr>
        <w:tblPrEx>
          <w:shd w:val="clear" w:color="auto" w:fill="auto"/>
          <w:tblCellMar>
            <w:top w:w="0" w:type="dxa"/>
            <w:left w:w="0" w:type="dxa"/>
            <w:bottom w:w="0" w:type="dxa"/>
            <w:right w:w="0" w:type="dxa"/>
          </w:tblCellMar>
        </w:tblPrEx>
        <w:trPr>
          <w:gridAfter w:val="2"/>
          <w:wAfter w:w="1163" w:type="dxa"/>
          <w:trHeight w:val="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避免安排中小学教师参加无关培训活动</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部门要加强对中小学教师培训的审批和管理，统筹规划各级各类培训，严格执行《陕西省中小学教师培训学分认定与管理办法（试行）》，加大对教师业务培训的管理。非教育行政部门组织的未经审批的培训不予认定学分，切实减轻因培训过多过密给中小学教师带来的负担。面向中小学教师的培训活动，要紧密结合工作实际，改进培训模式，优化培训内容，分级分类实施，充分提高培训的针对性。要合理安排好培训时间，协调好教学、提升和休息之间的矛盾，不得以培训名义随意占用教师的休息时间。</w:t>
            </w:r>
          </w:p>
        </w:tc>
      </w:tr>
      <w:tr>
        <w:tblPrEx>
          <w:shd w:val="clear" w:color="auto" w:fill="auto"/>
          <w:tblCellMar>
            <w:top w:w="0" w:type="dxa"/>
            <w:left w:w="0" w:type="dxa"/>
            <w:bottom w:w="0" w:type="dxa"/>
            <w:right w:w="0" w:type="dxa"/>
          </w:tblCellMar>
        </w:tblPrEx>
        <w:trPr>
          <w:gridAfter w:val="2"/>
          <w:wAfter w:w="1163" w:type="dxa"/>
          <w:trHeight w:val="66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加强</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宣传</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广泛宣传国家及省级教师减减负清单相关文件</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val="en-US" w:eastAsia="zh-CN"/>
              </w:rPr>
              <w:t>加强政策宣传引导，及时向省教育厅报送工作简报及教师减负典型工作经验及案例。</w:t>
            </w:r>
          </w:p>
        </w:tc>
      </w:tr>
      <w:tr>
        <w:tblPrEx>
          <w:shd w:val="clear" w:color="auto" w:fill="auto"/>
          <w:tblCellMar>
            <w:top w:w="0" w:type="dxa"/>
            <w:left w:w="0" w:type="dxa"/>
            <w:bottom w:w="0" w:type="dxa"/>
            <w:right w:w="0" w:type="dxa"/>
          </w:tblCellMar>
        </w:tblPrEx>
        <w:trPr>
          <w:gridAfter w:val="2"/>
          <w:wAfter w:w="1163" w:type="dxa"/>
          <w:trHeight w:val="18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引导社会对中小学教师减负工作的监  督</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各级教育部门公布举报电话和邮箱</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5月底前，各市、县（区）教育部门在官方网站，微信公众号等公布中小学学校和教师减负工作举报电话和邮箱，各地举报电话和邮箱以市为单位发送至省教育厅教师处电子邮箱。</w:t>
            </w:r>
          </w:p>
        </w:tc>
      </w:tr>
    </w:tbl>
    <w:p>
      <w:pPr>
        <w:rPr>
          <w:rFonts w:hint="eastAsia" w:ascii="仿宋_GB2312" w:hAnsi="仿宋_GB2312" w:eastAsia="仿宋_GB2312" w:cs="仿宋_GB2312"/>
          <w:sz w:val="32"/>
          <w:szCs w:val="32"/>
          <w:lang w:val="en-US" w:eastAsia="zh-CN"/>
        </w:rPr>
      </w:pPr>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C1CB6"/>
    <w:rsid w:val="07267872"/>
    <w:rsid w:val="14926A1D"/>
    <w:rsid w:val="16FB354F"/>
    <w:rsid w:val="1EC639D2"/>
    <w:rsid w:val="1F512155"/>
    <w:rsid w:val="1FD6210E"/>
    <w:rsid w:val="25A00C0A"/>
    <w:rsid w:val="279BB511"/>
    <w:rsid w:val="2B742267"/>
    <w:rsid w:val="2CE720DE"/>
    <w:rsid w:val="3C9D4733"/>
    <w:rsid w:val="41C24AA3"/>
    <w:rsid w:val="42BE61E1"/>
    <w:rsid w:val="452D7782"/>
    <w:rsid w:val="4DBB0EDF"/>
    <w:rsid w:val="553D1E5F"/>
    <w:rsid w:val="5A9C158F"/>
    <w:rsid w:val="634C5DD6"/>
    <w:rsid w:val="67BD0A42"/>
    <w:rsid w:val="6F1C1CB6"/>
    <w:rsid w:val="70930EBB"/>
    <w:rsid w:val="7ACA25B2"/>
    <w:rsid w:val="7E591F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character" w:styleId="5">
    <w:name w:val="page number"/>
    <w:uiPriority w:val="0"/>
    <w:rPr>
      <w:rFonts w:cs="Times New Roman"/>
    </w:rPr>
  </w:style>
  <w:style w:type="character" w:customStyle="1" w:styleId="6">
    <w:name w:val="font01"/>
    <w:basedOn w:val="4"/>
    <w:uiPriority w:val="0"/>
    <w:rPr>
      <w:rFonts w:ascii="方正小标宋简体" w:hAnsi="方正小标宋简体" w:eastAsia="方正小标宋简体" w:cs="方正小标宋简体"/>
      <w:color w:val="000000"/>
      <w:sz w:val="40"/>
      <w:szCs w:val="40"/>
      <w:u w:val="none"/>
    </w:rPr>
  </w:style>
  <w:style w:type="character" w:customStyle="1" w:styleId="7">
    <w:name w:val="font21"/>
    <w:basedOn w:val="4"/>
    <w:uiPriority w:val="0"/>
    <w:rPr>
      <w:rFonts w:hint="default" w:ascii="Times New Roman" w:hAnsi="Times New Roman" w:cs="Times New Roman"/>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18</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2021-06-11T15:09:00Z</dcterms:created>
  <dc:creator>千里马</dc:creator>
  <cp:lastModifiedBy>☞九尾狐☆</cp:lastModifiedBy>
  <dcterms:modified xsi:type="dcterms:W3CDTF">2021-06-17T09:16:03Z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88AECD41EEC1470D9786BF6892C33C2C</vt:lpwstr>
  </property>
</Properties>
</file>