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96" w:beforeLines="800" w:after="3744" w:afterLines="1200" w:line="480" w:lineRule="auto"/>
        <w:jc w:val="center"/>
        <w:rPr>
          <w:b/>
          <w:bCs/>
          <w:spacing w:val="-10"/>
          <w:sz w:val="72"/>
          <w:szCs w:val="72"/>
        </w:rPr>
      </w:pPr>
      <w:r>
        <w:rPr>
          <w:b/>
          <w:bCs/>
          <w:spacing w:val="-10"/>
          <w:sz w:val="72"/>
          <w:szCs w:val="72"/>
        </w:rPr>
        <w:t>建设项目环境影响报告表</w:t>
      </w:r>
    </w:p>
    <w:p>
      <w:pPr>
        <w:rPr>
          <w:b/>
          <w:sz w:val="32"/>
          <w:szCs w:val="32"/>
        </w:rPr>
      </w:pPr>
    </w:p>
    <w:p>
      <w:pPr>
        <w:jc w:val="center"/>
        <w:rPr>
          <w:b/>
          <w:sz w:val="32"/>
          <w:u w:val="single"/>
        </w:rPr>
      </w:pPr>
      <w:r>
        <w:rPr>
          <w:b/>
          <w:sz w:val="32"/>
          <w:szCs w:val="32"/>
        </w:rPr>
        <w:t>项目名称</w:t>
      </w:r>
      <w:r>
        <w:rPr>
          <w:b/>
          <w:spacing w:val="20"/>
          <w:sz w:val="32"/>
          <w:szCs w:val="32"/>
        </w:rPr>
        <w:t>:</w:t>
      </w:r>
      <w:r>
        <w:rPr>
          <w:rFonts w:hint="eastAsia"/>
          <w:b/>
          <w:sz w:val="32"/>
          <w:u w:val="single"/>
        </w:rPr>
        <w:t>陕西泰茂固体废弃物综合利用石泉杨柳基地建设项目</w:t>
      </w:r>
    </w:p>
    <w:p>
      <w:pPr>
        <w:ind w:firstLine="627" w:firstLineChars="196"/>
        <w:jc w:val="center"/>
        <w:rPr>
          <w:b/>
          <w:sz w:val="32"/>
          <w:szCs w:val="32"/>
          <w:u w:val="single"/>
        </w:rPr>
      </w:pPr>
      <w:r>
        <w:rPr>
          <w:b/>
          <w:sz w:val="32"/>
          <w:szCs w:val="32"/>
        </w:rPr>
        <w:t>建设单位(盖章):</w:t>
      </w:r>
      <w:r>
        <w:rPr>
          <w:rFonts w:hint="eastAsia"/>
          <w:b/>
          <w:sz w:val="32"/>
          <w:u w:val="single"/>
        </w:rPr>
        <w:t>陕西泰茂建筑工程</w:t>
      </w:r>
      <w:r>
        <w:rPr>
          <w:b/>
          <w:sz w:val="32"/>
          <w:u w:val="single"/>
        </w:rPr>
        <w:t>有限公司</w:t>
      </w:r>
    </w:p>
    <w:p>
      <w:pPr>
        <w:spacing w:before="4368" w:beforeLines="1400" w:line="480" w:lineRule="auto"/>
        <w:jc w:val="center"/>
        <w:rPr>
          <w:b/>
          <w:sz w:val="32"/>
        </w:rPr>
      </w:pPr>
      <w:r>
        <w:rPr>
          <w:b/>
          <w:sz w:val="32"/>
        </w:rPr>
        <w:t>编制日期：20</w:t>
      </w:r>
      <w:r>
        <w:rPr>
          <w:rFonts w:hint="eastAsia"/>
          <w:b/>
          <w:sz w:val="32"/>
        </w:rPr>
        <w:t>20</w:t>
      </w:r>
      <w:r>
        <w:rPr>
          <w:b/>
          <w:sz w:val="32"/>
        </w:rPr>
        <w:t>年</w:t>
      </w:r>
      <w:r>
        <w:rPr>
          <w:rFonts w:hint="eastAsia"/>
          <w:b/>
          <w:sz w:val="32"/>
        </w:rPr>
        <w:t>12</w:t>
      </w:r>
      <w:r>
        <w:rPr>
          <w:b/>
          <w:sz w:val="32"/>
        </w:rPr>
        <w:t>月</w:t>
      </w:r>
    </w:p>
    <w:p>
      <w:pPr>
        <w:spacing w:before="624" w:beforeLines="200" w:after="312" w:afterLines="100"/>
        <w:jc w:val="center"/>
        <w:rPr>
          <w:sz w:val="32"/>
        </w:rPr>
        <w:sectPr>
          <w:pgSz w:w="11906" w:h="16838"/>
          <w:pgMar w:top="1418" w:right="1378" w:bottom="1281" w:left="1582" w:header="851" w:footer="992" w:gutter="0"/>
          <w:pgNumType w:start="1"/>
          <w:cols w:space="720" w:num="1"/>
          <w:docGrid w:type="linesAndChars" w:linePitch="312" w:charSpace="0"/>
        </w:sectPr>
      </w:pPr>
    </w:p>
    <w:p>
      <w:pPr>
        <w:spacing w:before="624" w:beforeLines="200" w:after="312" w:afterLines="100"/>
        <w:jc w:val="center"/>
        <w:rPr>
          <w:sz w:val="32"/>
        </w:rPr>
      </w:pPr>
      <w:r>
        <w:rPr>
          <w:sz w:val="32"/>
        </w:rPr>
        <w:br w:type="page"/>
      </w:r>
    </w:p>
    <w:p>
      <w:pPr>
        <w:spacing w:before="624" w:beforeLines="200" w:after="312" w:afterLines="100"/>
        <w:jc w:val="center"/>
        <w:rPr>
          <w:sz w:val="32"/>
        </w:rPr>
      </w:pPr>
      <w:r>
        <w:rPr>
          <w:sz w:val="32"/>
        </w:rPr>
        <w:t>《建设项目环境影响报告表》编制说明</w:t>
      </w:r>
    </w:p>
    <w:p>
      <w:pPr>
        <w:spacing w:line="360" w:lineRule="auto"/>
        <w:ind w:firstLine="560" w:firstLineChars="200"/>
        <w:rPr>
          <w:sz w:val="28"/>
          <w:szCs w:val="28"/>
        </w:rPr>
      </w:pPr>
      <w:r>
        <w:rPr>
          <w:sz w:val="28"/>
        </w:rPr>
        <w:t>《建设项目环境影响</w:t>
      </w:r>
      <w:r>
        <w:rPr>
          <w:sz w:val="28"/>
          <w:szCs w:val="28"/>
        </w:rPr>
        <w:t>报告表》由具有从事环境影响评价工作资质的单位编制。</w:t>
      </w:r>
    </w:p>
    <w:p>
      <w:pPr>
        <w:spacing w:line="360" w:lineRule="auto"/>
        <w:ind w:firstLine="560" w:firstLineChars="200"/>
        <w:rPr>
          <w:sz w:val="28"/>
          <w:szCs w:val="28"/>
        </w:rPr>
      </w:pPr>
      <w:r>
        <w:rPr>
          <w:sz w:val="28"/>
          <w:szCs w:val="28"/>
        </w:rPr>
        <w:t>1.项目名称——指项目立项批复时的名称，应不超过30个字（两个英文字段作一个汉字）。</w:t>
      </w:r>
    </w:p>
    <w:p>
      <w:pPr>
        <w:spacing w:line="360" w:lineRule="auto"/>
        <w:ind w:firstLine="560" w:firstLineChars="200"/>
        <w:rPr>
          <w:sz w:val="28"/>
          <w:szCs w:val="28"/>
        </w:rPr>
      </w:pPr>
      <w:r>
        <w:rPr>
          <w:sz w:val="28"/>
          <w:szCs w:val="28"/>
        </w:rPr>
        <w:t>2.建设地点——指项目所在地详细地址，公路、铁路应填写起止地点。</w:t>
      </w:r>
    </w:p>
    <w:p>
      <w:pPr>
        <w:spacing w:line="360" w:lineRule="auto"/>
        <w:ind w:firstLine="560" w:firstLineChars="200"/>
        <w:rPr>
          <w:sz w:val="28"/>
        </w:rPr>
      </w:pPr>
      <w:r>
        <w:rPr>
          <w:sz w:val="28"/>
          <w:szCs w:val="28"/>
        </w:rPr>
        <w:t>3.行业类别——按国标填</w:t>
      </w:r>
      <w:r>
        <w:rPr>
          <w:sz w:val="28"/>
        </w:rPr>
        <w:t>写。</w:t>
      </w:r>
    </w:p>
    <w:p>
      <w:pPr>
        <w:spacing w:line="360" w:lineRule="auto"/>
        <w:ind w:firstLine="560" w:firstLineChars="200"/>
        <w:rPr>
          <w:sz w:val="28"/>
        </w:rPr>
      </w:pPr>
      <w:r>
        <w:rPr>
          <w:sz w:val="28"/>
        </w:rPr>
        <w:t>4.总投资——指项目投资总额。</w:t>
      </w:r>
    </w:p>
    <w:p>
      <w:pPr>
        <w:spacing w:line="360" w:lineRule="auto"/>
        <w:ind w:firstLine="560" w:firstLineChars="200"/>
        <w:rPr>
          <w:sz w:val="28"/>
        </w:rPr>
      </w:pPr>
      <w:r>
        <w:rPr>
          <w:sz w:val="28"/>
        </w:rPr>
        <w:t>5.主要环境保护目标——指项目区周围一定范围内集中居民住宅区、学校、医院、保护文物、风景名胜区、水源地和生态敏感点等，应尽可能给出保护目标、性质、规模和距场界距离等。</w:t>
      </w:r>
    </w:p>
    <w:p>
      <w:pPr>
        <w:spacing w:line="360" w:lineRule="auto"/>
        <w:ind w:firstLine="560" w:firstLineChars="200"/>
        <w:rPr>
          <w:sz w:val="28"/>
        </w:rPr>
      </w:pPr>
      <w:r>
        <w:rPr>
          <w:sz w:val="28"/>
        </w:rPr>
        <w:t>6.结论与建议——给出本项目清洁生产、达标排放和总量控制的分析结论，确定污染防治措施的有效性，说明本项目对环境造成的影响，给出建设项目环境可行性的明确结论。同时提出减少环境影响的其它建议。</w:t>
      </w:r>
    </w:p>
    <w:p>
      <w:pPr>
        <w:spacing w:line="360" w:lineRule="auto"/>
        <w:ind w:firstLine="560" w:firstLineChars="200"/>
        <w:rPr>
          <w:sz w:val="28"/>
        </w:rPr>
      </w:pPr>
      <w:r>
        <w:rPr>
          <w:sz w:val="28"/>
        </w:rPr>
        <w:t>7.预审意见——由行业主管部门填写答复意见，无主管部门项目，可不填。</w:t>
      </w:r>
    </w:p>
    <w:p>
      <w:pPr>
        <w:spacing w:line="360" w:lineRule="auto"/>
        <w:ind w:firstLine="560" w:firstLineChars="200"/>
        <w:rPr>
          <w:b/>
          <w:sz w:val="28"/>
        </w:rPr>
      </w:pPr>
      <w:r>
        <w:rPr>
          <w:sz w:val="28"/>
        </w:rPr>
        <w:t>8.审批意见——由负责审批本项目的环境保护行政主管部门批复</w:t>
      </w:r>
      <w:r>
        <w:rPr>
          <w:b/>
          <w:sz w:val="28"/>
        </w:rPr>
        <w:t>。</w:t>
      </w:r>
    </w:p>
    <w:p>
      <w:pPr>
        <w:pStyle w:val="6"/>
      </w:pPr>
    </w:p>
    <w:p>
      <w:pPr>
        <w:sectPr>
          <w:pgSz w:w="11906" w:h="16838"/>
          <w:pgMar w:top="1418" w:right="1418" w:bottom="1418" w:left="1418" w:header="851" w:footer="992" w:gutter="0"/>
          <w:pgNumType w:start="1"/>
          <w:cols w:space="720" w:num="1"/>
          <w:docGrid w:type="linesAndChars" w:linePitch="312" w:charSpace="0"/>
        </w:sectPr>
      </w:pPr>
    </w:p>
    <w:p>
      <w:pPr>
        <w:pStyle w:val="15"/>
        <w:spacing w:before="0" w:after="0" w:line="360" w:lineRule="auto"/>
        <w:jc w:val="left"/>
        <w:rPr>
          <w:rFonts w:ascii="Times New Roman" w:hAnsi="Times New Roman"/>
        </w:rPr>
        <w:sectPr>
          <w:footerReference r:id="rId3" w:type="default"/>
          <w:pgSz w:w="11906" w:h="16838"/>
          <w:pgMar w:top="1418" w:right="1418" w:bottom="1418" w:left="1418" w:header="851" w:footer="992" w:gutter="0"/>
          <w:pgNumType w:start="1"/>
          <w:cols w:space="720" w:num="1"/>
          <w:docGrid w:type="linesAndChars" w:linePitch="312" w:charSpace="0"/>
        </w:sectPr>
      </w:pPr>
    </w:p>
    <w:p>
      <w:pPr>
        <w:pStyle w:val="15"/>
        <w:spacing w:before="0" w:after="0" w:line="360" w:lineRule="auto"/>
        <w:jc w:val="left"/>
        <w:rPr>
          <w:rFonts w:ascii="Times New Roman" w:hAnsi="Times New Roman"/>
        </w:rPr>
      </w:pPr>
      <w:r>
        <w:rPr>
          <w:rFonts w:ascii="Times New Roman" w:hAnsi="Times New Roman"/>
        </w:rPr>
        <w:t>建设项目基本情况</w:t>
      </w:r>
    </w:p>
    <w:tbl>
      <w:tblPr>
        <w:tblStyle w:val="19"/>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528"/>
        <w:gridCol w:w="1132"/>
        <w:gridCol w:w="1169"/>
        <w:gridCol w:w="815"/>
        <w:gridCol w:w="69"/>
        <w:gridCol w:w="1227"/>
        <w:gridCol w:w="862"/>
        <w:gridCol w:w="1027"/>
        <w:gridCol w:w="215"/>
        <w:gridCol w:w="1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项目名称</w:t>
            </w:r>
          </w:p>
        </w:tc>
        <w:tc>
          <w:tcPr>
            <w:tcW w:w="7758" w:type="dxa"/>
            <w:gridSpan w:val="9"/>
            <w:vAlign w:val="center"/>
          </w:tcPr>
          <w:p>
            <w:pPr>
              <w:adjustRightInd w:val="0"/>
              <w:snapToGrid w:val="0"/>
              <w:jc w:val="center"/>
              <w:rPr>
                <w:sz w:val="24"/>
              </w:rPr>
            </w:pPr>
            <w:r>
              <w:rPr>
                <w:sz w:val="24"/>
              </w:rPr>
              <w:t>陕西泰茂固体废弃物综合利用石泉杨柳基地建设项目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建设单位</w:t>
            </w:r>
          </w:p>
        </w:tc>
        <w:tc>
          <w:tcPr>
            <w:tcW w:w="7758" w:type="dxa"/>
            <w:gridSpan w:val="9"/>
            <w:vAlign w:val="center"/>
          </w:tcPr>
          <w:p>
            <w:pPr>
              <w:adjustRightInd w:val="0"/>
              <w:snapToGrid w:val="0"/>
              <w:jc w:val="center"/>
              <w:rPr>
                <w:sz w:val="28"/>
                <w:szCs w:val="28"/>
              </w:rPr>
            </w:pPr>
            <w:r>
              <w:rPr>
                <w:sz w:val="24"/>
              </w:rPr>
              <w:t>陕西泰茂建筑工程有限公司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法人代表</w:t>
            </w:r>
          </w:p>
        </w:tc>
        <w:tc>
          <w:tcPr>
            <w:tcW w:w="2301" w:type="dxa"/>
            <w:gridSpan w:val="2"/>
            <w:vAlign w:val="center"/>
          </w:tcPr>
          <w:p>
            <w:pPr>
              <w:adjustRightInd w:val="0"/>
              <w:snapToGrid w:val="0"/>
              <w:jc w:val="center"/>
              <w:rPr>
                <w:sz w:val="24"/>
              </w:rPr>
            </w:pPr>
            <w:r>
              <w:rPr>
                <w:sz w:val="24"/>
              </w:rPr>
              <w:t>蒲万元</w:t>
            </w:r>
          </w:p>
        </w:tc>
        <w:tc>
          <w:tcPr>
            <w:tcW w:w="2973" w:type="dxa"/>
            <w:gridSpan w:val="4"/>
            <w:vAlign w:val="center"/>
          </w:tcPr>
          <w:p>
            <w:pPr>
              <w:adjustRightInd w:val="0"/>
              <w:snapToGrid w:val="0"/>
              <w:jc w:val="center"/>
              <w:rPr>
                <w:sz w:val="24"/>
              </w:rPr>
            </w:pPr>
            <w:r>
              <w:rPr>
                <w:sz w:val="24"/>
              </w:rPr>
              <w:t>联系人</w:t>
            </w:r>
          </w:p>
        </w:tc>
        <w:tc>
          <w:tcPr>
            <w:tcW w:w="2484" w:type="dxa"/>
            <w:gridSpan w:val="3"/>
            <w:vAlign w:val="center"/>
          </w:tcPr>
          <w:p>
            <w:pPr>
              <w:adjustRightInd w:val="0"/>
              <w:snapToGrid w:val="0"/>
              <w:jc w:val="center"/>
              <w:rPr>
                <w:sz w:val="24"/>
              </w:rPr>
            </w:pPr>
            <w:r>
              <w:rPr>
                <w:sz w:val="24"/>
              </w:rPr>
              <w:t>蒲万元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通讯地址</w:t>
            </w:r>
          </w:p>
        </w:tc>
        <w:tc>
          <w:tcPr>
            <w:tcW w:w="7758" w:type="dxa"/>
            <w:gridSpan w:val="9"/>
            <w:vAlign w:val="center"/>
          </w:tcPr>
          <w:p>
            <w:pPr>
              <w:adjustRightInd w:val="0"/>
              <w:snapToGrid w:val="0"/>
              <w:jc w:val="center"/>
              <w:rPr>
                <w:sz w:val="24"/>
              </w:rPr>
            </w:pPr>
            <w:r>
              <w:rPr>
                <w:sz w:val="24"/>
              </w:rPr>
              <w:t>陕西省安康市汉滨区安康大道西段南侧高客站以东500米处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联系电话</w:t>
            </w:r>
          </w:p>
        </w:tc>
        <w:tc>
          <w:tcPr>
            <w:tcW w:w="2301" w:type="dxa"/>
            <w:gridSpan w:val="2"/>
            <w:vAlign w:val="center"/>
          </w:tcPr>
          <w:p>
            <w:pPr>
              <w:adjustRightInd w:val="0"/>
              <w:snapToGrid w:val="0"/>
              <w:jc w:val="center"/>
              <w:rPr>
                <w:sz w:val="24"/>
              </w:rPr>
            </w:pPr>
            <w:r>
              <w:rPr>
                <w:szCs w:val="21"/>
              </w:rPr>
              <w:t>18146858777</w:t>
            </w:r>
          </w:p>
        </w:tc>
        <w:tc>
          <w:tcPr>
            <w:tcW w:w="884" w:type="dxa"/>
            <w:gridSpan w:val="2"/>
            <w:vAlign w:val="center"/>
          </w:tcPr>
          <w:p>
            <w:pPr>
              <w:adjustRightInd w:val="0"/>
              <w:snapToGrid w:val="0"/>
              <w:jc w:val="center"/>
              <w:rPr>
                <w:sz w:val="24"/>
              </w:rPr>
            </w:pPr>
            <w:r>
              <w:rPr>
                <w:sz w:val="24"/>
              </w:rPr>
              <w:t>传真</w:t>
            </w:r>
          </w:p>
        </w:tc>
        <w:tc>
          <w:tcPr>
            <w:tcW w:w="2089" w:type="dxa"/>
            <w:gridSpan w:val="2"/>
            <w:vAlign w:val="center"/>
          </w:tcPr>
          <w:p>
            <w:pPr>
              <w:adjustRightInd w:val="0"/>
              <w:snapToGrid w:val="0"/>
              <w:jc w:val="center"/>
              <w:rPr>
                <w:sz w:val="24"/>
              </w:rPr>
            </w:pPr>
            <w:r>
              <w:rPr>
                <w:sz w:val="24"/>
              </w:rPr>
              <w:t>——</w:t>
            </w:r>
          </w:p>
        </w:tc>
        <w:tc>
          <w:tcPr>
            <w:tcW w:w="1242" w:type="dxa"/>
            <w:gridSpan w:val="2"/>
            <w:vAlign w:val="center"/>
          </w:tcPr>
          <w:p>
            <w:pPr>
              <w:adjustRightInd w:val="0"/>
              <w:snapToGrid w:val="0"/>
              <w:jc w:val="center"/>
              <w:rPr>
                <w:sz w:val="24"/>
              </w:rPr>
            </w:pPr>
            <w:r>
              <w:rPr>
                <w:sz w:val="24"/>
              </w:rPr>
              <w:t>邮政编码</w:t>
            </w:r>
          </w:p>
        </w:tc>
        <w:tc>
          <w:tcPr>
            <w:tcW w:w="1242" w:type="dxa"/>
            <w:vAlign w:val="center"/>
          </w:tcPr>
          <w:p>
            <w:pPr>
              <w:adjustRightInd w:val="0"/>
              <w:snapToGrid w:val="0"/>
              <w:jc w:val="center"/>
            </w:pPr>
            <w:r>
              <w:rPr>
                <w:szCs w:val="21"/>
              </w:rPr>
              <w:t>725200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建设地点</w:t>
            </w:r>
          </w:p>
        </w:tc>
        <w:tc>
          <w:tcPr>
            <w:tcW w:w="7758" w:type="dxa"/>
            <w:gridSpan w:val="9"/>
            <w:vAlign w:val="center"/>
          </w:tcPr>
          <w:p>
            <w:pPr>
              <w:adjustRightInd w:val="0"/>
              <w:snapToGrid w:val="0"/>
              <w:jc w:val="center"/>
              <w:rPr>
                <w:sz w:val="24"/>
              </w:rPr>
            </w:pPr>
            <w:r>
              <w:rPr>
                <w:sz w:val="24"/>
              </w:rPr>
              <w:t>石泉县城关镇杨柳社区</w:t>
            </w:r>
            <w:r>
              <w:rPr>
                <w:rFonts w:hint="eastAsia"/>
                <w:sz w:val="24"/>
              </w:rPr>
              <w:t>二组枫树村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立项审批部门</w:t>
            </w:r>
          </w:p>
        </w:tc>
        <w:tc>
          <w:tcPr>
            <w:tcW w:w="3116" w:type="dxa"/>
            <w:gridSpan w:val="3"/>
            <w:vAlign w:val="center"/>
          </w:tcPr>
          <w:p>
            <w:pPr>
              <w:adjustRightInd w:val="0"/>
              <w:snapToGrid w:val="0"/>
              <w:jc w:val="center"/>
              <w:rPr>
                <w:sz w:val="24"/>
              </w:rPr>
            </w:pPr>
            <w:r>
              <w:rPr>
                <w:sz w:val="24"/>
              </w:rPr>
              <w:t>石泉县发展和</w:t>
            </w:r>
            <w:r>
              <w:rPr>
                <w:rFonts w:hint="eastAsia"/>
                <w:sz w:val="24"/>
              </w:rPr>
              <w:t>改革局</w:t>
            </w:r>
          </w:p>
        </w:tc>
        <w:tc>
          <w:tcPr>
            <w:tcW w:w="1296" w:type="dxa"/>
            <w:gridSpan w:val="2"/>
            <w:vAlign w:val="center"/>
          </w:tcPr>
          <w:p>
            <w:pPr>
              <w:adjustRightInd w:val="0"/>
              <w:snapToGrid w:val="0"/>
              <w:jc w:val="center"/>
              <w:rPr>
                <w:sz w:val="24"/>
              </w:rPr>
            </w:pPr>
            <w:r>
              <w:rPr>
                <w:sz w:val="24"/>
              </w:rPr>
              <w:t>批准文号</w:t>
            </w:r>
          </w:p>
        </w:tc>
        <w:tc>
          <w:tcPr>
            <w:tcW w:w="3346" w:type="dxa"/>
            <w:gridSpan w:val="4"/>
            <w:vAlign w:val="center"/>
          </w:tcPr>
          <w:p>
            <w:pPr>
              <w:adjustRightInd w:val="0"/>
              <w:snapToGrid w:val="0"/>
              <w:jc w:val="center"/>
              <w:rPr>
                <w:sz w:val="24"/>
              </w:rPr>
            </w:pPr>
            <w:r>
              <w:rPr>
                <w:sz w:val="24"/>
              </w:rPr>
              <w:t>2020-610922-77-03-034315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建设性质</w:t>
            </w:r>
          </w:p>
        </w:tc>
        <w:tc>
          <w:tcPr>
            <w:tcW w:w="3116" w:type="dxa"/>
            <w:gridSpan w:val="3"/>
            <w:vAlign w:val="center"/>
          </w:tcPr>
          <w:p>
            <w:pPr>
              <w:adjustRightInd w:val="0"/>
              <w:snapToGrid w:val="0"/>
              <w:jc w:val="center"/>
              <w:rPr>
                <w:sz w:val="24"/>
              </w:rPr>
            </w:pPr>
            <w:r>
              <w:rPr>
                <w:sz w:val="24"/>
              </w:rPr>
              <w:t>新建</w:t>
            </w:r>
            <w:r>
              <w:rPr>
                <w:sz w:val="36"/>
                <w:szCs w:val="36"/>
              </w:rPr>
              <w:t>■</w:t>
            </w:r>
            <w:r>
              <w:rPr>
                <w:sz w:val="24"/>
              </w:rPr>
              <w:t>改扩建</w:t>
            </w:r>
            <w:r>
              <w:rPr>
                <w:sz w:val="36"/>
                <w:szCs w:val="36"/>
              </w:rPr>
              <w:t>□</w:t>
            </w:r>
            <w:r>
              <w:rPr>
                <w:sz w:val="24"/>
              </w:rPr>
              <w:t>技改</w:t>
            </w:r>
            <w:r>
              <w:rPr>
                <w:sz w:val="36"/>
                <w:szCs w:val="36"/>
              </w:rPr>
              <w:t>□</w:t>
            </w:r>
          </w:p>
        </w:tc>
        <w:tc>
          <w:tcPr>
            <w:tcW w:w="1296" w:type="dxa"/>
            <w:gridSpan w:val="2"/>
            <w:vAlign w:val="center"/>
          </w:tcPr>
          <w:p>
            <w:pPr>
              <w:adjustRightInd w:val="0"/>
              <w:snapToGrid w:val="0"/>
              <w:jc w:val="center"/>
              <w:rPr>
                <w:sz w:val="24"/>
              </w:rPr>
            </w:pPr>
            <w:r>
              <w:rPr>
                <w:sz w:val="24"/>
              </w:rPr>
              <w:t>行业类别</w:t>
            </w:r>
          </w:p>
          <w:p>
            <w:pPr>
              <w:adjustRightInd w:val="0"/>
              <w:snapToGrid w:val="0"/>
              <w:jc w:val="center"/>
              <w:rPr>
                <w:sz w:val="24"/>
              </w:rPr>
            </w:pPr>
            <w:r>
              <w:rPr>
                <w:sz w:val="24"/>
              </w:rPr>
              <w:t>及代码</w:t>
            </w:r>
          </w:p>
        </w:tc>
        <w:tc>
          <w:tcPr>
            <w:tcW w:w="3346" w:type="dxa"/>
            <w:gridSpan w:val="4"/>
            <w:vAlign w:val="center"/>
          </w:tcPr>
          <w:p>
            <w:pPr>
              <w:adjustRightInd w:val="0"/>
              <w:snapToGrid w:val="0"/>
              <w:jc w:val="center"/>
              <w:rPr>
                <w:bCs/>
                <w:sz w:val="24"/>
              </w:rPr>
            </w:pPr>
            <w:r>
              <w:rPr>
                <w:bCs/>
                <w:sz w:val="24"/>
              </w:rPr>
              <w:t>C4</w:t>
            </w:r>
            <w:r>
              <w:rPr>
                <w:rFonts w:hint="eastAsia"/>
                <w:bCs/>
                <w:sz w:val="24"/>
              </w:rPr>
              <w:t>2</w:t>
            </w:r>
            <w:r>
              <w:rPr>
                <w:bCs/>
                <w:sz w:val="24"/>
              </w:rPr>
              <w:t>20</w:t>
            </w:r>
          </w:p>
          <w:p>
            <w:pPr>
              <w:adjustRightInd w:val="0"/>
              <w:snapToGrid w:val="0"/>
              <w:jc w:val="center"/>
              <w:rPr>
                <w:sz w:val="24"/>
              </w:rPr>
            </w:pPr>
            <w:r>
              <w:rPr>
                <w:bCs/>
                <w:sz w:val="24"/>
              </w:rPr>
              <w:t>非金属废料和碎屑的加工处理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占地面积</w:t>
            </w:r>
          </w:p>
          <w:p>
            <w:pPr>
              <w:adjustRightInd w:val="0"/>
              <w:snapToGrid w:val="0"/>
              <w:jc w:val="center"/>
              <w:rPr>
                <w:sz w:val="24"/>
              </w:rPr>
            </w:pPr>
            <w:r>
              <w:rPr>
                <w:sz w:val="24"/>
              </w:rPr>
              <w:t>(平方米)</w:t>
            </w:r>
          </w:p>
        </w:tc>
        <w:tc>
          <w:tcPr>
            <w:tcW w:w="3116" w:type="dxa"/>
            <w:gridSpan w:val="3"/>
            <w:vAlign w:val="center"/>
          </w:tcPr>
          <w:p>
            <w:pPr>
              <w:adjustRightInd w:val="0"/>
              <w:snapToGrid w:val="0"/>
              <w:jc w:val="center"/>
              <w:rPr>
                <w:sz w:val="24"/>
              </w:rPr>
            </w:pPr>
            <w:r>
              <w:rPr>
                <w:sz w:val="24"/>
              </w:rPr>
              <w:t>10666.7</w:t>
            </w:r>
          </w:p>
        </w:tc>
        <w:tc>
          <w:tcPr>
            <w:tcW w:w="1296" w:type="dxa"/>
            <w:gridSpan w:val="2"/>
            <w:vAlign w:val="center"/>
          </w:tcPr>
          <w:p>
            <w:pPr>
              <w:adjustRightInd w:val="0"/>
              <w:snapToGrid w:val="0"/>
              <w:jc w:val="center"/>
              <w:rPr>
                <w:sz w:val="24"/>
              </w:rPr>
            </w:pPr>
            <w:r>
              <w:rPr>
                <w:sz w:val="24"/>
              </w:rPr>
              <w:t>绿化面积(平方米)</w:t>
            </w:r>
          </w:p>
        </w:tc>
        <w:tc>
          <w:tcPr>
            <w:tcW w:w="3346" w:type="dxa"/>
            <w:gridSpan w:val="4"/>
            <w:vAlign w:val="center"/>
          </w:tcPr>
          <w:p>
            <w:pPr>
              <w:adjustRightInd w:val="0"/>
              <w:snapToGrid w:val="0"/>
              <w:jc w:val="center"/>
              <w:rPr>
                <w:sz w:val="24"/>
              </w:rPr>
            </w:pPr>
            <w:r>
              <w:rPr>
                <w:rFonts w:hint="eastAsia"/>
                <w:sz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vAlign w:val="center"/>
          </w:tcPr>
          <w:p>
            <w:pPr>
              <w:adjustRightInd w:val="0"/>
              <w:snapToGrid w:val="0"/>
              <w:jc w:val="center"/>
              <w:rPr>
                <w:sz w:val="24"/>
              </w:rPr>
            </w:pPr>
            <w:r>
              <w:rPr>
                <w:sz w:val="24"/>
              </w:rPr>
              <w:t>总投资</w:t>
            </w:r>
          </w:p>
          <w:p>
            <w:pPr>
              <w:adjustRightInd w:val="0"/>
              <w:snapToGrid w:val="0"/>
              <w:jc w:val="center"/>
              <w:rPr>
                <w:sz w:val="24"/>
              </w:rPr>
            </w:pPr>
            <w:r>
              <w:rPr>
                <w:sz w:val="24"/>
              </w:rPr>
              <w:t>(万元)</w:t>
            </w:r>
          </w:p>
        </w:tc>
        <w:tc>
          <w:tcPr>
            <w:tcW w:w="1132" w:type="dxa"/>
            <w:vAlign w:val="center"/>
          </w:tcPr>
          <w:p>
            <w:pPr>
              <w:adjustRightInd w:val="0"/>
              <w:snapToGrid w:val="0"/>
              <w:jc w:val="center"/>
              <w:rPr>
                <w:sz w:val="24"/>
              </w:rPr>
            </w:pPr>
            <w:r>
              <w:rPr>
                <w:sz w:val="24"/>
              </w:rPr>
              <w:t>3000</w:t>
            </w:r>
          </w:p>
        </w:tc>
        <w:tc>
          <w:tcPr>
            <w:tcW w:w="1984" w:type="dxa"/>
            <w:gridSpan w:val="2"/>
            <w:vAlign w:val="center"/>
          </w:tcPr>
          <w:p>
            <w:pPr>
              <w:adjustRightInd w:val="0"/>
              <w:snapToGrid w:val="0"/>
              <w:jc w:val="center"/>
              <w:rPr>
                <w:sz w:val="24"/>
              </w:rPr>
            </w:pPr>
            <w:r>
              <w:rPr>
                <w:sz w:val="24"/>
              </w:rPr>
              <w:t>其中：环保投资</w:t>
            </w:r>
          </w:p>
          <w:p>
            <w:pPr>
              <w:adjustRightInd w:val="0"/>
              <w:snapToGrid w:val="0"/>
              <w:jc w:val="center"/>
              <w:rPr>
                <w:sz w:val="24"/>
              </w:rPr>
            </w:pPr>
            <w:r>
              <w:rPr>
                <w:sz w:val="24"/>
              </w:rPr>
              <w:t>(万元)</w:t>
            </w:r>
          </w:p>
        </w:tc>
        <w:tc>
          <w:tcPr>
            <w:tcW w:w="1296" w:type="dxa"/>
            <w:gridSpan w:val="2"/>
            <w:vAlign w:val="center"/>
          </w:tcPr>
          <w:p>
            <w:pPr>
              <w:adjustRightInd w:val="0"/>
              <w:snapToGrid w:val="0"/>
              <w:jc w:val="center"/>
              <w:rPr>
                <w:sz w:val="24"/>
              </w:rPr>
            </w:pPr>
            <w:r>
              <w:rPr>
                <w:rFonts w:hint="eastAsia"/>
                <w:color w:val="FF0000"/>
                <w:sz w:val="24"/>
              </w:rPr>
              <w:t>24.5</w:t>
            </w:r>
          </w:p>
        </w:tc>
        <w:tc>
          <w:tcPr>
            <w:tcW w:w="1889" w:type="dxa"/>
            <w:gridSpan w:val="2"/>
            <w:vAlign w:val="center"/>
          </w:tcPr>
          <w:p>
            <w:pPr>
              <w:adjustRightInd w:val="0"/>
              <w:snapToGrid w:val="0"/>
              <w:jc w:val="center"/>
              <w:rPr>
                <w:sz w:val="24"/>
              </w:rPr>
            </w:pPr>
            <w:r>
              <w:rPr>
                <w:sz w:val="24"/>
              </w:rPr>
              <w:t>环保投资占总投资比例</w:t>
            </w:r>
          </w:p>
        </w:tc>
        <w:tc>
          <w:tcPr>
            <w:tcW w:w="1457" w:type="dxa"/>
            <w:gridSpan w:val="2"/>
            <w:vAlign w:val="center"/>
          </w:tcPr>
          <w:p>
            <w:pPr>
              <w:adjustRightInd w:val="0"/>
              <w:snapToGrid w:val="0"/>
              <w:jc w:val="center"/>
              <w:rPr>
                <w:sz w:val="24"/>
              </w:rPr>
            </w:pPr>
            <w:r>
              <w:rPr>
                <w:rFonts w:hint="eastAsia"/>
                <w:color w:val="FF0000"/>
                <w:sz w:val="24"/>
              </w:rPr>
              <w:t>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567" w:hRule="atLeast"/>
        </w:trPr>
        <w:tc>
          <w:tcPr>
            <w:tcW w:w="1528" w:type="dxa"/>
            <w:tcBorders>
              <w:bottom w:val="single" w:color="auto" w:sz="12" w:space="0"/>
            </w:tcBorders>
            <w:vAlign w:val="center"/>
          </w:tcPr>
          <w:p>
            <w:pPr>
              <w:adjustRightInd w:val="0"/>
              <w:snapToGrid w:val="0"/>
              <w:jc w:val="center"/>
              <w:rPr>
                <w:sz w:val="24"/>
              </w:rPr>
            </w:pPr>
            <w:r>
              <w:rPr>
                <w:sz w:val="24"/>
              </w:rPr>
              <w:t>评价经费</w:t>
            </w:r>
          </w:p>
          <w:p>
            <w:pPr>
              <w:adjustRightInd w:val="0"/>
              <w:snapToGrid w:val="0"/>
              <w:jc w:val="center"/>
              <w:rPr>
                <w:sz w:val="24"/>
              </w:rPr>
            </w:pPr>
            <w:r>
              <w:rPr>
                <w:sz w:val="24"/>
              </w:rPr>
              <w:t>(万元)</w:t>
            </w:r>
          </w:p>
        </w:tc>
        <w:tc>
          <w:tcPr>
            <w:tcW w:w="1132" w:type="dxa"/>
            <w:tcBorders>
              <w:bottom w:val="single" w:color="auto" w:sz="12" w:space="0"/>
            </w:tcBorders>
            <w:vAlign w:val="center"/>
          </w:tcPr>
          <w:p>
            <w:pPr>
              <w:adjustRightInd w:val="0"/>
              <w:snapToGrid w:val="0"/>
              <w:jc w:val="center"/>
              <w:rPr>
                <w:sz w:val="24"/>
              </w:rPr>
            </w:pPr>
            <w:r>
              <w:rPr>
                <w:sz w:val="24"/>
              </w:rPr>
              <w:t>——</w:t>
            </w:r>
          </w:p>
        </w:tc>
        <w:tc>
          <w:tcPr>
            <w:tcW w:w="1984" w:type="dxa"/>
            <w:gridSpan w:val="2"/>
            <w:tcBorders>
              <w:bottom w:val="single" w:color="auto" w:sz="12" w:space="0"/>
            </w:tcBorders>
            <w:vAlign w:val="center"/>
          </w:tcPr>
          <w:p>
            <w:pPr>
              <w:adjustRightInd w:val="0"/>
              <w:snapToGrid w:val="0"/>
              <w:jc w:val="center"/>
              <w:rPr>
                <w:sz w:val="24"/>
              </w:rPr>
            </w:pPr>
            <w:r>
              <w:rPr>
                <w:sz w:val="24"/>
              </w:rPr>
              <w:t>预期投产日期</w:t>
            </w:r>
          </w:p>
        </w:tc>
        <w:tc>
          <w:tcPr>
            <w:tcW w:w="4642" w:type="dxa"/>
            <w:gridSpan w:val="6"/>
            <w:tcBorders>
              <w:bottom w:val="single" w:color="auto" w:sz="12" w:space="0"/>
            </w:tcBorders>
            <w:vAlign w:val="center"/>
          </w:tcPr>
          <w:p>
            <w:pPr>
              <w:adjustRightInd w:val="0"/>
              <w:snapToGrid w:val="0"/>
              <w:jc w:val="center"/>
              <w:rPr>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367" w:hRule="atLeast"/>
        </w:trPr>
        <w:tc>
          <w:tcPr>
            <w:tcW w:w="9286" w:type="dxa"/>
            <w:gridSpan w:val="10"/>
            <w:tcBorders>
              <w:top w:val="single" w:color="auto" w:sz="12" w:space="0"/>
              <w:bottom w:val="single" w:color="auto" w:sz="4" w:space="0"/>
            </w:tcBorders>
          </w:tcPr>
          <w:p>
            <w:pPr>
              <w:adjustRightInd w:val="0"/>
              <w:snapToGrid w:val="0"/>
              <w:spacing w:line="460" w:lineRule="exact"/>
              <w:ind w:right="105" w:rightChars="50"/>
              <w:rPr>
                <w:b/>
                <w:sz w:val="24"/>
              </w:rPr>
            </w:pPr>
            <w:r>
              <w:rPr>
                <w:b/>
                <w:sz w:val="24"/>
              </w:rPr>
              <w:t>工程内容及规模：</w:t>
            </w:r>
          </w:p>
          <w:p>
            <w:pPr>
              <w:spacing w:line="360" w:lineRule="auto"/>
              <w:ind w:left="482"/>
              <w:rPr>
                <w:b/>
                <w:sz w:val="24"/>
              </w:rPr>
            </w:pPr>
            <w:r>
              <w:rPr>
                <w:b/>
                <w:sz w:val="24"/>
              </w:rPr>
              <w:t>一、项目由来</w:t>
            </w:r>
          </w:p>
          <w:p>
            <w:pPr>
              <w:spacing w:line="360" w:lineRule="auto"/>
              <w:ind w:firstLine="480" w:firstLineChars="200"/>
              <w:rPr>
                <w:bCs/>
                <w:sz w:val="24"/>
              </w:rPr>
            </w:pPr>
            <w:r>
              <w:rPr>
                <w:rFonts w:hint="eastAsia"/>
                <w:bCs/>
                <w:sz w:val="24"/>
              </w:rPr>
              <w:t>因石泉县文化旅游有限公司与陕西泰茂建筑工程有限公司签订的关于汉江清淤项目，清淤过程中产生的固体废弃物，委托</w:t>
            </w:r>
            <w:r>
              <w:rPr>
                <w:sz w:val="24"/>
              </w:rPr>
              <w:t>陕西泰茂建筑工程有限公司</w:t>
            </w:r>
            <w:r>
              <w:rPr>
                <w:rFonts w:hint="eastAsia"/>
                <w:bCs/>
                <w:sz w:val="24"/>
              </w:rPr>
              <w:t>进行处理，因此</w:t>
            </w:r>
            <w:r>
              <w:rPr>
                <w:sz w:val="24"/>
              </w:rPr>
              <w:t>陕西泰茂建筑工程有限公司</w:t>
            </w:r>
            <w:r>
              <w:rPr>
                <w:bCs/>
                <w:sz w:val="24"/>
              </w:rPr>
              <w:t>拟投资3000万元，在石泉县城关镇杨柳社区，建设《</w:t>
            </w:r>
            <w:r>
              <w:rPr>
                <w:sz w:val="24"/>
              </w:rPr>
              <w:t>陕西泰茂固体废弃物综合利用石泉杨柳基地建设项目</w:t>
            </w:r>
            <w:r>
              <w:rPr>
                <w:bCs/>
                <w:sz w:val="24"/>
              </w:rPr>
              <w:t>》。</w:t>
            </w:r>
          </w:p>
          <w:p>
            <w:pPr>
              <w:spacing w:line="360" w:lineRule="auto"/>
              <w:ind w:firstLine="480" w:firstLineChars="200"/>
              <w:rPr>
                <w:bCs/>
                <w:sz w:val="24"/>
              </w:rPr>
            </w:pPr>
            <w:r>
              <w:rPr>
                <w:bCs/>
                <w:sz w:val="24"/>
              </w:rPr>
              <w:t>根据石泉县发展和改革局为本项目下发的备案确认书，项目拟新建原料初选场</w:t>
            </w:r>
            <w:r>
              <w:rPr>
                <w:rFonts w:hint="eastAsia"/>
                <w:bCs/>
                <w:sz w:val="24"/>
              </w:rPr>
              <w:t>、</w:t>
            </w:r>
            <w:r>
              <w:rPr>
                <w:bCs/>
                <w:sz w:val="24"/>
              </w:rPr>
              <w:t>加工车间和成品物流场，建成处理量100</w:t>
            </w:r>
            <w:r>
              <w:rPr>
                <w:rFonts w:hint="eastAsia"/>
                <w:bCs/>
                <w:sz w:val="24"/>
              </w:rPr>
              <w:t>t</w:t>
            </w:r>
            <w:r>
              <w:rPr>
                <w:bCs/>
                <w:sz w:val="24"/>
              </w:rPr>
              <w:t>/</w:t>
            </w:r>
            <w:r>
              <w:rPr>
                <w:rFonts w:hint="eastAsia"/>
                <w:bCs/>
                <w:sz w:val="24"/>
              </w:rPr>
              <w:t>h</w:t>
            </w:r>
            <w:r>
              <w:rPr>
                <w:bCs/>
                <w:sz w:val="24"/>
              </w:rPr>
              <w:t>以上、20万</w:t>
            </w:r>
            <w:r>
              <w:rPr>
                <w:rFonts w:hint="eastAsia"/>
                <w:bCs/>
                <w:sz w:val="24"/>
              </w:rPr>
              <w:t>t</w:t>
            </w:r>
            <w:r>
              <w:rPr>
                <w:bCs/>
                <w:sz w:val="24"/>
              </w:rPr>
              <w:t>/</w:t>
            </w:r>
            <w:r>
              <w:rPr>
                <w:rFonts w:hint="eastAsia"/>
                <w:bCs/>
                <w:sz w:val="24"/>
              </w:rPr>
              <w:t>年</w:t>
            </w:r>
            <w:r>
              <w:rPr>
                <w:bCs/>
                <w:sz w:val="24"/>
              </w:rPr>
              <w:t>以上的矿物原料粉体加工生产线，及其它配套办公等。</w:t>
            </w:r>
            <w:r>
              <w:rPr>
                <w:rFonts w:hint="eastAsia"/>
                <w:bCs/>
                <w:sz w:val="24"/>
              </w:rPr>
              <w:t>根据项目实际情况，厂区用地为临时租赁村集体建设用地（见附件）。</w:t>
            </w:r>
          </w:p>
          <w:p>
            <w:pPr>
              <w:spacing w:line="360" w:lineRule="auto"/>
              <w:ind w:firstLine="480" w:firstLineChars="200"/>
              <w:rPr>
                <w:bCs/>
                <w:sz w:val="24"/>
              </w:rPr>
            </w:pPr>
            <w:r>
              <w:rPr>
                <w:bCs/>
                <w:sz w:val="24"/>
              </w:rPr>
              <w:t>根据《中华人民共和国环境影响评价法》（2016版）、国务院令第682号《建设项目环境保护管理条例》（2017版）的要求，建设项目应进行环境影响评价。根据《建设项目环境影响评价分类管理目录》（2018修订），本项目属于：“86  废旧资源（含生物质）加工、再生利用其他”，需编制环境影响报告表。受</w:t>
            </w:r>
            <w:r>
              <w:rPr>
                <w:sz w:val="24"/>
              </w:rPr>
              <w:t>陕西泰茂建筑工程有限公司</w:t>
            </w:r>
            <w:r>
              <w:rPr>
                <w:bCs/>
                <w:sz w:val="24"/>
              </w:rPr>
              <w:t>委托，由我公司承担本项目环境影响评价工作。</w:t>
            </w:r>
          </w:p>
          <w:p>
            <w:pPr>
              <w:spacing w:line="360" w:lineRule="auto"/>
              <w:ind w:firstLine="480" w:firstLineChars="200"/>
              <w:rPr>
                <w:bCs/>
                <w:sz w:val="24"/>
              </w:rPr>
            </w:pPr>
            <w:r>
              <w:rPr>
                <w:bCs/>
                <w:sz w:val="24"/>
              </w:rPr>
              <w:t>接受委托后，项目成员在进行了详细的现场踏勘、资料收集和环境监测、污染源监测的基础上，遵照国家环境保护规定，贯彻执行达标排放、总量控制的原则，依据《建设项目环境影响评价技术导则总纲》（HJ2.1-2016）的规定，编制完成《</w:t>
            </w:r>
            <w:r>
              <w:rPr>
                <w:sz w:val="24"/>
              </w:rPr>
              <w:t>陕西泰茂固体废弃物综合利用石泉杨柳基地建设项目</w:t>
            </w:r>
            <w:r>
              <w:rPr>
                <w:bCs/>
                <w:sz w:val="24"/>
              </w:rPr>
              <w:t>环境影响报告表》。</w:t>
            </w:r>
          </w:p>
          <w:p>
            <w:pPr>
              <w:pStyle w:val="26"/>
              <w:numPr>
                <w:ilvl w:val="0"/>
                <w:numId w:val="1"/>
              </w:numPr>
              <w:ind w:firstLine="482"/>
              <w:rPr>
                <w:rFonts w:ascii="Times New Roman" w:hAnsi="Times New Roman"/>
                <w:b/>
                <w:bCs/>
                <w:szCs w:val="24"/>
              </w:rPr>
            </w:pPr>
            <w:r>
              <w:rPr>
                <w:rFonts w:hint="eastAsia" w:ascii="Times New Roman" w:hAnsi="Times New Roman"/>
                <w:b/>
                <w:bCs/>
                <w:szCs w:val="24"/>
              </w:rPr>
              <w:t>编制依据</w:t>
            </w:r>
          </w:p>
          <w:p>
            <w:pPr>
              <w:numPr>
                <w:ilvl w:val="0"/>
                <w:numId w:val="2"/>
              </w:numPr>
              <w:spacing w:line="360" w:lineRule="auto"/>
              <w:ind w:firstLine="480" w:firstLineChars="200"/>
              <w:rPr>
                <w:sz w:val="24"/>
              </w:rPr>
            </w:pPr>
            <w:r>
              <w:rPr>
                <w:sz w:val="24"/>
              </w:rPr>
              <w:t>相关法律法规</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1</w:t>
            </w:r>
            <w:r>
              <w:rPr>
                <w:rFonts w:ascii="Times New Roman" w:hAnsi="Times New Roman"/>
              </w:rPr>
              <w:t>）《中华人民共和国环境影响评价法》，201</w:t>
            </w:r>
            <w:r>
              <w:rPr>
                <w:rFonts w:hint="eastAsia" w:ascii="Times New Roman" w:hAnsi="Times New Roman"/>
              </w:rPr>
              <w:t>8</w:t>
            </w:r>
            <w:r>
              <w:rPr>
                <w:rFonts w:ascii="Times New Roman" w:hAnsi="Times New Roman"/>
              </w:rPr>
              <w:t>年</w:t>
            </w:r>
            <w:r>
              <w:rPr>
                <w:rFonts w:hint="eastAsia" w:ascii="Times New Roman" w:hAnsi="Times New Roman"/>
              </w:rPr>
              <w:t>12</w:t>
            </w:r>
            <w:r>
              <w:rPr>
                <w:rFonts w:ascii="Times New Roman" w:hAnsi="Times New Roman"/>
              </w:rPr>
              <w:t>月</w:t>
            </w:r>
            <w:r>
              <w:rPr>
                <w:rFonts w:hint="eastAsia" w:ascii="Times New Roman" w:hAnsi="Times New Roman"/>
              </w:rPr>
              <w:t>29</w:t>
            </w:r>
            <w:r>
              <w:rPr>
                <w:rFonts w:ascii="Times New Roman" w:hAnsi="Times New Roman"/>
              </w:rPr>
              <w:t>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2</w:t>
            </w:r>
            <w:r>
              <w:rPr>
                <w:rFonts w:ascii="Times New Roman" w:hAnsi="Times New Roman"/>
              </w:rPr>
              <w:t>）《中华人民共和国环境保护法》，2015年1月1日；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3</w:t>
            </w:r>
            <w:r>
              <w:rPr>
                <w:rFonts w:ascii="Times New Roman" w:hAnsi="Times New Roman"/>
              </w:rPr>
              <w:t>）《中华人民共和国大气污染防治法》，20</w:t>
            </w:r>
            <w:r>
              <w:rPr>
                <w:rFonts w:hint="eastAsia" w:ascii="Times New Roman" w:hAnsi="Times New Roman"/>
              </w:rPr>
              <w:t>18</w:t>
            </w:r>
            <w:r>
              <w:rPr>
                <w:rFonts w:ascii="Times New Roman" w:hAnsi="Times New Roman"/>
              </w:rPr>
              <w:t>年</w:t>
            </w:r>
            <w:r>
              <w:rPr>
                <w:rFonts w:hint="eastAsia" w:ascii="Times New Roman" w:hAnsi="Times New Roman"/>
              </w:rPr>
              <w:t>12</w:t>
            </w:r>
            <w:r>
              <w:rPr>
                <w:rFonts w:ascii="Times New Roman" w:hAnsi="Times New Roman"/>
              </w:rPr>
              <w:t>月</w:t>
            </w:r>
            <w:r>
              <w:rPr>
                <w:rFonts w:hint="eastAsia" w:ascii="Times New Roman" w:hAnsi="Times New Roman"/>
              </w:rPr>
              <w:t>26</w:t>
            </w:r>
            <w:r>
              <w:rPr>
                <w:rFonts w:ascii="Times New Roman" w:hAnsi="Times New Roman"/>
              </w:rPr>
              <w:t>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4</w:t>
            </w:r>
            <w:r>
              <w:rPr>
                <w:rFonts w:ascii="Times New Roman" w:hAnsi="Times New Roman"/>
              </w:rPr>
              <w:t>）《中华人民共和国水污染防治法》</w:t>
            </w:r>
            <w:r>
              <w:rPr>
                <w:rFonts w:hint="eastAsia" w:ascii="Times New Roman" w:hAnsi="Times New Roman"/>
              </w:rPr>
              <w:t>（修订）</w:t>
            </w:r>
            <w:r>
              <w:rPr>
                <w:rFonts w:ascii="Times New Roman" w:hAnsi="Times New Roman"/>
              </w:rPr>
              <w:t>，2018年1月1日；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5</w:t>
            </w:r>
            <w:r>
              <w:rPr>
                <w:rFonts w:ascii="Times New Roman" w:hAnsi="Times New Roman"/>
              </w:rPr>
              <w:t>）《中华人民共和国固体废物污染环境防治法》，2016年11月7日修正；</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6</w:t>
            </w:r>
            <w:r>
              <w:rPr>
                <w:rFonts w:ascii="Times New Roman" w:hAnsi="Times New Roman"/>
              </w:rPr>
              <w:t>）《中华人民共和国环境噪声污染防治法》，</w:t>
            </w:r>
            <w:r>
              <w:rPr>
                <w:rFonts w:hint="eastAsia" w:ascii="Times New Roman" w:hAnsi="Times New Roman"/>
              </w:rPr>
              <w:t>2018</w:t>
            </w:r>
            <w:r>
              <w:rPr>
                <w:rFonts w:ascii="Times New Roman" w:hAnsi="Times New Roman"/>
              </w:rPr>
              <w:t>年</w:t>
            </w:r>
            <w:r>
              <w:rPr>
                <w:rFonts w:hint="eastAsia" w:ascii="Times New Roman" w:hAnsi="Times New Roman"/>
              </w:rPr>
              <w:t>12</w:t>
            </w:r>
            <w:r>
              <w:rPr>
                <w:rFonts w:ascii="Times New Roman" w:hAnsi="Times New Roman"/>
              </w:rPr>
              <w:t>月29日；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）《中华人民共和国清洁生产促进法》，2012年7月1日；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）《中华人民共和国水土保持法》，2010年12月25日；</w:t>
            </w:r>
          </w:p>
          <w:p>
            <w:pPr>
              <w:pStyle w:val="65"/>
              <w:spacing w:line="360" w:lineRule="auto"/>
              <w:rPr>
                <w:rFonts w:ascii="Times New Roman" w:hAnsi="Times New Roman"/>
              </w:rPr>
            </w:pPr>
            <w:r>
              <w:rPr>
                <w:rFonts w:ascii="Times New Roman" w:hAnsi="Times New Roman"/>
              </w:rPr>
              <w:t>（</w:t>
            </w:r>
            <w:r>
              <w:rPr>
                <w:rFonts w:hint="eastAsia" w:ascii="Times New Roman" w:hAnsi="Times New Roman"/>
              </w:rPr>
              <w:t>9</w:t>
            </w:r>
            <w:r>
              <w:rPr>
                <w:rFonts w:ascii="Times New Roman" w:hAnsi="Times New Roman"/>
              </w:rPr>
              <w:t>）《中华人民共和国土地管理法》，2004年8月28日；</w:t>
            </w:r>
          </w:p>
          <w:p>
            <w:pPr>
              <w:pStyle w:val="65"/>
              <w:spacing w:line="360" w:lineRule="auto"/>
            </w:pPr>
            <w:r>
              <w:rPr>
                <w:rFonts w:ascii="Times New Roman" w:hAnsi="Times New Roman"/>
              </w:rPr>
              <w:t>（1</w:t>
            </w:r>
            <w:r>
              <w:rPr>
                <w:rFonts w:hint="eastAsia" w:ascii="Times New Roman" w:hAnsi="Times New Roman"/>
              </w:rPr>
              <w:t>0</w:t>
            </w:r>
            <w:r>
              <w:rPr>
                <w:rFonts w:ascii="Times New Roman" w:hAnsi="Times New Roman"/>
              </w:rPr>
              <w:t>）</w:t>
            </w:r>
            <w:r>
              <w:t>《建设项目环境保护管理条例》（国务院令第682号）2017年10月1日；</w:t>
            </w:r>
          </w:p>
          <w:p>
            <w:pPr>
              <w:pStyle w:val="65"/>
              <w:spacing w:line="360" w:lineRule="auto"/>
              <w:rPr>
                <w:rFonts w:ascii="Times New Roman" w:hAnsi="Times New Roman"/>
              </w:rPr>
            </w:pPr>
            <w:r>
              <w:rPr>
                <w:rFonts w:ascii="Times New Roman" w:hAnsi="Times New Roman"/>
              </w:rPr>
              <w:t>（1</w:t>
            </w:r>
            <w:r>
              <w:rPr>
                <w:rFonts w:hint="eastAsia" w:ascii="Times New Roman" w:hAnsi="Times New Roman"/>
              </w:rPr>
              <w:t>1</w:t>
            </w:r>
            <w:r>
              <w:rPr>
                <w:rFonts w:ascii="Times New Roman" w:hAnsi="Times New Roman"/>
              </w:rPr>
              <w:t>）《大气污染防治行动计划》（国发[2013]37号）</w:t>
            </w:r>
          </w:p>
          <w:p>
            <w:pPr>
              <w:pStyle w:val="65"/>
              <w:spacing w:line="360" w:lineRule="auto"/>
              <w:rPr>
                <w:rFonts w:ascii="Times New Roman" w:hAnsi="Times New Roman"/>
              </w:rPr>
            </w:pPr>
            <w:r>
              <w:rPr>
                <w:rFonts w:ascii="Times New Roman" w:hAnsi="Times New Roman"/>
              </w:rPr>
              <w:t>（1</w:t>
            </w:r>
            <w:r>
              <w:rPr>
                <w:rFonts w:hint="eastAsia" w:ascii="Times New Roman" w:hAnsi="Times New Roman"/>
              </w:rPr>
              <w:t>2</w:t>
            </w:r>
            <w:r>
              <w:rPr>
                <w:rFonts w:ascii="Times New Roman" w:hAnsi="Times New Roman"/>
              </w:rPr>
              <w:t>）《</w:t>
            </w:r>
            <w:r>
              <w:rPr>
                <w:rFonts w:hint="eastAsia" w:ascii="Times New Roman" w:hAnsi="Times New Roman"/>
              </w:rPr>
              <w:t>水</w:t>
            </w:r>
            <w:r>
              <w:rPr>
                <w:rFonts w:ascii="Times New Roman" w:hAnsi="Times New Roman"/>
              </w:rPr>
              <w:t>污染防治行动计划》（国发[201</w:t>
            </w:r>
            <w:r>
              <w:rPr>
                <w:rFonts w:hint="eastAsia" w:ascii="Times New Roman" w:hAnsi="Times New Roman"/>
              </w:rPr>
              <w:t>5</w:t>
            </w:r>
            <w:r>
              <w:rPr>
                <w:rFonts w:ascii="Times New Roman" w:hAnsi="Times New Roman"/>
              </w:rPr>
              <w:t>]</w:t>
            </w:r>
            <w:r>
              <w:rPr>
                <w:rFonts w:hint="eastAsia" w:ascii="Times New Roman" w:hAnsi="Times New Roman"/>
              </w:rPr>
              <w:t>1</w:t>
            </w:r>
            <w:r>
              <w:rPr>
                <w:rFonts w:ascii="Times New Roman" w:hAnsi="Times New Roman"/>
              </w:rPr>
              <w:t>7号）</w:t>
            </w:r>
          </w:p>
          <w:p>
            <w:pPr>
              <w:numPr>
                <w:ilvl w:val="0"/>
                <w:numId w:val="2"/>
              </w:numPr>
              <w:spacing w:line="360" w:lineRule="auto"/>
              <w:ind w:firstLine="480" w:firstLineChars="200"/>
              <w:rPr>
                <w:kern w:val="0"/>
                <w:sz w:val="24"/>
                <w:lang w:val="zh-CN"/>
              </w:rPr>
            </w:pPr>
            <w:r>
              <w:rPr>
                <w:sz w:val="24"/>
              </w:rPr>
              <w:t>技术导则及规范</w:t>
            </w:r>
          </w:p>
          <w:p>
            <w:pPr>
              <w:pStyle w:val="65"/>
              <w:spacing w:line="360" w:lineRule="auto"/>
              <w:rPr>
                <w:rFonts w:ascii="Times New Roman" w:hAnsi="Times New Roman"/>
              </w:rPr>
            </w:pPr>
            <w:r>
              <w:rPr>
                <w:rFonts w:ascii="Times New Roman" w:hAnsi="Times New Roman"/>
              </w:rPr>
              <w:t>（1）《建设项目环境影响评价技术导则·总纲》 (HJ 2.1－2016)；</w:t>
            </w:r>
          </w:p>
          <w:p>
            <w:pPr>
              <w:pStyle w:val="65"/>
              <w:spacing w:line="360" w:lineRule="auto"/>
              <w:rPr>
                <w:rFonts w:ascii="Times New Roman" w:hAnsi="Times New Roman"/>
              </w:rPr>
            </w:pPr>
            <w:r>
              <w:rPr>
                <w:rFonts w:ascii="Times New Roman" w:hAnsi="Times New Roman"/>
              </w:rPr>
              <w:t>（2）《环境影响评价技术导则·大气环境》，(HJ2.2－20</w:t>
            </w:r>
            <w:r>
              <w:rPr>
                <w:rFonts w:hint="eastAsia" w:ascii="Times New Roman" w:hAnsi="Times New Roman"/>
              </w:rPr>
              <w:t>1</w:t>
            </w:r>
            <w:r>
              <w:rPr>
                <w:rFonts w:ascii="Times New Roman" w:hAnsi="Times New Roman"/>
              </w:rPr>
              <w:t>8)；</w:t>
            </w:r>
          </w:p>
          <w:p>
            <w:pPr>
              <w:pStyle w:val="65"/>
              <w:spacing w:line="360" w:lineRule="auto"/>
              <w:rPr>
                <w:rFonts w:ascii="Times New Roman" w:hAnsi="Times New Roman"/>
              </w:rPr>
            </w:pPr>
            <w:r>
              <w:rPr>
                <w:rFonts w:ascii="Times New Roman" w:hAnsi="Times New Roman"/>
              </w:rPr>
              <w:t>（3）《环境影响评价技术导则·地</w:t>
            </w:r>
            <w:r>
              <w:rPr>
                <w:rFonts w:hint="eastAsia" w:ascii="Times New Roman" w:hAnsi="Times New Roman"/>
              </w:rPr>
              <w:t>表</w:t>
            </w:r>
            <w:r>
              <w:rPr>
                <w:rFonts w:ascii="Times New Roman" w:hAnsi="Times New Roman"/>
              </w:rPr>
              <w:t>水环境》，(HJ2.3－</w:t>
            </w:r>
            <w:r>
              <w:rPr>
                <w:rFonts w:hint="eastAsia" w:ascii="Times New Roman" w:hAnsi="Times New Roman"/>
              </w:rPr>
              <w:t>2018</w:t>
            </w:r>
            <w:r>
              <w:rPr>
                <w:rFonts w:ascii="Times New Roman" w:hAnsi="Times New Roman"/>
              </w:rPr>
              <w:t>)；</w:t>
            </w:r>
          </w:p>
          <w:p>
            <w:pPr>
              <w:pStyle w:val="65"/>
              <w:spacing w:line="360" w:lineRule="auto"/>
              <w:rPr>
                <w:rFonts w:ascii="Times New Roman" w:hAnsi="Times New Roman"/>
              </w:rPr>
            </w:pPr>
            <w:r>
              <w:rPr>
                <w:rFonts w:ascii="Times New Roman" w:hAnsi="Times New Roman"/>
              </w:rPr>
              <w:t>（4）《环境影响评价技术导则·地下水环境》，(HJ610-2016)；</w:t>
            </w:r>
          </w:p>
          <w:p>
            <w:pPr>
              <w:pStyle w:val="65"/>
              <w:spacing w:line="360" w:lineRule="auto"/>
              <w:rPr>
                <w:rFonts w:ascii="Times New Roman" w:hAnsi="Times New Roman"/>
              </w:rPr>
            </w:pPr>
            <w:r>
              <w:rPr>
                <w:rFonts w:ascii="Times New Roman" w:hAnsi="Times New Roman"/>
              </w:rPr>
              <w:t>（5）《环境影响评价技术导则·声环境》，(HJ2.4－2009)；</w:t>
            </w:r>
          </w:p>
          <w:p>
            <w:pPr>
              <w:pStyle w:val="65"/>
              <w:spacing w:line="360" w:lineRule="auto"/>
              <w:rPr>
                <w:rFonts w:ascii="Times New Roman" w:hAnsi="Times New Roman"/>
              </w:rPr>
            </w:pPr>
            <w:r>
              <w:rPr>
                <w:rFonts w:ascii="Times New Roman" w:hAnsi="Times New Roman"/>
              </w:rPr>
              <w:t>（6）《环境影响评价技术导则·生态环境》，(HJ 19－2011)；</w:t>
            </w:r>
          </w:p>
          <w:p>
            <w:pPr>
              <w:pStyle w:val="65"/>
              <w:spacing w:line="360" w:lineRule="auto"/>
              <w:rPr>
                <w:rFonts w:ascii="Times New Roman" w:hAnsi="Times New Roman"/>
              </w:rPr>
            </w:pPr>
            <w:r>
              <w:rPr>
                <w:rFonts w:ascii="Times New Roman" w:hAnsi="Times New Roman"/>
              </w:rPr>
              <w:t>（7）《建设项目环境风险评价技术导则》（HJ/T169—20</w:t>
            </w:r>
            <w:r>
              <w:rPr>
                <w:rFonts w:hint="eastAsia" w:ascii="Times New Roman" w:hAnsi="Times New Roman"/>
              </w:rPr>
              <w:t>18</w:t>
            </w:r>
            <w:r>
              <w:rPr>
                <w:rFonts w:ascii="Times New Roman" w:hAnsi="Times New Roman"/>
              </w:rPr>
              <w:t>）。</w:t>
            </w:r>
          </w:p>
          <w:p>
            <w:pPr>
              <w:pStyle w:val="65"/>
              <w:spacing w:line="360" w:lineRule="auto"/>
              <w:rPr>
                <w:rFonts w:ascii="Times New Roman" w:hAnsi="Times New Roman"/>
              </w:rPr>
            </w:pPr>
            <w:r>
              <w:rPr>
                <w:rFonts w:ascii="Times New Roman" w:hAnsi="Times New Roman"/>
              </w:rPr>
              <w:t>（8）《一般工业固体废物贮存、处置场污染控制标准》，GB18599-2001；</w:t>
            </w:r>
          </w:p>
          <w:p>
            <w:pPr>
              <w:spacing w:line="360" w:lineRule="auto"/>
              <w:ind w:firstLine="480" w:firstLineChars="200"/>
              <w:rPr>
                <w:sz w:val="24"/>
              </w:rPr>
            </w:pPr>
            <w:r>
              <w:rPr>
                <w:sz w:val="24"/>
              </w:rPr>
              <w:t>（三）地方性政府文件</w:t>
            </w:r>
          </w:p>
          <w:p>
            <w:pPr>
              <w:spacing w:line="360" w:lineRule="auto"/>
              <w:ind w:firstLine="482"/>
              <w:rPr>
                <w:sz w:val="24"/>
              </w:rPr>
            </w:pPr>
            <w:r>
              <w:rPr>
                <w:sz w:val="24"/>
              </w:rPr>
              <w:t>（1）《陕西省大气污染防治条例》</w:t>
            </w:r>
            <w:r>
              <w:rPr>
                <w:rFonts w:hint="eastAsia"/>
                <w:sz w:val="24"/>
              </w:rPr>
              <w:t>，2019年修正</w:t>
            </w:r>
            <w:r>
              <w:rPr>
                <w:sz w:val="24"/>
              </w:rPr>
              <w:t>；</w:t>
            </w:r>
          </w:p>
          <w:p>
            <w:pPr>
              <w:spacing w:line="360" w:lineRule="auto"/>
              <w:ind w:firstLine="482"/>
              <w:rPr>
                <w:sz w:val="24"/>
              </w:rPr>
            </w:pPr>
            <w:r>
              <w:rPr>
                <w:sz w:val="24"/>
              </w:rPr>
              <w:t>（2）《陕西省</w:t>
            </w:r>
            <w:r>
              <w:rPr>
                <w:rFonts w:hint="eastAsia"/>
                <w:sz w:val="24"/>
              </w:rPr>
              <w:t>固体废物</w:t>
            </w:r>
            <w:r>
              <w:rPr>
                <w:sz w:val="24"/>
              </w:rPr>
              <w:t>污染</w:t>
            </w:r>
            <w:r>
              <w:rPr>
                <w:rFonts w:hint="eastAsia"/>
                <w:sz w:val="24"/>
              </w:rPr>
              <w:t>环境</w:t>
            </w:r>
            <w:r>
              <w:rPr>
                <w:sz w:val="24"/>
              </w:rPr>
              <w:t>防治条例》</w:t>
            </w:r>
            <w:r>
              <w:rPr>
                <w:rFonts w:hint="eastAsia"/>
                <w:sz w:val="24"/>
              </w:rPr>
              <w:t>，2016年4月1日</w:t>
            </w:r>
            <w:r>
              <w:rPr>
                <w:sz w:val="24"/>
              </w:rPr>
              <w:t>；</w:t>
            </w:r>
          </w:p>
          <w:p>
            <w:pPr>
              <w:spacing w:line="360" w:lineRule="auto"/>
              <w:ind w:firstLine="482"/>
              <w:rPr>
                <w:sz w:val="24"/>
              </w:rPr>
            </w:pPr>
            <w:r>
              <w:rPr>
                <w:sz w:val="24"/>
              </w:rPr>
              <w:t>（3）《陕西省铁腕治霾打赢蓝天保卫战三年行动方案（2018-2020）》；</w:t>
            </w:r>
          </w:p>
          <w:p>
            <w:pPr>
              <w:spacing w:line="360" w:lineRule="auto"/>
              <w:ind w:firstLine="482"/>
              <w:rPr>
                <w:sz w:val="24"/>
              </w:rPr>
            </w:pPr>
            <w:r>
              <w:rPr>
                <w:sz w:val="24"/>
              </w:rPr>
              <w:t>（4）《陕西省汉江丹江流域水污染防治条例》2006年3月1日；</w:t>
            </w:r>
          </w:p>
          <w:p>
            <w:pPr>
              <w:spacing w:line="360" w:lineRule="auto"/>
              <w:ind w:firstLine="482"/>
              <w:rPr>
                <w:sz w:val="24"/>
              </w:rPr>
            </w:pPr>
            <w:r>
              <w:rPr>
                <w:sz w:val="24"/>
              </w:rPr>
              <w:t>（5）陕西省人民政府关于印发《汉江丹江流域水质保护行动方案（2014-2017年）》的通知，陕政发〔2014〕15号；</w:t>
            </w:r>
          </w:p>
          <w:p>
            <w:pPr>
              <w:spacing w:line="360" w:lineRule="auto"/>
              <w:ind w:firstLine="482"/>
              <w:rPr>
                <w:bCs/>
                <w:sz w:val="24"/>
              </w:rPr>
            </w:pPr>
            <w:r>
              <w:rPr>
                <w:sz w:val="24"/>
              </w:rPr>
              <w:t>（6）安康市人民政府《关于进一步加强环境保护工作的决定》，安政发〔2013〕31号；</w:t>
            </w:r>
          </w:p>
          <w:p>
            <w:pPr>
              <w:spacing w:line="360" w:lineRule="auto"/>
              <w:ind w:firstLine="482"/>
              <w:rPr>
                <w:sz w:val="24"/>
              </w:rPr>
            </w:pPr>
            <w:r>
              <w:rPr>
                <w:sz w:val="24"/>
              </w:rPr>
              <w:t>（7）安康市人民政府《关于进一步加强汉江水质保护工作的意见》，安政发〔2013〕32号；</w:t>
            </w:r>
          </w:p>
          <w:p>
            <w:pPr>
              <w:spacing w:line="360" w:lineRule="auto"/>
              <w:ind w:firstLine="482"/>
              <w:rPr>
                <w:sz w:val="24"/>
              </w:rPr>
            </w:pPr>
            <w:r>
              <w:rPr>
                <w:sz w:val="24"/>
              </w:rPr>
              <w:t>（8）《安康市大气污染综合整治行动工作方案》，安政发〔2015〕16号；</w:t>
            </w:r>
          </w:p>
          <w:p>
            <w:pPr>
              <w:spacing w:line="360" w:lineRule="auto"/>
              <w:ind w:firstLine="482"/>
              <w:rPr>
                <w:sz w:val="24"/>
              </w:rPr>
            </w:pPr>
            <w:r>
              <w:rPr>
                <w:sz w:val="24"/>
              </w:rPr>
              <w:t>（9）《安康市铁腕治霾</w:t>
            </w:r>
            <w:r>
              <w:rPr>
                <w:rFonts w:hint="eastAsia"/>
                <w:sz w:val="24"/>
              </w:rPr>
              <w:t>打赢</w:t>
            </w:r>
            <w:r>
              <w:rPr>
                <w:sz w:val="24"/>
              </w:rPr>
              <w:t>蓝天</w:t>
            </w:r>
            <w:r>
              <w:rPr>
                <w:rFonts w:hint="eastAsia"/>
                <w:sz w:val="24"/>
              </w:rPr>
              <w:t>保卫战三年行动方案（2018-2020）</w:t>
            </w:r>
            <w:r>
              <w:rPr>
                <w:sz w:val="24"/>
              </w:rPr>
              <w:t>》，安政发〔20</w:t>
            </w:r>
            <w:r>
              <w:rPr>
                <w:rFonts w:hint="eastAsia"/>
                <w:sz w:val="24"/>
              </w:rPr>
              <w:t>18</w:t>
            </w:r>
            <w:r>
              <w:rPr>
                <w:sz w:val="24"/>
              </w:rPr>
              <w:t>〕</w:t>
            </w:r>
            <w:r>
              <w:rPr>
                <w:rFonts w:hint="eastAsia"/>
                <w:sz w:val="24"/>
              </w:rPr>
              <w:t>21</w:t>
            </w:r>
            <w:r>
              <w:rPr>
                <w:sz w:val="24"/>
              </w:rPr>
              <w:t>号；</w:t>
            </w:r>
          </w:p>
          <w:p>
            <w:pPr>
              <w:adjustRightInd w:val="0"/>
              <w:snapToGrid w:val="0"/>
              <w:spacing w:line="360" w:lineRule="auto"/>
              <w:ind w:firstLine="482"/>
              <w:rPr>
                <w:sz w:val="24"/>
              </w:rPr>
            </w:pPr>
            <w:r>
              <w:rPr>
                <w:sz w:val="24"/>
              </w:rPr>
              <w:t>（1</w:t>
            </w:r>
            <w:r>
              <w:rPr>
                <w:rFonts w:hint="eastAsia"/>
                <w:sz w:val="24"/>
              </w:rPr>
              <w:t>0</w:t>
            </w:r>
            <w:r>
              <w:rPr>
                <w:sz w:val="24"/>
              </w:rPr>
              <w:t>）安康市人民政府关于印发《安康市水污染防治工作方案》的通知（2016年3月22日）；</w:t>
            </w:r>
          </w:p>
          <w:p>
            <w:pPr>
              <w:pStyle w:val="26"/>
              <w:numPr>
                <w:ilvl w:val="0"/>
                <w:numId w:val="1"/>
              </w:numPr>
              <w:ind w:firstLine="482"/>
              <w:rPr>
                <w:rFonts w:ascii="Times New Roman" w:hAnsi="Times New Roman"/>
                <w:b/>
                <w:bCs/>
                <w:szCs w:val="24"/>
              </w:rPr>
            </w:pPr>
            <w:r>
              <w:rPr>
                <w:rFonts w:ascii="Times New Roman" w:hAnsi="Times New Roman"/>
                <w:b/>
                <w:bCs/>
                <w:szCs w:val="24"/>
              </w:rPr>
              <w:t>分析判定相关情况</w:t>
            </w:r>
          </w:p>
          <w:p>
            <w:pPr>
              <w:pStyle w:val="26"/>
              <w:ind w:firstLine="482"/>
              <w:rPr>
                <w:rFonts w:ascii="Times New Roman" w:hAnsi="Times New Roman"/>
                <w:b/>
                <w:bCs/>
                <w:szCs w:val="24"/>
              </w:rPr>
            </w:pPr>
            <w:r>
              <w:rPr>
                <w:rFonts w:ascii="Times New Roman" w:hAnsi="Times New Roman"/>
                <w:b/>
                <w:bCs/>
                <w:szCs w:val="24"/>
              </w:rPr>
              <w:t>1、产业政策符合性分析</w:t>
            </w:r>
          </w:p>
          <w:p>
            <w:pPr>
              <w:pStyle w:val="26"/>
              <w:rPr>
                <w:rFonts w:ascii="Times New Roman" w:hAnsi="Times New Roman"/>
              </w:rPr>
            </w:pPr>
            <w:r>
              <w:rPr>
                <w:rFonts w:ascii="Times New Roman" w:hAnsi="Times New Roman"/>
              </w:rPr>
              <w:t>根据《产业结构调整指导目录2019年本》，本项目属于“第一类鼓励类</w:t>
            </w:r>
            <w:r>
              <w:rPr>
                <w:rFonts w:hint="eastAsia" w:ascii="Times New Roman" w:hAnsi="Times New Roman"/>
              </w:rPr>
              <w:t>十二</w:t>
            </w:r>
            <w:r>
              <w:rPr>
                <w:rFonts w:ascii="Times New Roman" w:hAnsi="Times New Roman"/>
              </w:rPr>
              <w:t>、</w:t>
            </w:r>
            <w:r>
              <w:rPr>
                <w:rFonts w:hint="eastAsia" w:ascii="Times New Roman" w:hAnsi="Times New Roman"/>
              </w:rPr>
              <w:t>建材</w:t>
            </w:r>
            <w:r>
              <w:rPr>
                <w:rFonts w:ascii="Times New Roman" w:hAnsi="Times New Roman"/>
              </w:rPr>
              <w:t xml:space="preserve">  </w:t>
            </w:r>
            <w:r>
              <w:rPr>
                <w:rFonts w:hint="eastAsia" w:ascii="Times New Roman" w:hAnsi="Times New Roman"/>
              </w:rPr>
              <w:t>11</w:t>
            </w:r>
            <w:r>
              <w:rPr>
                <w:rFonts w:ascii="Times New Roman" w:hAnsi="Times New Roman"/>
              </w:rPr>
              <w:t>、利用矿山尾</w:t>
            </w:r>
            <w:r>
              <w:rPr>
                <w:rFonts w:hint="eastAsia" w:ascii="Times New Roman" w:hAnsi="Times New Roman"/>
              </w:rPr>
              <w:t>矿</w:t>
            </w:r>
            <w:r>
              <w:rPr>
                <w:rFonts w:ascii="Times New Roman" w:hAnsi="Times New Roman"/>
              </w:rPr>
              <w:t>、建筑废弃物、工业废弃物、江河湖</w:t>
            </w:r>
            <w:r>
              <w:rPr>
                <w:rFonts w:hint="eastAsia" w:ascii="Times New Roman" w:hAnsi="Times New Roman"/>
              </w:rPr>
              <w:t>（渠）海</w:t>
            </w:r>
            <w:r>
              <w:rPr>
                <w:rFonts w:ascii="Times New Roman" w:hAnsi="Times New Roman"/>
              </w:rPr>
              <w:t>淤泥以及农林剩余物等二次资源生产建材及其他工艺技术装备开发”。因此，本项目建设符合国家产业政策。</w:t>
            </w:r>
          </w:p>
          <w:p>
            <w:pPr>
              <w:spacing w:line="360" w:lineRule="auto"/>
              <w:ind w:firstLine="480" w:firstLineChars="200"/>
              <w:rPr>
                <w:kern w:val="0"/>
                <w:sz w:val="24"/>
                <w:szCs w:val="21"/>
              </w:rPr>
            </w:pPr>
            <w:r>
              <w:rPr>
                <w:kern w:val="0"/>
                <w:sz w:val="24"/>
                <w:szCs w:val="21"/>
              </w:rPr>
              <w:t>本项目于2020年6月5日取得石泉县发展和改革局：《</w:t>
            </w:r>
            <w:r>
              <w:rPr>
                <w:sz w:val="24"/>
              </w:rPr>
              <w:t>陕西泰茂固体废弃物综合利用石泉杨柳基地建设项目</w:t>
            </w:r>
            <w:r>
              <w:rPr>
                <w:kern w:val="0"/>
                <w:sz w:val="24"/>
                <w:szCs w:val="21"/>
              </w:rPr>
              <w:t>》（</w:t>
            </w:r>
            <w:r>
              <w:rPr>
                <w:sz w:val="24"/>
              </w:rPr>
              <w:t>2020-610922-77-03-034315</w:t>
            </w:r>
            <w:r>
              <w:rPr>
                <w:kern w:val="0"/>
                <w:sz w:val="24"/>
                <w:szCs w:val="21"/>
              </w:rPr>
              <w:t>）备案确认书，故本项目的建设符合现行规划政策。</w:t>
            </w:r>
          </w:p>
          <w:p>
            <w:pPr>
              <w:pStyle w:val="26"/>
              <w:ind w:firstLine="482"/>
              <w:rPr>
                <w:rFonts w:ascii="Times New Roman" w:hAnsi="Times New Roman"/>
                <w:bCs/>
                <w:szCs w:val="24"/>
              </w:rPr>
            </w:pPr>
            <w:r>
              <w:rPr>
                <w:rFonts w:ascii="Times New Roman" w:hAnsi="Times New Roman"/>
                <w:b/>
                <w:bCs/>
                <w:szCs w:val="24"/>
              </w:rPr>
              <w:t>2、与《安康市国民经济和社会发展第十三个五年规划纲要》</w:t>
            </w:r>
            <w:r>
              <w:rPr>
                <w:rFonts w:hint="eastAsia" w:ascii="Times New Roman" w:hAnsi="Times New Roman"/>
                <w:b/>
                <w:bCs/>
                <w:szCs w:val="24"/>
              </w:rPr>
              <w:t>的</w:t>
            </w:r>
            <w:r>
              <w:rPr>
                <w:rFonts w:ascii="Times New Roman" w:hAnsi="Times New Roman"/>
                <w:b/>
                <w:bCs/>
                <w:szCs w:val="24"/>
              </w:rPr>
              <w:t>符合性</w:t>
            </w:r>
            <w:r>
              <w:rPr>
                <w:rFonts w:hint="eastAsia" w:ascii="Times New Roman" w:hAnsi="Times New Roman"/>
                <w:b/>
                <w:bCs/>
                <w:szCs w:val="24"/>
              </w:rPr>
              <w:t>分析</w:t>
            </w:r>
          </w:p>
          <w:p>
            <w:pPr>
              <w:pStyle w:val="26"/>
              <w:rPr>
                <w:rFonts w:ascii="Times New Roman" w:hAnsi="Times New Roman"/>
                <w:bCs/>
                <w:szCs w:val="24"/>
              </w:rPr>
            </w:pPr>
            <w:r>
              <w:rPr>
                <w:rFonts w:ascii="Times New Roman" w:hAnsi="Times New Roman"/>
                <w:bCs/>
                <w:szCs w:val="24"/>
              </w:rPr>
              <w:t>根据《安康市国民经济和社会发展第十三个五年规划纲要》：第七章绿色发展加快生态安康建设第二十七节促进资源节约高效利用：“集约节约高效利用资源。推动多种形式的农业土地适度规模经营，提高土地利用效益。严格落实耕地占补平衡，开展废弃工业用地的再利用，加强土地利用规划管控。加强矿产资源和工业废水废气节约与综合利用，推进工矿废弃地综合整治再利用。实行严格的水资源管理制度，确立水资源开发利用控制、用水效率控制、水功能区限制纳污“三条红线”，促进水资源可持续利用方式转变。到2020年，矿产资源综合利用率提高15%以上，万元GDP用水量下降25%。”</w:t>
            </w:r>
          </w:p>
          <w:p>
            <w:pPr>
              <w:pStyle w:val="26"/>
              <w:rPr>
                <w:rFonts w:ascii="Times New Roman" w:hAnsi="Times New Roman"/>
                <w:bCs/>
                <w:szCs w:val="24"/>
              </w:rPr>
            </w:pPr>
            <w:r>
              <w:rPr>
                <w:rFonts w:ascii="Times New Roman" w:hAnsi="Times New Roman"/>
                <w:bCs/>
                <w:szCs w:val="24"/>
              </w:rPr>
              <w:t>本项目属于废弃资源化利用项目，符合《安康市国民经济和社会发展第十三个五年规划纲要》。</w:t>
            </w:r>
          </w:p>
          <w:p>
            <w:pPr>
              <w:numPr>
                <w:ilvl w:val="0"/>
                <w:numId w:val="3"/>
              </w:numPr>
              <w:autoSpaceDE w:val="0"/>
              <w:autoSpaceDN w:val="0"/>
              <w:spacing w:line="336" w:lineRule="auto"/>
              <w:ind w:firstLine="480" w:firstLineChars="200"/>
              <w:rPr>
                <w:b/>
                <w:sz w:val="24"/>
                <w:szCs w:val="20"/>
              </w:rPr>
            </w:pPr>
            <w:r>
              <w:rPr>
                <w:rFonts w:hint="eastAsia"/>
                <w:b/>
                <w:sz w:val="24"/>
                <w:szCs w:val="20"/>
              </w:rPr>
              <w:t>与相关技术政策、文件的相符性分析</w:t>
            </w:r>
          </w:p>
          <w:p>
            <w:pPr>
              <w:spacing w:line="460" w:lineRule="exact"/>
              <w:jc w:val="center"/>
              <w:rPr>
                <w:b/>
                <w:bCs/>
                <w:szCs w:val="21"/>
              </w:rPr>
            </w:pPr>
            <w:r>
              <w:rPr>
                <w:b/>
                <w:bCs/>
                <w:szCs w:val="21"/>
              </w:rPr>
              <w:t>表</w:t>
            </w:r>
            <w:r>
              <w:rPr>
                <w:rFonts w:hint="eastAsia"/>
                <w:b/>
                <w:bCs/>
                <w:szCs w:val="21"/>
              </w:rPr>
              <w:t>1</w:t>
            </w:r>
            <w:r>
              <w:rPr>
                <w:b/>
                <w:bCs/>
                <w:szCs w:val="21"/>
              </w:rPr>
              <w:t xml:space="preserve">    本项目</w:t>
            </w:r>
            <w:r>
              <w:rPr>
                <w:rFonts w:hint="eastAsia"/>
                <w:b/>
                <w:bCs/>
                <w:szCs w:val="21"/>
              </w:rPr>
              <w:t>与相关技术政策、文件的相符性分析</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706"/>
              <w:gridCol w:w="4127"/>
              <w:gridCol w:w="2175"/>
              <w:gridCol w:w="7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6"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相关政策文件</w:t>
                  </w:r>
                </w:p>
              </w:tc>
              <w:tc>
                <w:tcPr>
                  <w:tcW w:w="4833" w:type="dxa"/>
                  <w:gridSpan w:val="2"/>
                  <w:tcBorders>
                    <w:tl2br w:val="nil"/>
                    <w:tr2bl w:val="nil"/>
                  </w:tcBorders>
                  <w:vAlign w:val="center"/>
                </w:tcPr>
                <w:p>
                  <w:pPr>
                    <w:adjustRightInd w:val="0"/>
                    <w:snapToGrid w:val="0"/>
                    <w:spacing w:line="320" w:lineRule="exact"/>
                    <w:jc w:val="center"/>
                    <w:rPr>
                      <w:szCs w:val="21"/>
                    </w:rPr>
                  </w:pPr>
                  <w:r>
                    <w:rPr>
                      <w:rFonts w:hAnsi="宋体"/>
                      <w:szCs w:val="21"/>
                    </w:rPr>
                    <w:t>要求</w:t>
                  </w:r>
                </w:p>
              </w:tc>
              <w:tc>
                <w:tcPr>
                  <w:tcW w:w="2175" w:type="dxa"/>
                  <w:tcBorders>
                    <w:tl2br w:val="nil"/>
                    <w:tr2bl w:val="nil"/>
                  </w:tcBorders>
                  <w:vAlign w:val="center"/>
                </w:tcPr>
                <w:p>
                  <w:pPr>
                    <w:adjustRightInd w:val="0"/>
                    <w:snapToGrid w:val="0"/>
                    <w:spacing w:line="320" w:lineRule="exact"/>
                    <w:jc w:val="center"/>
                    <w:rPr>
                      <w:szCs w:val="21"/>
                    </w:rPr>
                  </w:pPr>
                  <w:r>
                    <w:rPr>
                      <w:rFonts w:hAnsi="宋体"/>
                      <w:szCs w:val="21"/>
                    </w:rPr>
                    <w:t>本项目符合情况</w:t>
                  </w:r>
                </w:p>
              </w:tc>
              <w:tc>
                <w:tcPr>
                  <w:tcW w:w="716" w:type="dxa"/>
                  <w:tcBorders>
                    <w:tl2br w:val="nil"/>
                    <w:tr2bl w:val="nil"/>
                  </w:tcBorders>
                  <w:vAlign w:val="center"/>
                </w:tcPr>
                <w:p>
                  <w:pPr>
                    <w:adjustRightInd w:val="0"/>
                    <w:snapToGrid w:val="0"/>
                    <w:spacing w:line="320" w:lineRule="exact"/>
                    <w:jc w:val="center"/>
                    <w:rPr>
                      <w:szCs w:val="21"/>
                    </w:rPr>
                  </w:pPr>
                  <w:r>
                    <w:rPr>
                      <w:rFonts w:hAnsi="宋体"/>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6" w:type="dxa"/>
                  <w:vMerge w:val="restart"/>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石泉县铁腕治霾打赢蓝天保卫战三年行动</w:t>
                  </w:r>
                  <w:r>
                    <w:rPr>
                      <w:rFonts w:hAnsi="宋体"/>
                      <w:szCs w:val="21"/>
                    </w:rPr>
                    <w:t>实施方案（2018-2020年）</w:t>
                  </w:r>
                </w:p>
              </w:tc>
              <w:tc>
                <w:tcPr>
                  <w:tcW w:w="706"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优化产业结构</w:t>
                  </w:r>
                </w:p>
              </w:tc>
              <w:tc>
                <w:tcPr>
                  <w:tcW w:w="4127"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构建绿色低碳循环产业体系，加快推动光伏发电项目等生态友好型产业跃上新台阶，促进绿色工业提质扩能增效，助推新兴产业规模化发展。严禁新建、扩建、改建石油化工、煤化工、高污染、高排放行业企业落户。</w:t>
                  </w:r>
                </w:p>
              </w:tc>
              <w:tc>
                <w:tcPr>
                  <w:tcW w:w="2175" w:type="dxa"/>
                  <w:tcBorders>
                    <w:tl2br w:val="nil"/>
                    <w:tr2bl w:val="nil"/>
                  </w:tcBorders>
                  <w:vAlign w:val="center"/>
                </w:tcPr>
                <w:p>
                  <w:pPr>
                    <w:adjustRightInd w:val="0"/>
                    <w:snapToGrid w:val="0"/>
                    <w:spacing w:line="320" w:lineRule="exact"/>
                    <w:jc w:val="center"/>
                    <w:rPr>
                      <w:szCs w:val="21"/>
                    </w:rPr>
                  </w:pPr>
                  <w:r>
                    <w:rPr>
                      <w:rFonts w:hAnsi="宋体"/>
                      <w:kern w:val="0"/>
                      <w:szCs w:val="21"/>
                    </w:rPr>
                    <w:t>本项目</w:t>
                  </w:r>
                  <w:r>
                    <w:rPr>
                      <w:rFonts w:hint="eastAsia" w:hAnsi="宋体"/>
                      <w:kern w:val="0"/>
                      <w:szCs w:val="21"/>
                    </w:rPr>
                    <w:t>属于</w:t>
                  </w:r>
                  <w:r>
                    <w:rPr>
                      <w:rFonts w:hAnsi="宋体"/>
                      <w:kern w:val="0"/>
                      <w:szCs w:val="21"/>
                    </w:rPr>
                    <w:t>非金属废料和碎屑的加工处理</w:t>
                  </w:r>
                  <w:r>
                    <w:rPr>
                      <w:rFonts w:hint="eastAsia" w:hAnsi="宋体"/>
                      <w:szCs w:val="21"/>
                    </w:rPr>
                    <w:t>行业，不属于涉</w:t>
                  </w:r>
                  <w:r>
                    <w:rPr>
                      <w:rFonts w:hAnsi="宋体"/>
                      <w:szCs w:val="21"/>
                    </w:rPr>
                    <w:t>煤和石油化工、煤化工等</w:t>
                  </w:r>
                  <w:r>
                    <w:rPr>
                      <w:rFonts w:hint="eastAsia" w:hAnsi="宋体"/>
                      <w:szCs w:val="21"/>
                    </w:rPr>
                    <w:t>行业</w:t>
                  </w:r>
                </w:p>
              </w:tc>
              <w:tc>
                <w:tcPr>
                  <w:tcW w:w="716" w:type="dxa"/>
                  <w:tcBorders>
                    <w:tl2br w:val="nil"/>
                    <w:tr2bl w:val="nil"/>
                  </w:tcBorders>
                  <w:vAlign w:val="center"/>
                </w:tcPr>
                <w:p>
                  <w:pPr>
                    <w:widowControl/>
                    <w:adjustRightInd w:val="0"/>
                    <w:snapToGrid w:val="0"/>
                    <w:spacing w:before="113" w:line="320" w:lineRule="exact"/>
                    <w:jc w:val="center"/>
                    <w:rPr>
                      <w:szCs w:val="21"/>
                    </w:rPr>
                  </w:pPr>
                  <w:r>
                    <w:rPr>
                      <w:rFonts w:hAnsi="宋体"/>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336" w:type="dxa"/>
                  <w:vMerge w:val="continue"/>
                  <w:tcBorders>
                    <w:tl2br w:val="nil"/>
                    <w:tr2bl w:val="nil"/>
                  </w:tcBorders>
                  <w:vAlign w:val="center"/>
                </w:tcPr>
                <w:p>
                  <w:pPr>
                    <w:widowControl/>
                    <w:jc w:val="left"/>
                    <w:rPr>
                      <w:szCs w:val="21"/>
                    </w:rPr>
                  </w:pPr>
                </w:p>
              </w:tc>
              <w:tc>
                <w:tcPr>
                  <w:tcW w:w="706"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加强物料堆场扬尘排放防治</w:t>
                  </w:r>
                </w:p>
              </w:tc>
              <w:tc>
                <w:tcPr>
                  <w:tcW w:w="4127"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严格落实煤炭、商品混凝土、沙石、粉煤灰等工业企业物料堆场抑尘措施，配套建设收尘和密封物料仓库，建设围墙、喷淋、覆盖和围挡等防风抑尘措施。采用密闭输送设备作业的，必须在装卸处配备吸尘、喷淋等防尘设施，并保持防尘设施的正常使用，严禁露天装卸作业和物料干法作业。</w:t>
                  </w:r>
                </w:p>
              </w:tc>
              <w:tc>
                <w:tcPr>
                  <w:tcW w:w="2175" w:type="dxa"/>
                  <w:tcBorders>
                    <w:tl2br w:val="nil"/>
                    <w:tr2bl w:val="nil"/>
                  </w:tcBorders>
                  <w:vAlign w:val="center"/>
                </w:tcPr>
                <w:p>
                  <w:pPr>
                    <w:adjustRightInd w:val="0"/>
                    <w:snapToGrid w:val="0"/>
                    <w:spacing w:line="320" w:lineRule="exact"/>
                    <w:jc w:val="center"/>
                    <w:rPr>
                      <w:rFonts w:hAnsi="宋体"/>
                      <w:szCs w:val="21"/>
                    </w:rPr>
                  </w:pPr>
                  <w:r>
                    <w:rPr>
                      <w:rFonts w:hAnsi="宋体"/>
                      <w:szCs w:val="21"/>
                    </w:rPr>
                    <w:t>本项目</w:t>
                  </w:r>
                  <w:r>
                    <w:rPr>
                      <w:rFonts w:hint="eastAsia" w:hAnsi="宋体"/>
                      <w:szCs w:val="21"/>
                    </w:rPr>
                    <w:t>在简易密闭钢结构车间内进行生产，输送带密闭输送，且</w:t>
                  </w:r>
                  <w:r>
                    <w:rPr>
                      <w:rFonts w:hAnsi="宋体"/>
                      <w:szCs w:val="21"/>
                    </w:rPr>
                    <w:t>在</w:t>
                  </w:r>
                  <w:r>
                    <w:rPr>
                      <w:rFonts w:hint="eastAsia" w:hAnsi="宋体"/>
                      <w:szCs w:val="21"/>
                    </w:rPr>
                    <w:t>车间内</w:t>
                  </w:r>
                  <w:r>
                    <w:rPr>
                      <w:rFonts w:hAnsi="宋体"/>
                      <w:szCs w:val="21"/>
                    </w:rPr>
                    <w:t>设置了喷</w:t>
                  </w:r>
                  <w:r>
                    <w:rPr>
                      <w:rFonts w:hint="eastAsia" w:hAnsi="宋体"/>
                      <w:szCs w:val="21"/>
                    </w:rPr>
                    <w:t>雾</w:t>
                  </w:r>
                  <w:r>
                    <w:rPr>
                      <w:rFonts w:hAnsi="宋体"/>
                      <w:szCs w:val="21"/>
                    </w:rPr>
                    <w:t>装置</w:t>
                  </w:r>
                  <w:r>
                    <w:rPr>
                      <w:rFonts w:hint="eastAsia" w:hAnsi="宋体"/>
                      <w:szCs w:val="21"/>
                    </w:rPr>
                    <w:t>，以及在传输、破碎筛分工序设置集气罩，利用布袋除尘器进行处理，装卸和堆放均在车间内，能够有效抑制粉尘的产生量</w:t>
                  </w:r>
                </w:p>
              </w:tc>
              <w:tc>
                <w:tcPr>
                  <w:tcW w:w="716" w:type="dxa"/>
                  <w:tcBorders>
                    <w:tl2br w:val="nil"/>
                    <w:tr2bl w:val="nil"/>
                  </w:tcBorders>
                  <w:vAlign w:val="center"/>
                </w:tcPr>
                <w:p>
                  <w:pPr>
                    <w:adjustRightInd w:val="0"/>
                    <w:snapToGrid w:val="0"/>
                    <w:spacing w:line="320" w:lineRule="exact"/>
                    <w:jc w:val="center"/>
                    <w:rPr>
                      <w:rFonts w:hAnsi="宋体"/>
                      <w:szCs w:val="21"/>
                    </w:rPr>
                  </w:pPr>
                  <w:r>
                    <w:rPr>
                      <w:rFonts w:hAnsi="宋体"/>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6" w:type="dxa"/>
                  <w:vMerge w:val="continue"/>
                  <w:tcBorders>
                    <w:tl2br w:val="nil"/>
                    <w:tr2bl w:val="nil"/>
                  </w:tcBorders>
                  <w:vAlign w:val="center"/>
                </w:tcPr>
                <w:p>
                  <w:pPr>
                    <w:widowControl/>
                    <w:jc w:val="left"/>
                    <w:rPr>
                      <w:szCs w:val="21"/>
                    </w:rPr>
                  </w:pPr>
                </w:p>
              </w:tc>
              <w:tc>
                <w:tcPr>
                  <w:tcW w:w="706"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全面提升施工扬尘管控水平</w:t>
                  </w:r>
                </w:p>
              </w:tc>
              <w:tc>
                <w:tcPr>
                  <w:tcW w:w="4127" w:type="dxa"/>
                  <w:tcBorders>
                    <w:tl2br w:val="nil"/>
                    <w:tr2bl w:val="nil"/>
                  </w:tcBorders>
                  <w:vAlign w:val="center"/>
                </w:tcPr>
                <w:p>
                  <w:pPr>
                    <w:adjustRightInd w:val="0"/>
                    <w:snapToGrid w:val="0"/>
                    <w:spacing w:line="320" w:lineRule="exact"/>
                    <w:jc w:val="center"/>
                    <w:rPr>
                      <w:rFonts w:hAnsi="宋体"/>
                      <w:szCs w:val="21"/>
                    </w:rPr>
                  </w:pPr>
                  <w:r>
                    <w:rPr>
                      <w:rFonts w:hint="eastAsia" w:hAnsi="宋体"/>
                      <w:szCs w:val="21"/>
                    </w:rPr>
                    <w:t>2018年10月底前，建立健全全县施工工地管理清单。持续深入推进铁腕治霾扬尘管控督查整改行动，施工工地扬尘污染治理由监管部门、建设单位、施工企业、监理企业全链条负责。严格落实建筑施工扬尘治理措施16条和“洒水、覆盖、硬化、冲洗、绿化、围挡”六个 100%要求，对长期未进行施工的裸露建筑工地要及时进行绿化，禁止县城建成区建筑工地现场搅拌混凝土,积极推广预拌砂浆。严控旧房拆除过程中造成扬尘污染。2018年12月底前，县城区规模以上工程施工工地必须安装视频监控系统并正常使用，并与市南水北调中心联网。2019年底前，完成城关镇、池河镇、饶峰镇、两河镇规模以上在建工程施工现场视频监控系统的安装并投入正常使用，2020年实现全县11个镇全覆盖，同时加快推进与市南水北调中心联网。对落实扬尘管控措施不力的施工工地实施上限处罚，并在建筑市场监管与诚信信息平台曝光，记入企业不良信用记录。制定出台不诚信施工单位退出市场机制和取消招投标资质机制。</w:t>
                  </w:r>
                </w:p>
              </w:tc>
              <w:tc>
                <w:tcPr>
                  <w:tcW w:w="2175" w:type="dxa"/>
                  <w:tcBorders>
                    <w:tl2br w:val="nil"/>
                    <w:tr2bl w:val="nil"/>
                  </w:tcBorders>
                  <w:vAlign w:val="center"/>
                </w:tcPr>
                <w:p>
                  <w:pPr>
                    <w:adjustRightInd w:val="0"/>
                    <w:snapToGrid w:val="0"/>
                    <w:spacing w:line="320" w:lineRule="exact"/>
                    <w:jc w:val="center"/>
                    <w:rPr>
                      <w:szCs w:val="21"/>
                    </w:rPr>
                  </w:pPr>
                  <w:r>
                    <w:rPr>
                      <w:rFonts w:hAnsi="宋体"/>
                      <w:szCs w:val="21"/>
                    </w:rPr>
                    <w:t>本项目新建项目，</w:t>
                  </w:r>
                  <w:r>
                    <w:rPr>
                      <w:rFonts w:hint="eastAsia" w:hAnsi="宋体"/>
                      <w:szCs w:val="21"/>
                    </w:rPr>
                    <w:t>施工期严格按落实施工扬尘治理措施，</w:t>
                  </w:r>
                  <w:r>
                    <w:rPr>
                      <w:rFonts w:hAnsi="宋体"/>
                      <w:szCs w:val="21"/>
                    </w:rPr>
                    <w:t>对外界环境影响较小。</w:t>
                  </w:r>
                </w:p>
              </w:tc>
              <w:tc>
                <w:tcPr>
                  <w:tcW w:w="716" w:type="dxa"/>
                  <w:tcBorders>
                    <w:tl2br w:val="nil"/>
                    <w:tr2bl w:val="nil"/>
                  </w:tcBorders>
                  <w:vAlign w:val="center"/>
                </w:tcPr>
                <w:p>
                  <w:pPr>
                    <w:adjustRightInd w:val="0"/>
                    <w:snapToGrid w:val="0"/>
                    <w:spacing w:line="320" w:lineRule="exact"/>
                    <w:jc w:val="center"/>
                    <w:rPr>
                      <w:szCs w:val="21"/>
                    </w:rPr>
                  </w:pPr>
                  <w:r>
                    <w:rPr>
                      <w:rFonts w:hAnsi="宋体"/>
                      <w:szCs w:val="21"/>
                    </w:rPr>
                    <w:t>符合</w:t>
                  </w:r>
                </w:p>
              </w:tc>
            </w:tr>
          </w:tbl>
          <w:p>
            <w:pPr>
              <w:autoSpaceDE w:val="0"/>
              <w:autoSpaceDN w:val="0"/>
              <w:spacing w:line="336" w:lineRule="auto"/>
              <w:ind w:firstLine="480" w:firstLineChars="200"/>
              <w:rPr>
                <w:rFonts w:hAnsi="宋体"/>
                <w:sz w:val="24"/>
              </w:rPr>
            </w:pPr>
            <w:r>
              <w:rPr>
                <w:rFonts w:hAnsi="宋体"/>
                <w:sz w:val="24"/>
              </w:rPr>
              <w:t>本项目建设内容与</w:t>
            </w:r>
            <w:r>
              <w:rPr>
                <w:sz w:val="24"/>
              </w:rPr>
              <w:t>《建筑垃圾资源化利用行业规范条件（暂行）》</w:t>
            </w:r>
            <w:r>
              <w:rPr>
                <w:rFonts w:hAnsi="宋体"/>
                <w:sz w:val="24"/>
              </w:rPr>
              <w:t>符合性分析如下</w:t>
            </w:r>
            <w:r>
              <w:rPr>
                <w:rFonts w:hint="eastAsia" w:hAnsi="宋体"/>
                <w:sz w:val="24"/>
              </w:rPr>
              <w:t>：</w:t>
            </w:r>
          </w:p>
          <w:p>
            <w:pPr>
              <w:spacing w:line="460" w:lineRule="exact"/>
              <w:jc w:val="center"/>
              <w:rPr>
                <w:b/>
                <w:bCs/>
                <w:szCs w:val="21"/>
              </w:rPr>
            </w:pPr>
            <w:r>
              <w:rPr>
                <w:b/>
                <w:bCs/>
                <w:szCs w:val="21"/>
              </w:rPr>
              <w:t>表</w:t>
            </w:r>
            <w:r>
              <w:rPr>
                <w:rFonts w:hint="eastAsia"/>
                <w:b/>
                <w:bCs/>
                <w:szCs w:val="21"/>
              </w:rPr>
              <w:t>2</w:t>
            </w:r>
            <w:r>
              <w:rPr>
                <w:b/>
                <w:bCs/>
                <w:szCs w:val="21"/>
              </w:rPr>
              <w:t xml:space="preserve">    本项目</w:t>
            </w:r>
            <w:r>
              <w:rPr>
                <w:rFonts w:hint="eastAsia"/>
                <w:b/>
                <w:bCs/>
                <w:szCs w:val="21"/>
              </w:rPr>
              <w:t>与《建筑垃圾资源化利用行业规范条件（暂行）》的相符性分析</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4"/>
              <w:gridCol w:w="3285"/>
              <w:gridCol w:w="3075"/>
              <w:gridCol w:w="14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条款号</w:t>
                  </w:r>
                </w:p>
              </w:tc>
              <w:tc>
                <w:tcPr>
                  <w:tcW w:w="3285"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规范要求</w:t>
                  </w:r>
                </w:p>
              </w:tc>
              <w:tc>
                <w:tcPr>
                  <w:tcW w:w="3075"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符合性分析</w:t>
                  </w:r>
                </w:p>
              </w:tc>
              <w:tc>
                <w:tcPr>
                  <w:tcW w:w="1466"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jc w:val="center"/>
                    <w:rPr>
                      <w:szCs w:val="21"/>
                    </w:rPr>
                  </w:pPr>
                  <w:r>
                    <w:rPr>
                      <w:rFonts w:hint="eastAsia"/>
                      <w:szCs w:val="21"/>
                    </w:rPr>
                    <w:t>二（一）</w:t>
                  </w:r>
                </w:p>
              </w:tc>
              <w:tc>
                <w:tcPr>
                  <w:tcW w:w="3285" w:type="dxa"/>
                  <w:tcBorders>
                    <w:tl2br w:val="nil"/>
                    <w:tr2bl w:val="nil"/>
                  </w:tcBorders>
                  <w:vAlign w:val="center"/>
                </w:tcPr>
                <w:p>
                  <w:pPr>
                    <w:jc w:val="center"/>
                    <w:rPr>
                      <w:szCs w:val="21"/>
                    </w:rPr>
                  </w:pPr>
                  <w:r>
                    <w:rPr>
                      <w:rFonts w:hint="eastAsia"/>
                      <w:szCs w:val="21"/>
                    </w:rPr>
                    <w:t>大型建筑垃圾资源化项目年处置生产能力不低于 100 万 吨，中型不低于 50 万吨，小型不低于 25 万吨。</w:t>
                  </w:r>
                </w:p>
              </w:tc>
              <w:tc>
                <w:tcPr>
                  <w:tcW w:w="3075" w:type="dxa"/>
                  <w:tcBorders>
                    <w:tl2br w:val="nil"/>
                    <w:tr2bl w:val="nil"/>
                  </w:tcBorders>
                  <w:vAlign w:val="center"/>
                </w:tcPr>
                <w:p>
                  <w:pPr>
                    <w:jc w:val="center"/>
                    <w:rPr>
                      <w:szCs w:val="21"/>
                    </w:rPr>
                  </w:pPr>
                  <w:r>
                    <w:rPr>
                      <w:rFonts w:hint="eastAsia"/>
                      <w:szCs w:val="21"/>
                    </w:rPr>
                    <w:t>本项目年生产能力26万吨</w:t>
                  </w:r>
                </w:p>
              </w:tc>
              <w:tc>
                <w:tcPr>
                  <w:tcW w:w="1466" w:type="dxa"/>
                  <w:tcBorders>
                    <w:tl2br w:val="nil"/>
                    <w:tr2bl w:val="nil"/>
                  </w:tcBorders>
                  <w:vAlign w:val="center"/>
                </w:tcPr>
                <w:p>
                  <w:pPr>
                    <w:jc w:val="center"/>
                    <w:rPr>
                      <w:szCs w:val="21"/>
                    </w:rPr>
                  </w:pPr>
                  <w:r>
                    <w:rPr>
                      <w:rFonts w:hint="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jc w:val="center"/>
                    <w:rPr>
                      <w:szCs w:val="21"/>
                    </w:rPr>
                  </w:pPr>
                  <w:r>
                    <w:rPr>
                      <w:rFonts w:hint="eastAsia"/>
                      <w:szCs w:val="21"/>
                    </w:rPr>
                    <w:t>四（二）</w:t>
                  </w:r>
                </w:p>
              </w:tc>
              <w:tc>
                <w:tcPr>
                  <w:tcW w:w="3285" w:type="dxa"/>
                  <w:tcBorders>
                    <w:tl2br w:val="nil"/>
                    <w:tr2bl w:val="nil"/>
                  </w:tcBorders>
                  <w:vAlign w:val="center"/>
                </w:tcPr>
                <w:p>
                  <w:pPr>
                    <w:jc w:val="center"/>
                    <w:rPr>
                      <w:szCs w:val="21"/>
                    </w:rPr>
                  </w:pPr>
                  <w:r>
                    <w:rPr>
                      <w:rFonts w:hint="eastAsia"/>
                      <w:szCs w:val="21"/>
                    </w:rPr>
                    <w:t>根据不同生存条件，采用适用的除尘、降噪和废水处理工艺及设备。固定式生产方式宜建设封闭生产厂房或封闭式生产单元</w:t>
                  </w:r>
                </w:p>
              </w:tc>
              <w:tc>
                <w:tcPr>
                  <w:tcW w:w="3075" w:type="dxa"/>
                  <w:tcBorders>
                    <w:tl2br w:val="nil"/>
                    <w:tr2bl w:val="nil"/>
                  </w:tcBorders>
                  <w:vAlign w:val="center"/>
                </w:tcPr>
                <w:p>
                  <w:pPr>
                    <w:jc w:val="center"/>
                    <w:rPr>
                      <w:szCs w:val="21"/>
                    </w:rPr>
                  </w:pPr>
                  <w:r>
                    <w:rPr>
                      <w:rFonts w:hint="eastAsia"/>
                      <w:szCs w:val="21"/>
                    </w:rPr>
                    <w:t>项目生产车间为封闭的生产车间，车间内安装布袋除尘器以及车间顶部安装喷淋装置</w:t>
                  </w:r>
                </w:p>
              </w:tc>
              <w:tc>
                <w:tcPr>
                  <w:tcW w:w="1466" w:type="dxa"/>
                  <w:tcBorders>
                    <w:tl2br w:val="nil"/>
                    <w:tr2bl w:val="nil"/>
                  </w:tcBorders>
                  <w:vAlign w:val="center"/>
                </w:tcPr>
                <w:p>
                  <w:pPr>
                    <w:jc w:val="center"/>
                    <w:rPr>
                      <w:szCs w:val="21"/>
                    </w:rPr>
                  </w:pPr>
                  <w:r>
                    <w:rPr>
                      <w:rFonts w:hint="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jc w:val="center"/>
                    <w:rPr>
                      <w:szCs w:val="21"/>
                    </w:rPr>
                  </w:pPr>
                  <w:r>
                    <w:rPr>
                      <w:rFonts w:hint="eastAsia"/>
                      <w:szCs w:val="21"/>
                    </w:rPr>
                    <w:t>五（二）</w:t>
                  </w:r>
                </w:p>
              </w:tc>
              <w:tc>
                <w:tcPr>
                  <w:tcW w:w="3285" w:type="dxa"/>
                  <w:tcBorders>
                    <w:tl2br w:val="nil"/>
                    <w:tr2bl w:val="nil"/>
                  </w:tcBorders>
                  <w:vAlign w:val="center"/>
                </w:tcPr>
                <w:p>
                  <w:pPr>
                    <w:jc w:val="center"/>
                    <w:rPr>
                      <w:szCs w:val="21"/>
                    </w:rPr>
                  </w:pPr>
                  <w:r>
                    <w:rPr>
                      <w:rFonts w:hint="eastAsia"/>
                      <w:szCs w:val="21"/>
                    </w:rPr>
                    <w:t>建筑垃圾资源化利用企业根据生产需要应设置粉尘回收和储存设备，厂区环境空气质量应达到《环境空气质量标准》（GB3095）要求，且符合企业所在地的相关标准和环境影响评价要求。</w:t>
                  </w:r>
                </w:p>
              </w:tc>
              <w:tc>
                <w:tcPr>
                  <w:tcW w:w="3075" w:type="dxa"/>
                  <w:tcBorders>
                    <w:tl2br w:val="nil"/>
                    <w:tr2bl w:val="nil"/>
                  </w:tcBorders>
                  <w:vAlign w:val="center"/>
                </w:tcPr>
                <w:p>
                  <w:pPr>
                    <w:jc w:val="center"/>
                    <w:rPr>
                      <w:szCs w:val="21"/>
                    </w:rPr>
                  </w:pPr>
                  <w:r>
                    <w:rPr>
                      <w:rFonts w:hint="eastAsia"/>
                      <w:szCs w:val="21"/>
                    </w:rPr>
                    <w:t>根据环境质量现状监测，项目满足环境质量标准要求，且生产工序产生的粉尘经集气罩收集后由布袋除尘器处理，收集的粉尘回用于生产</w:t>
                  </w:r>
                </w:p>
              </w:tc>
              <w:tc>
                <w:tcPr>
                  <w:tcW w:w="1466" w:type="dxa"/>
                  <w:tcBorders>
                    <w:tl2br w:val="nil"/>
                    <w:tr2bl w:val="nil"/>
                  </w:tcBorders>
                  <w:vAlign w:val="center"/>
                </w:tcPr>
                <w:p>
                  <w:pPr>
                    <w:jc w:val="center"/>
                    <w:rPr>
                      <w:szCs w:val="21"/>
                    </w:rPr>
                  </w:pPr>
                  <w:r>
                    <w:rPr>
                      <w:rFonts w:hint="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jc w:val="center"/>
                    <w:rPr>
                      <w:szCs w:val="21"/>
                    </w:rPr>
                  </w:pPr>
                  <w:r>
                    <w:rPr>
                      <w:rFonts w:hint="eastAsia"/>
                      <w:szCs w:val="21"/>
                    </w:rPr>
                    <w:t>五（三）</w:t>
                  </w:r>
                </w:p>
              </w:tc>
              <w:tc>
                <w:tcPr>
                  <w:tcW w:w="3285" w:type="dxa"/>
                  <w:tcBorders>
                    <w:tl2br w:val="nil"/>
                    <w:tr2bl w:val="nil"/>
                  </w:tcBorders>
                  <w:vAlign w:val="center"/>
                </w:tcPr>
                <w:p>
                  <w:pPr>
                    <w:jc w:val="center"/>
                    <w:rPr>
                      <w:szCs w:val="21"/>
                    </w:rPr>
                  </w:pPr>
                  <w:r>
                    <w:rPr>
                      <w:rFonts w:hint="eastAsia"/>
                      <w:szCs w:val="21"/>
                    </w:rPr>
                    <w:t>建筑垃圾资源化利用企业应根据生产工艺的需求，建设生产废水处理系统，实现生产废水循环利用和零排放。</w:t>
                  </w:r>
                </w:p>
              </w:tc>
              <w:tc>
                <w:tcPr>
                  <w:tcW w:w="3075" w:type="dxa"/>
                  <w:tcBorders>
                    <w:tl2br w:val="nil"/>
                    <w:tr2bl w:val="nil"/>
                  </w:tcBorders>
                  <w:vAlign w:val="center"/>
                </w:tcPr>
                <w:p>
                  <w:pPr>
                    <w:jc w:val="center"/>
                    <w:rPr>
                      <w:szCs w:val="21"/>
                    </w:rPr>
                  </w:pPr>
                  <w:r>
                    <w:rPr>
                      <w:rFonts w:hint="eastAsia"/>
                      <w:szCs w:val="21"/>
                    </w:rPr>
                    <w:t>本项目无生产废水产生。</w:t>
                  </w:r>
                </w:p>
              </w:tc>
              <w:tc>
                <w:tcPr>
                  <w:tcW w:w="1466" w:type="dxa"/>
                  <w:tcBorders>
                    <w:tl2br w:val="nil"/>
                    <w:tr2bl w:val="nil"/>
                  </w:tcBorders>
                  <w:vAlign w:val="center"/>
                </w:tcPr>
                <w:p>
                  <w:pPr>
                    <w:jc w:val="center"/>
                    <w:rPr>
                      <w:szCs w:val="21"/>
                    </w:rPr>
                  </w:pPr>
                  <w:r>
                    <w:rPr>
                      <w:rFonts w:hint="eastAsia"/>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jc w:val="center"/>
                    <w:rPr>
                      <w:szCs w:val="21"/>
                    </w:rPr>
                  </w:pPr>
                  <w:r>
                    <w:rPr>
                      <w:rFonts w:hint="eastAsia"/>
                      <w:szCs w:val="21"/>
                    </w:rPr>
                    <w:t>五（四）</w:t>
                  </w:r>
                </w:p>
              </w:tc>
              <w:tc>
                <w:tcPr>
                  <w:tcW w:w="3285" w:type="dxa"/>
                  <w:tcBorders>
                    <w:tl2br w:val="nil"/>
                    <w:tr2bl w:val="nil"/>
                  </w:tcBorders>
                  <w:vAlign w:val="center"/>
                </w:tcPr>
                <w:p>
                  <w:pPr>
                    <w:jc w:val="center"/>
                    <w:rPr>
                      <w:szCs w:val="21"/>
                    </w:rPr>
                  </w:pPr>
                  <w:r>
                    <w:rPr>
                      <w:rFonts w:hint="eastAsia"/>
                      <w:szCs w:val="21"/>
                    </w:rPr>
                    <w:t>建筑垃圾资源化利用企业应对噪声污染采取防治措施，达到《工业企业厂界环境噪声排放标准》（GB12348）的要求，且符合企业所在地的相关标准和环境影响评价要求。</w:t>
                  </w:r>
                </w:p>
              </w:tc>
              <w:tc>
                <w:tcPr>
                  <w:tcW w:w="3075" w:type="dxa"/>
                  <w:tcBorders>
                    <w:tl2br w:val="nil"/>
                    <w:tr2bl w:val="nil"/>
                  </w:tcBorders>
                  <w:vAlign w:val="center"/>
                </w:tcPr>
                <w:p>
                  <w:pPr>
                    <w:jc w:val="center"/>
                    <w:rPr>
                      <w:szCs w:val="21"/>
                    </w:rPr>
                  </w:pPr>
                  <w:r>
                    <w:rPr>
                      <w:rFonts w:hint="eastAsia"/>
                      <w:bCs/>
                      <w:szCs w:val="21"/>
                    </w:rPr>
                    <w:t>项目采取</w:t>
                  </w:r>
                  <w:r>
                    <w:rPr>
                      <w:bCs/>
                      <w:szCs w:val="21"/>
                    </w:rPr>
                    <w:t>基础减振、厂房隔声、绿化降噪</w:t>
                  </w:r>
                  <w:r>
                    <w:rPr>
                      <w:rFonts w:hint="eastAsia"/>
                      <w:bCs/>
                      <w:szCs w:val="21"/>
                    </w:rPr>
                    <w:t>等措施，使其达到</w:t>
                  </w:r>
                  <w:r>
                    <w:rPr>
                      <w:rFonts w:hint="eastAsia"/>
                      <w:szCs w:val="21"/>
                    </w:rPr>
                    <w:t>《工业企业厂界环境噪声排放标准》（GB12348）的2类标准要求</w:t>
                  </w:r>
                </w:p>
              </w:tc>
              <w:tc>
                <w:tcPr>
                  <w:tcW w:w="1466" w:type="dxa"/>
                  <w:tcBorders>
                    <w:tl2br w:val="nil"/>
                    <w:tr2bl w:val="nil"/>
                  </w:tcBorders>
                  <w:vAlign w:val="center"/>
                </w:tcPr>
                <w:p>
                  <w:pPr>
                    <w:jc w:val="center"/>
                    <w:rPr>
                      <w:szCs w:val="21"/>
                    </w:rPr>
                  </w:pPr>
                  <w:r>
                    <w:rPr>
                      <w:rFonts w:hint="eastAsia"/>
                      <w:szCs w:val="21"/>
                    </w:rPr>
                    <w:t>符合</w:t>
                  </w:r>
                </w:p>
              </w:tc>
            </w:tr>
          </w:tbl>
          <w:p>
            <w:pPr>
              <w:autoSpaceDE w:val="0"/>
              <w:autoSpaceDN w:val="0"/>
              <w:spacing w:line="336" w:lineRule="auto"/>
              <w:ind w:firstLine="480" w:firstLineChars="200"/>
              <w:rPr>
                <w:b/>
                <w:sz w:val="24"/>
                <w:szCs w:val="20"/>
              </w:rPr>
            </w:pPr>
            <w:r>
              <w:rPr>
                <w:rFonts w:hint="eastAsia"/>
                <w:b/>
                <w:sz w:val="24"/>
                <w:szCs w:val="20"/>
              </w:rPr>
              <w:t>本项目建设内容与《关于促进砂石行业健康有序发展的指导意见》的符合性分析如下：</w:t>
            </w:r>
          </w:p>
          <w:p>
            <w:pPr>
              <w:spacing w:line="460" w:lineRule="exact"/>
              <w:jc w:val="center"/>
              <w:rPr>
                <w:b/>
                <w:bCs/>
                <w:szCs w:val="21"/>
              </w:rPr>
            </w:pPr>
            <w:r>
              <w:rPr>
                <w:b/>
                <w:bCs/>
                <w:szCs w:val="21"/>
              </w:rPr>
              <w:t>表</w:t>
            </w:r>
            <w:r>
              <w:rPr>
                <w:rFonts w:hint="eastAsia"/>
                <w:b/>
                <w:bCs/>
                <w:szCs w:val="21"/>
              </w:rPr>
              <w:t>3</w:t>
            </w:r>
            <w:r>
              <w:rPr>
                <w:b/>
                <w:bCs/>
                <w:szCs w:val="21"/>
              </w:rPr>
              <w:t xml:space="preserve">    本项目</w:t>
            </w:r>
            <w:r>
              <w:rPr>
                <w:rFonts w:hint="eastAsia"/>
                <w:b/>
                <w:bCs/>
                <w:szCs w:val="21"/>
              </w:rPr>
              <w:t>与相关技术政策、文件的相符性分析</w:t>
            </w:r>
          </w:p>
          <w:tbl>
            <w:tblPr>
              <w:tblStyle w:val="20"/>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4"/>
              <w:gridCol w:w="4647"/>
              <w:gridCol w:w="2127"/>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条款号</w:t>
                  </w:r>
                </w:p>
              </w:tc>
              <w:tc>
                <w:tcPr>
                  <w:tcW w:w="4647"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规范要求</w:t>
                  </w:r>
                </w:p>
              </w:tc>
              <w:tc>
                <w:tcPr>
                  <w:tcW w:w="2127"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符合性分析</w:t>
                  </w:r>
                </w:p>
              </w:tc>
              <w:tc>
                <w:tcPr>
                  <w:tcW w:w="1052" w:type="dxa"/>
                  <w:tcBorders>
                    <w:tl2br w:val="nil"/>
                    <w:tr2bl w:val="nil"/>
                  </w:tcBorders>
                  <w:vAlign w:val="center"/>
                </w:tcPr>
                <w:p>
                  <w:pPr>
                    <w:pStyle w:val="60"/>
                    <w:adjustRightInd/>
                    <w:jc w:val="center"/>
                    <w:rPr>
                      <w:color w:val="auto"/>
                      <w:sz w:val="21"/>
                      <w:szCs w:val="21"/>
                    </w:rPr>
                  </w:pPr>
                  <w:r>
                    <w:rPr>
                      <w:rFonts w:hAnsi="宋体"/>
                      <w:color w:val="auto"/>
                      <w:kern w:val="2"/>
                      <w:sz w:val="21"/>
                      <w:szCs w:val="21"/>
                    </w:rPr>
                    <w:t>结论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34" w:type="dxa"/>
                  <w:tcBorders>
                    <w:tl2br w:val="nil"/>
                    <w:tr2bl w:val="nil"/>
                  </w:tcBorders>
                  <w:vAlign w:val="center"/>
                </w:tcPr>
                <w:p>
                  <w:pPr>
                    <w:jc w:val="center"/>
                    <w:rPr>
                      <w:szCs w:val="21"/>
                      <w:highlight w:val="yellow"/>
                    </w:rPr>
                  </w:pPr>
                  <w:r>
                    <w:rPr>
                      <w:rFonts w:hint="eastAsia"/>
                      <w:szCs w:val="21"/>
                    </w:rPr>
                    <w:t>五（十二）</w:t>
                  </w:r>
                </w:p>
              </w:tc>
              <w:tc>
                <w:tcPr>
                  <w:tcW w:w="4647" w:type="dxa"/>
                  <w:tcBorders>
                    <w:tl2br w:val="nil"/>
                    <w:tr2bl w:val="nil"/>
                  </w:tcBorders>
                  <w:vAlign w:val="center"/>
                </w:tcPr>
                <w:p>
                  <w:pPr>
                    <w:jc w:val="center"/>
                    <w:rPr>
                      <w:szCs w:val="21"/>
                      <w:highlight w:val="yellow"/>
                    </w:rPr>
                  </w:pPr>
                  <w:r>
                    <w:rPr>
                      <w:rFonts w:hint="eastAsia"/>
                      <w:szCs w:val="21"/>
                    </w:rPr>
                    <w:t>鼓励利用固废资源制造再生砂石。鼓励利用建筑拆除垃圾等固废资源生产砂石替代材料，清理不合理的区域限制措施，增加再生砂石供给。</w:t>
                  </w:r>
                </w:p>
              </w:tc>
              <w:tc>
                <w:tcPr>
                  <w:tcW w:w="2127" w:type="dxa"/>
                  <w:tcBorders>
                    <w:tl2br w:val="nil"/>
                    <w:tr2bl w:val="nil"/>
                  </w:tcBorders>
                  <w:vAlign w:val="center"/>
                </w:tcPr>
                <w:p>
                  <w:pPr>
                    <w:jc w:val="center"/>
                    <w:rPr>
                      <w:szCs w:val="21"/>
                    </w:rPr>
                  </w:pPr>
                  <w:r>
                    <w:rPr>
                      <w:rFonts w:hint="eastAsia"/>
                      <w:szCs w:val="21"/>
                    </w:rPr>
                    <w:t>本项目原料来源于当地江河淤泥、清沙工程产生的的固体废弃物</w:t>
                  </w:r>
                </w:p>
              </w:tc>
              <w:tc>
                <w:tcPr>
                  <w:tcW w:w="1052" w:type="dxa"/>
                  <w:tcBorders>
                    <w:tl2br w:val="nil"/>
                    <w:tr2bl w:val="nil"/>
                  </w:tcBorders>
                  <w:vAlign w:val="center"/>
                </w:tcPr>
                <w:p>
                  <w:pPr>
                    <w:jc w:val="center"/>
                    <w:rPr>
                      <w:szCs w:val="21"/>
                    </w:rPr>
                  </w:pPr>
                  <w:r>
                    <w:rPr>
                      <w:rFonts w:hint="eastAsia"/>
                      <w:szCs w:val="21"/>
                    </w:rPr>
                    <w:t>符合</w:t>
                  </w:r>
                </w:p>
              </w:tc>
            </w:tr>
          </w:tbl>
          <w:p>
            <w:pPr>
              <w:autoSpaceDE w:val="0"/>
              <w:autoSpaceDN w:val="0"/>
              <w:spacing w:line="336" w:lineRule="auto"/>
              <w:ind w:firstLine="480" w:firstLineChars="200"/>
              <w:rPr>
                <w:b/>
                <w:sz w:val="24"/>
                <w:szCs w:val="20"/>
              </w:rPr>
            </w:pPr>
            <w:r>
              <w:rPr>
                <w:rFonts w:hint="eastAsia"/>
                <w:b/>
                <w:sz w:val="24"/>
                <w:szCs w:val="20"/>
              </w:rPr>
              <w:t>4</w:t>
            </w:r>
            <w:r>
              <w:rPr>
                <w:b/>
                <w:sz w:val="24"/>
                <w:szCs w:val="20"/>
              </w:rPr>
              <w:t>、</w:t>
            </w:r>
            <w:r>
              <w:rPr>
                <w:rFonts w:hint="eastAsia"/>
                <w:b/>
                <w:sz w:val="24"/>
                <w:szCs w:val="20"/>
              </w:rPr>
              <w:t>选址和理性</w:t>
            </w:r>
            <w:r>
              <w:rPr>
                <w:b/>
                <w:sz w:val="24"/>
                <w:szCs w:val="20"/>
              </w:rPr>
              <w:t>分析</w:t>
            </w:r>
          </w:p>
          <w:p>
            <w:pPr>
              <w:spacing w:line="360" w:lineRule="auto"/>
              <w:ind w:firstLine="480" w:firstLineChars="200"/>
              <w:rPr>
                <w:sz w:val="24"/>
                <w:szCs w:val="22"/>
              </w:rPr>
            </w:pPr>
            <w:r>
              <w:rPr>
                <w:rFonts w:hint="eastAsia"/>
                <w:sz w:val="24"/>
                <w:szCs w:val="22"/>
              </w:rPr>
              <w:t>项目位于石泉县城关镇杨柳社区二组枫树村，地理坐标为东经108.21641，北纬33.052864。项目南侧为林地，北邻乡村道路，西侧、东侧为空地。距离最近的敏感点为项目西侧的112m的零散住户。本项目生产过程中产生少量的粉尘，经过集气罩+布袋除尘器+15m高排气筒高空排放，废气污染物能得到合理的处置，废水得到合理处置，噪声经采取相应措施后可达标排放，外周边环境影响较小。且项目所在地不涉及自然保护区、风景名胜区、饮用水水源保护区等敏感点。同时企业</w:t>
            </w:r>
            <w:r>
              <w:rPr>
                <w:rFonts w:hint="eastAsia"/>
                <w:sz w:val="24"/>
              </w:rPr>
              <w:t>承诺服从土地复垦要求。</w:t>
            </w:r>
            <w:r>
              <w:rPr>
                <w:rFonts w:hint="eastAsia"/>
                <w:sz w:val="24"/>
                <w:szCs w:val="22"/>
              </w:rPr>
              <w:t>因此从环保角度讲，项目场址选择是合理可行的。</w:t>
            </w:r>
          </w:p>
          <w:p>
            <w:pPr>
              <w:autoSpaceDE w:val="0"/>
              <w:autoSpaceDN w:val="0"/>
              <w:spacing w:line="336" w:lineRule="auto"/>
              <w:ind w:firstLine="480" w:firstLineChars="200"/>
              <w:rPr>
                <w:b/>
                <w:sz w:val="24"/>
                <w:szCs w:val="20"/>
              </w:rPr>
            </w:pPr>
            <w:r>
              <w:rPr>
                <w:rFonts w:hint="eastAsia"/>
                <w:b/>
                <w:sz w:val="24"/>
                <w:szCs w:val="20"/>
              </w:rPr>
              <w:t>5</w:t>
            </w:r>
            <w:r>
              <w:rPr>
                <w:b/>
                <w:sz w:val="24"/>
                <w:szCs w:val="20"/>
              </w:rPr>
              <w:t>、“三线一单”符合性分析</w:t>
            </w:r>
          </w:p>
          <w:p>
            <w:pPr>
              <w:tabs>
                <w:tab w:val="left" w:pos="0"/>
                <w:tab w:val="left" w:pos="3150"/>
              </w:tabs>
              <w:autoSpaceDE w:val="0"/>
              <w:autoSpaceDN w:val="0"/>
              <w:spacing w:line="360" w:lineRule="auto"/>
              <w:ind w:firstLine="480" w:firstLineChars="200"/>
              <w:rPr>
                <w:sz w:val="24"/>
              </w:rPr>
            </w:pPr>
            <w:r>
              <w:rPr>
                <w:sz w:val="24"/>
              </w:rPr>
              <w:t>本项目</w:t>
            </w:r>
            <w:r>
              <w:rPr>
                <w:sz w:val="24"/>
                <w:szCs w:val="22"/>
              </w:rPr>
              <w:t>周边无自然保护区、饮用水源保护区等生态保护目标，符合生态保护红线要求。</w:t>
            </w:r>
          </w:p>
          <w:p>
            <w:pPr>
              <w:adjustRightInd w:val="0"/>
              <w:snapToGrid w:val="0"/>
              <w:spacing w:line="360" w:lineRule="auto"/>
              <w:ind w:firstLine="480" w:firstLineChars="200"/>
              <w:rPr>
                <w:sz w:val="24"/>
                <w:szCs w:val="22"/>
              </w:rPr>
            </w:pPr>
            <w:r>
              <w:rPr>
                <w:sz w:val="24"/>
                <w:szCs w:val="22"/>
              </w:rPr>
              <w:t>本项目周边大气、声环境质量能达到项目区环境优化准入区的环境质量目标，区域环境质量现状良好；根据环境影响分析，若能依照本环评要求的措施合理处置各项污染物，则本项目在建设、运营阶段，各项污染物对周边的环境影响较小，不触及环境质量底线。</w:t>
            </w:r>
          </w:p>
          <w:p>
            <w:pPr>
              <w:adjustRightInd w:val="0"/>
              <w:snapToGrid w:val="0"/>
              <w:spacing w:line="360" w:lineRule="auto"/>
              <w:ind w:firstLine="480" w:firstLineChars="200"/>
              <w:rPr>
                <w:sz w:val="24"/>
                <w:szCs w:val="22"/>
              </w:rPr>
            </w:pPr>
            <w:r>
              <w:rPr>
                <w:sz w:val="24"/>
                <w:szCs w:val="22"/>
              </w:rPr>
              <w:t>本项目营运过程中消耗一定量的电源、水资源等资源消耗，项目资源消耗量相对区域资源利用总量较少，符合资源利用上限要求。</w:t>
            </w:r>
          </w:p>
          <w:p>
            <w:pPr>
              <w:tabs>
                <w:tab w:val="left" w:pos="0"/>
                <w:tab w:val="left" w:pos="3150"/>
              </w:tabs>
              <w:autoSpaceDE w:val="0"/>
              <w:autoSpaceDN w:val="0"/>
              <w:spacing w:line="360" w:lineRule="auto"/>
              <w:ind w:firstLine="480" w:firstLineChars="200"/>
              <w:rPr>
                <w:sz w:val="24"/>
              </w:rPr>
            </w:pPr>
            <w:r>
              <w:rPr>
                <w:sz w:val="24"/>
              </w:rPr>
              <w:t>本项目属于</w:t>
            </w:r>
            <w:r>
              <w:rPr>
                <w:rFonts w:hint="eastAsia"/>
                <w:sz w:val="24"/>
              </w:rPr>
              <w:t>废弃资源综合利用业</w:t>
            </w:r>
            <w:r>
              <w:rPr>
                <w:sz w:val="24"/>
              </w:rPr>
              <w:t>，对照《陕西省国家重点生态功能区产业准入负面清单（试行）》，不属于“负面清单”中“限制类”和“禁止类”项目。</w:t>
            </w:r>
          </w:p>
          <w:p>
            <w:pPr>
              <w:tabs>
                <w:tab w:val="left" w:pos="0"/>
                <w:tab w:val="left" w:pos="3150"/>
              </w:tabs>
              <w:autoSpaceDE w:val="0"/>
              <w:autoSpaceDN w:val="0"/>
              <w:spacing w:line="360" w:lineRule="auto"/>
              <w:ind w:firstLine="480" w:firstLineChars="200"/>
              <w:rPr>
                <w:sz w:val="24"/>
                <w:szCs w:val="22"/>
              </w:rPr>
            </w:pPr>
            <w:r>
              <w:rPr>
                <w:sz w:val="24"/>
                <w:szCs w:val="22"/>
              </w:rPr>
              <w:t>综上，项目建设符合“三线一单”要求。</w:t>
            </w:r>
          </w:p>
          <w:p>
            <w:pPr>
              <w:adjustRightInd w:val="0"/>
              <w:snapToGrid w:val="0"/>
              <w:spacing w:line="360" w:lineRule="auto"/>
              <w:ind w:firstLine="480" w:firstLineChars="200"/>
              <w:rPr>
                <w:b/>
                <w:sz w:val="24"/>
              </w:rPr>
            </w:pPr>
            <w:r>
              <w:rPr>
                <w:rFonts w:hint="eastAsia"/>
                <w:b/>
                <w:sz w:val="24"/>
              </w:rPr>
              <w:t>四</w:t>
            </w:r>
            <w:r>
              <w:rPr>
                <w:b/>
                <w:sz w:val="24"/>
              </w:rPr>
              <w:t>、项目概况</w:t>
            </w:r>
          </w:p>
          <w:p>
            <w:pPr>
              <w:adjustRightInd w:val="0"/>
              <w:snapToGrid w:val="0"/>
              <w:spacing w:line="360" w:lineRule="auto"/>
              <w:ind w:firstLine="480" w:firstLineChars="200"/>
              <w:rPr>
                <w:b/>
                <w:sz w:val="24"/>
              </w:rPr>
            </w:pPr>
            <w:r>
              <w:rPr>
                <w:b/>
                <w:sz w:val="24"/>
              </w:rPr>
              <w:t>1、项目概况</w:t>
            </w:r>
          </w:p>
          <w:p>
            <w:pPr>
              <w:adjustRightInd w:val="0"/>
              <w:snapToGrid w:val="0"/>
              <w:spacing w:line="360" w:lineRule="auto"/>
              <w:ind w:firstLine="480" w:firstLineChars="200"/>
              <w:rPr>
                <w:sz w:val="24"/>
              </w:rPr>
            </w:pPr>
            <w:r>
              <w:rPr>
                <w:bCs/>
                <w:snapToGrid w:val="0"/>
                <w:kern w:val="0"/>
                <w:sz w:val="24"/>
              </w:rPr>
              <w:t>项目名称：陕西泰茂固体废弃物综合利用石泉杨柳基地建设项目</w:t>
            </w:r>
          </w:p>
          <w:p>
            <w:pPr>
              <w:adjustRightInd w:val="0"/>
              <w:snapToGrid w:val="0"/>
              <w:spacing w:line="360" w:lineRule="auto"/>
              <w:ind w:firstLine="480" w:firstLineChars="200"/>
              <w:rPr>
                <w:snapToGrid w:val="0"/>
                <w:kern w:val="0"/>
                <w:sz w:val="24"/>
              </w:rPr>
            </w:pPr>
            <w:r>
              <w:rPr>
                <w:snapToGrid w:val="0"/>
                <w:kern w:val="0"/>
                <w:sz w:val="24"/>
              </w:rPr>
              <w:t>建设性质：新建</w:t>
            </w:r>
          </w:p>
          <w:p>
            <w:pPr>
              <w:adjustRightInd w:val="0"/>
              <w:snapToGrid w:val="0"/>
              <w:spacing w:line="360" w:lineRule="auto"/>
              <w:ind w:firstLine="480" w:firstLineChars="200"/>
              <w:rPr>
                <w:sz w:val="24"/>
              </w:rPr>
            </w:pPr>
            <w:r>
              <w:rPr>
                <w:snapToGrid w:val="0"/>
                <w:kern w:val="0"/>
                <w:sz w:val="24"/>
              </w:rPr>
              <w:t>建设单位：</w:t>
            </w:r>
            <w:r>
              <w:rPr>
                <w:sz w:val="24"/>
              </w:rPr>
              <w:t>陕西泰茂建筑工程有限公司</w:t>
            </w:r>
          </w:p>
          <w:p>
            <w:pPr>
              <w:adjustRightInd w:val="0"/>
              <w:snapToGrid w:val="0"/>
              <w:spacing w:line="360" w:lineRule="auto"/>
              <w:ind w:firstLine="480" w:firstLineChars="200"/>
              <w:rPr>
                <w:bCs/>
                <w:snapToGrid w:val="0"/>
                <w:kern w:val="0"/>
                <w:sz w:val="24"/>
              </w:rPr>
            </w:pPr>
            <w:r>
              <w:rPr>
                <w:bCs/>
                <w:snapToGrid w:val="0"/>
                <w:kern w:val="0"/>
                <w:sz w:val="24"/>
              </w:rPr>
              <w:t>建设地点：石泉县城关镇杨柳社区</w:t>
            </w:r>
          </w:p>
          <w:p>
            <w:pPr>
              <w:numPr>
                <w:ilvl w:val="0"/>
                <w:numId w:val="4"/>
              </w:numPr>
              <w:adjustRightInd w:val="0"/>
              <w:snapToGrid w:val="0"/>
              <w:spacing w:line="360" w:lineRule="auto"/>
              <w:ind w:firstLine="480" w:firstLineChars="200"/>
              <w:rPr>
                <w:b/>
                <w:snapToGrid w:val="0"/>
                <w:kern w:val="0"/>
                <w:sz w:val="24"/>
              </w:rPr>
            </w:pPr>
            <w:r>
              <w:rPr>
                <w:b/>
                <w:snapToGrid w:val="0"/>
                <w:kern w:val="0"/>
                <w:sz w:val="24"/>
              </w:rPr>
              <w:t>建设内容及规模</w:t>
            </w:r>
          </w:p>
          <w:p>
            <w:pPr>
              <w:widowControl/>
              <w:spacing w:line="360" w:lineRule="auto"/>
              <w:ind w:firstLine="480" w:firstLineChars="200"/>
              <w:rPr>
                <w:sz w:val="24"/>
              </w:rPr>
            </w:pPr>
            <w:r>
              <w:rPr>
                <w:sz w:val="24"/>
              </w:rPr>
              <w:t>本项目主要</w:t>
            </w:r>
            <w:r>
              <w:rPr>
                <w:rFonts w:hint="eastAsia"/>
                <w:sz w:val="24"/>
              </w:rPr>
              <w:t>新建</w:t>
            </w:r>
            <w:r>
              <w:rPr>
                <w:sz w:val="24"/>
              </w:rPr>
              <w:t>3条生产线以及配套工程，其中</w:t>
            </w:r>
            <w:r>
              <w:rPr>
                <w:rFonts w:hint="eastAsia"/>
                <w:sz w:val="24"/>
              </w:rPr>
              <w:t>2</w:t>
            </w:r>
            <w:r>
              <w:rPr>
                <w:sz w:val="24"/>
              </w:rPr>
              <w:t>条</w:t>
            </w:r>
            <w:r>
              <w:rPr>
                <w:rFonts w:hint="eastAsia"/>
                <w:sz w:val="24"/>
              </w:rPr>
              <w:t>破碎</w:t>
            </w:r>
            <w:r>
              <w:rPr>
                <w:sz w:val="24"/>
              </w:rPr>
              <w:t>生产线、1条制砂生产线。</w:t>
            </w:r>
            <w:r>
              <w:rPr>
                <w:rFonts w:hint="eastAsia"/>
                <w:sz w:val="24"/>
              </w:rPr>
              <w:t>生产过程中，在</w:t>
            </w:r>
            <w:r>
              <w:rPr>
                <w:sz w:val="24"/>
              </w:rPr>
              <w:t>破碎、筛分工序设置集气罩，</w:t>
            </w:r>
            <w:r>
              <w:rPr>
                <w:rFonts w:hint="eastAsia"/>
                <w:sz w:val="24"/>
              </w:rPr>
              <w:t>分别</w:t>
            </w:r>
            <w:r>
              <w:rPr>
                <w:sz w:val="24"/>
              </w:rPr>
              <w:t>将废气引至</w:t>
            </w:r>
            <w:r>
              <w:rPr>
                <w:rFonts w:hint="eastAsia"/>
                <w:sz w:val="24"/>
              </w:rPr>
              <w:t>同一台</w:t>
            </w:r>
            <w:r>
              <w:rPr>
                <w:sz w:val="24"/>
              </w:rPr>
              <w:t>布袋除尘器</w:t>
            </w:r>
            <w:r>
              <w:rPr>
                <w:rFonts w:hint="eastAsia"/>
                <w:sz w:val="24"/>
              </w:rPr>
              <w:t>进行处理，再经15m高排气筒排放。</w:t>
            </w:r>
          </w:p>
          <w:p>
            <w:pPr>
              <w:widowControl/>
              <w:spacing w:line="360" w:lineRule="auto"/>
              <w:ind w:firstLine="480" w:firstLineChars="200"/>
              <w:rPr>
                <w:sz w:val="24"/>
              </w:rPr>
            </w:pPr>
            <w:r>
              <w:rPr>
                <w:sz w:val="24"/>
              </w:rPr>
              <w:t>项目组成见表</w:t>
            </w:r>
            <w:r>
              <w:rPr>
                <w:rFonts w:hint="eastAsia"/>
                <w:sz w:val="24"/>
              </w:rPr>
              <w:t>4</w:t>
            </w:r>
            <w:r>
              <w:rPr>
                <w:sz w:val="24"/>
              </w:rPr>
              <w:t>。</w:t>
            </w:r>
          </w:p>
          <w:p>
            <w:pPr>
              <w:jc w:val="center"/>
              <w:rPr>
                <w:b/>
                <w:bCs/>
                <w:szCs w:val="21"/>
              </w:rPr>
            </w:pPr>
            <w:r>
              <w:rPr>
                <w:b/>
                <w:bCs/>
                <w:szCs w:val="21"/>
              </w:rPr>
              <w:t>表</w:t>
            </w:r>
            <w:r>
              <w:rPr>
                <w:rFonts w:hint="eastAsia"/>
                <w:b/>
                <w:bCs/>
                <w:szCs w:val="21"/>
              </w:rPr>
              <w:t>4</w:t>
            </w:r>
            <w:r>
              <w:rPr>
                <w:b/>
                <w:bCs/>
                <w:szCs w:val="21"/>
              </w:rPr>
              <w:t xml:space="preserve"> 项目工程内容一览表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34"/>
              <w:gridCol w:w="1696"/>
              <w:gridCol w:w="61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397" w:type="pct"/>
                  <w:vAlign w:val="center"/>
                </w:tcPr>
                <w:p>
                  <w:pPr>
                    <w:adjustRightInd w:val="0"/>
                    <w:snapToGrid w:val="0"/>
                    <w:rPr>
                      <w:bCs/>
                      <w:szCs w:val="21"/>
                    </w:rPr>
                  </w:pPr>
                  <w:r>
                    <w:rPr>
                      <w:bCs/>
                      <w:szCs w:val="21"/>
                    </w:rPr>
                    <w:t>工程</w:t>
                  </w:r>
                </w:p>
                <w:p>
                  <w:pPr>
                    <w:adjustRightInd w:val="0"/>
                    <w:snapToGrid w:val="0"/>
                    <w:rPr>
                      <w:bCs/>
                      <w:szCs w:val="21"/>
                    </w:rPr>
                  </w:pPr>
                  <w:r>
                    <w:rPr>
                      <w:bCs/>
                      <w:szCs w:val="21"/>
                    </w:rPr>
                    <w:t>类别</w:t>
                  </w:r>
                </w:p>
              </w:tc>
              <w:tc>
                <w:tcPr>
                  <w:tcW w:w="1178" w:type="pct"/>
                  <w:gridSpan w:val="2"/>
                  <w:vAlign w:val="center"/>
                </w:tcPr>
                <w:p>
                  <w:pPr>
                    <w:adjustRightInd w:val="0"/>
                    <w:snapToGrid w:val="0"/>
                    <w:jc w:val="center"/>
                    <w:rPr>
                      <w:bCs/>
                      <w:szCs w:val="21"/>
                    </w:rPr>
                  </w:pPr>
                  <w:r>
                    <w:rPr>
                      <w:bCs/>
                      <w:szCs w:val="21"/>
                    </w:rPr>
                    <w:t>工程名称</w:t>
                  </w:r>
                </w:p>
              </w:tc>
              <w:tc>
                <w:tcPr>
                  <w:tcW w:w="3424" w:type="pct"/>
                  <w:vAlign w:val="center"/>
                </w:tcPr>
                <w:p>
                  <w:pPr>
                    <w:adjustRightInd w:val="0"/>
                    <w:snapToGrid w:val="0"/>
                    <w:jc w:val="center"/>
                    <w:rPr>
                      <w:bCs/>
                      <w:szCs w:val="21"/>
                    </w:rPr>
                  </w:pPr>
                  <w:r>
                    <w:rPr>
                      <w:bCs/>
                      <w:szCs w:val="21"/>
                    </w:rPr>
                    <w:t>主要建设内容及规模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397" w:type="pct"/>
                  <w:vMerge w:val="restart"/>
                  <w:vAlign w:val="center"/>
                </w:tcPr>
                <w:p>
                  <w:pPr>
                    <w:adjustRightInd w:val="0"/>
                    <w:snapToGrid w:val="0"/>
                    <w:jc w:val="center"/>
                    <w:rPr>
                      <w:bCs/>
                      <w:szCs w:val="21"/>
                    </w:rPr>
                  </w:pPr>
                  <w:r>
                    <w:rPr>
                      <w:bCs/>
                      <w:szCs w:val="21"/>
                    </w:rPr>
                    <w:t>主体工程</w:t>
                  </w:r>
                </w:p>
              </w:tc>
              <w:tc>
                <w:tcPr>
                  <w:tcW w:w="1178" w:type="pct"/>
                  <w:gridSpan w:val="2"/>
                  <w:tcBorders>
                    <w:bottom w:val="single" w:color="auto" w:sz="4" w:space="0"/>
                  </w:tcBorders>
                  <w:vAlign w:val="center"/>
                </w:tcPr>
                <w:p>
                  <w:pPr>
                    <w:adjustRightInd w:val="0"/>
                    <w:snapToGrid w:val="0"/>
                    <w:jc w:val="center"/>
                    <w:rPr>
                      <w:bCs/>
                      <w:szCs w:val="21"/>
                    </w:rPr>
                  </w:pPr>
                  <w:r>
                    <w:rPr>
                      <w:rFonts w:hint="eastAsia"/>
                      <w:bCs/>
                      <w:szCs w:val="21"/>
                    </w:rPr>
                    <w:t>原料堆放车间</w:t>
                  </w:r>
                </w:p>
              </w:tc>
              <w:tc>
                <w:tcPr>
                  <w:tcW w:w="3424" w:type="pct"/>
                  <w:tcBorders>
                    <w:bottom w:val="single" w:color="auto" w:sz="4" w:space="0"/>
                  </w:tcBorders>
                  <w:vAlign w:val="center"/>
                </w:tcPr>
                <w:p>
                  <w:pPr>
                    <w:adjustRightInd w:val="0"/>
                    <w:snapToGrid w:val="0"/>
                    <w:jc w:val="center"/>
                    <w:rPr>
                      <w:bCs/>
                      <w:szCs w:val="21"/>
                    </w:rPr>
                  </w:pPr>
                  <w:r>
                    <w:rPr>
                      <w:rFonts w:hint="eastAsia"/>
                      <w:bCs/>
                      <w:szCs w:val="21"/>
                    </w:rPr>
                    <w:t>1F，位于厂区西侧，钢结构，面积750</w:t>
                  </w:r>
                  <w:r>
                    <w:rPr>
                      <w:bCs/>
                      <w:szCs w:val="21"/>
                    </w:rPr>
                    <w:t>m</w:t>
                  </w:r>
                  <w:r>
                    <w:rPr>
                      <w:bCs/>
                      <w:szCs w:val="21"/>
                      <w:vertAlign w:val="superscript"/>
                    </w:rPr>
                    <w:t>2</w:t>
                  </w:r>
                  <w:r>
                    <w:rPr>
                      <w:bCs/>
                      <w:szCs w:val="21"/>
                    </w:rPr>
                    <w:t>，</w:t>
                  </w:r>
                  <w:r>
                    <w:rPr>
                      <w:rFonts w:hint="eastAsia"/>
                      <w:bCs/>
                      <w:szCs w:val="21"/>
                    </w:rPr>
                    <w:t>用于原料暂存。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397" w:type="pct"/>
                  <w:vMerge w:val="continue"/>
                  <w:vAlign w:val="center"/>
                </w:tcPr>
                <w:p>
                  <w:pPr>
                    <w:adjustRightInd w:val="0"/>
                    <w:snapToGrid w:val="0"/>
                    <w:jc w:val="center"/>
                    <w:rPr>
                      <w:bCs/>
                      <w:szCs w:val="21"/>
                    </w:rPr>
                  </w:pPr>
                </w:p>
              </w:tc>
              <w:tc>
                <w:tcPr>
                  <w:tcW w:w="1178" w:type="pct"/>
                  <w:gridSpan w:val="2"/>
                  <w:tcBorders>
                    <w:top w:val="single" w:color="auto" w:sz="4" w:space="0"/>
                    <w:bottom w:val="single" w:color="auto" w:sz="4" w:space="0"/>
                  </w:tcBorders>
                  <w:vAlign w:val="center"/>
                </w:tcPr>
                <w:p>
                  <w:pPr>
                    <w:adjustRightInd w:val="0"/>
                    <w:snapToGrid w:val="0"/>
                    <w:jc w:val="center"/>
                    <w:rPr>
                      <w:bCs/>
                      <w:szCs w:val="21"/>
                    </w:rPr>
                  </w:pPr>
                  <w:r>
                    <w:rPr>
                      <w:rFonts w:hint="eastAsia"/>
                      <w:bCs/>
                      <w:szCs w:val="21"/>
                    </w:rPr>
                    <w:t>加工车间</w:t>
                  </w:r>
                </w:p>
              </w:tc>
              <w:tc>
                <w:tcPr>
                  <w:tcW w:w="3424" w:type="pct"/>
                  <w:tcBorders>
                    <w:top w:val="single" w:color="auto" w:sz="4" w:space="0"/>
                    <w:bottom w:val="single" w:color="auto" w:sz="4" w:space="0"/>
                  </w:tcBorders>
                  <w:vAlign w:val="center"/>
                </w:tcPr>
                <w:p>
                  <w:pPr>
                    <w:adjustRightInd w:val="0"/>
                    <w:snapToGrid w:val="0"/>
                    <w:jc w:val="center"/>
                    <w:rPr>
                      <w:bCs/>
                      <w:szCs w:val="21"/>
                    </w:rPr>
                  </w:pPr>
                  <w:r>
                    <w:rPr>
                      <w:rFonts w:hint="eastAsia"/>
                      <w:bCs/>
                      <w:szCs w:val="21"/>
                    </w:rPr>
                    <w:t>1F，位于原料堆放场地区的东侧，</w:t>
                  </w:r>
                  <w:r>
                    <w:rPr>
                      <w:bCs/>
                      <w:szCs w:val="21"/>
                    </w:rPr>
                    <w:t>封闭</w:t>
                  </w:r>
                  <w:r>
                    <w:rPr>
                      <w:rFonts w:hint="eastAsia"/>
                      <w:bCs/>
                      <w:szCs w:val="21"/>
                    </w:rPr>
                    <w:t>式</w:t>
                  </w:r>
                  <w:r>
                    <w:rPr>
                      <w:bCs/>
                      <w:szCs w:val="21"/>
                    </w:rPr>
                    <w:t>钢结构</w:t>
                  </w:r>
                  <w:r>
                    <w:rPr>
                      <w:rFonts w:hint="eastAsia"/>
                      <w:bCs/>
                      <w:szCs w:val="21"/>
                    </w:rPr>
                    <w:t>，面积936</w:t>
                  </w:r>
                  <w:r>
                    <w:rPr>
                      <w:bCs/>
                      <w:szCs w:val="21"/>
                    </w:rPr>
                    <w:t>m</w:t>
                  </w:r>
                  <w:r>
                    <w:rPr>
                      <w:bCs/>
                      <w:szCs w:val="21"/>
                      <w:vertAlign w:val="superscript"/>
                    </w:rPr>
                    <w:t>2</w:t>
                  </w:r>
                  <w:r>
                    <w:rPr>
                      <w:bCs/>
                      <w:szCs w:val="21"/>
                    </w:rPr>
                    <w:t>，共</w:t>
                  </w:r>
                  <w:r>
                    <w:rPr>
                      <w:rFonts w:hint="eastAsia"/>
                      <w:bCs/>
                      <w:szCs w:val="21"/>
                    </w:rPr>
                    <w:t>布</w:t>
                  </w:r>
                  <w:r>
                    <w:rPr>
                      <w:bCs/>
                      <w:szCs w:val="21"/>
                    </w:rPr>
                    <w:t>设</w:t>
                  </w:r>
                  <w:r>
                    <w:rPr>
                      <w:rFonts w:hint="eastAsia"/>
                      <w:bCs/>
                      <w:szCs w:val="21"/>
                    </w:rPr>
                    <w:t>3</w:t>
                  </w:r>
                  <w:r>
                    <w:rPr>
                      <w:bCs/>
                      <w:szCs w:val="21"/>
                    </w:rPr>
                    <w:t>条生产线</w:t>
                  </w:r>
                  <w:r>
                    <w:rPr>
                      <w:rFonts w:hint="eastAsia"/>
                      <w:bCs/>
                      <w:szCs w:val="21"/>
                    </w:rPr>
                    <w:t>，主要购置给料机、破碎机、制砂机、振动筛、布袋除尘器等机械设备</w:t>
                  </w:r>
                  <w:r>
                    <w:rPr>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397" w:type="pct"/>
                  <w:vMerge w:val="continue"/>
                  <w:vAlign w:val="center"/>
                </w:tcPr>
                <w:p>
                  <w:pPr>
                    <w:adjustRightInd w:val="0"/>
                    <w:snapToGrid w:val="0"/>
                    <w:jc w:val="center"/>
                    <w:rPr>
                      <w:bCs/>
                      <w:szCs w:val="21"/>
                    </w:rPr>
                  </w:pPr>
                </w:p>
              </w:tc>
              <w:tc>
                <w:tcPr>
                  <w:tcW w:w="1178" w:type="pct"/>
                  <w:gridSpan w:val="2"/>
                  <w:tcBorders>
                    <w:top w:val="single" w:color="auto" w:sz="4" w:space="0"/>
                    <w:bottom w:val="single" w:color="auto" w:sz="4" w:space="0"/>
                  </w:tcBorders>
                  <w:vAlign w:val="center"/>
                </w:tcPr>
                <w:p>
                  <w:pPr>
                    <w:adjustRightInd w:val="0"/>
                    <w:snapToGrid w:val="0"/>
                    <w:jc w:val="center"/>
                    <w:rPr>
                      <w:bCs/>
                      <w:szCs w:val="21"/>
                    </w:rPr>
                  </w:pPr>
                  <w:r>
                    <w:rPr>
                      <w:rFonts w:hint="eastAsia"/>
                      <w:bCs/>
                      <w:szCs w:val="21"/>
                    </w:rPr>
                    <w:t>成品料堆放车间</w:t>
                  </w:r>
                </w:p>
              </w:tc>
              <w:tc>
                <w:tcPr>
                  <w:tcW w:w="3424" w:type="pct"/>
                  <w:tcBorders>
                    <w:top w:val="single" w:color="auto" w:sz="4" w:space="0"/>
                    <w:bottom w:val="single" w:color="auto" w:sz="4" w:space="0"/>
                  </w:tcBorders>
                  <w:vAlign w:val="center"/>
                </w:tcPr>
                <w:p>
                  <w:pPr>
                    <w:adjustRightInd w:val="0"/>
                    <w:snapToGrid w:val="0"/>
                    <w:jc w:val="center"/>
                    <w:rPr>
                      <w:bCs/>
                      <w:szCs w:val="21"/>
                    </w:rPr>
                  </w:pPr>
                  <w:r>
                    <w:rPr>
                      <w:rFonts w:hint="eastAsia"/>
                      <w:bCs/>
                      <w:szCs w:val="21"/>
                    </w:rPr>
                    <w:t>1F，紧邻加工机械设备场地，钢结构，</w:t>
                  </w:r>
                  <w:r>
                    <w:rPr>
                      <w:bCs/>
                      <w:szCs w:val="21"/>
                    </w:rPr>
                    <w:t>面积</w:t>
                  </w:r>
                  <w:r>
                    <w:rPr>
                      <w:rFonts w:hint="eastAsia"/>
                      <w:bCs/>
                      <w:szCs w:val="21"/>
                    </w:rPr>
                    <w:t>375</w:t>
                  </w:r>
                  <w:r>
                    <w:rPr>
                      <w:bCs/>
                      <w:szCs w:val="21"/>
                    </w:rPr>
                    <w:t>m</w:t>
                  </w:r>
                  <w:r>
                    <w:rPr>
                      <w:bCs/>
                      <w:szCs w:val="21"/>
                      <w:vertAlign w:val="superscript"/>
                    </w:rPr>
                    <w:t>2</w:t>
                  </w:r>
                  <w:r>
                    <w:rPr>
                      <w:bCs/>
                      <w:szCs w:val="21"/>
                    </w:rPr>
                    <w:t>，</w:t>
                  </w:r>
                  <w:r>
                    <w:rPr>
                      <w:rFonts w:hint="eastAsia"/>
                      <w:bCs/>
                      <w:szCs w:val="21"/>
                    </w:rPr>
                    <w:t>用于产品暂存。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restart"/>
                  <w:vAlign w:val="center"/>
                </w:tcPr>
                <w:p>
                  <w:pPr>
                    <w:adjustRightInd w:val="0"/>
                    <w:snapToGrid w:val="0"/>
                    <w:jc w:val="center"/>
                    <w:rPr>
                      <w:bCs/>
                      <w:szCs w:val="21"/>
                    </w:rPr>
                  </w:pPr>
                  <w:r>
                    <w:rPr>
                      <w:bCs/>
                      <w:szCs w:val="21"/>
                    </w:rPr>
                    <w:t>辅助工程</w:t>
                  </w:r>
                </w:p>
              </w:tc>
              <w:tc>
                <w:tcPr>
                  <w:tcW w:w="1178" w:type="pct"/>
                  <w:gridSpan w:val="2"/>
                  <w:vAlign w:val="center"/>
                </w:tcPr>
                <w:p>
                  <w:pPr>
                    <w:adjustRightInd w:val="0"/>
                    <w:snapToGrid w:val="0"/>
                    <w:jc w:val="center"/>
                    <w:rPr>
                      <w:bCs/>
                      <w:szCs w:val="21"/>
                    </w:rPr>
                  </w:pPr>
                  <w:r>
                    <w:rPr>
                      <w:rFonts w:hint="eastAsia"/>
                      <w:bCs/>
                      <w:szCs w:val="21"/>
                    </w:rPr>
                    <w:t>管理用房</w:t>
                  </w:r>
                </w:p>
              </w:tc>
              <w:tc>
                <w:tcPr>
                  <w:tcW w:w="3424" w:type="pct"/>
                  <w:vAlign w:val="center"/>
                </w:tcPr>
                <w:p>
                  <w:pPr>
                    <w:adjustRightInd w:val="0"/>
                    <w:snapToGrid w:val="0"/>
                    <w:jc w:val="center"/>
                    <w:rPr>
                      <w:bCs/>
                      <w:szCs w:val="21"/>
                    </w:rPr>
                  </w:pPr>
                  <w:r>
                    <w:rPr>
                      <w:bCs/>
                      <w:szCs w:val="21"/>
                    </w:rPr>
                    <w:t>设于厂区</w:t>
                  </w:r>
                  <w:r>
                    <w:rPr>
                      <w:rFonts w:hint="eastAsia"/>
                      <w:bCs/>
                      <w:szCs w:val="21"/>
                    </w:rPr>
                    <w:t>出口的西北方向，</w:t>
                  </w:r>
                  <w:r>
                    <w:rPr>
                      <w:bCs/>
                      <w:szCs w:val="21"/>
                    </w:rPr>
                    <w:t>1F，</w:t>
                  </w:r>
                  <w:r>
                    <w:rPr>
                      <w:rFonts w:hint="eastAsia"/>
                      <w:bCs/>
                      <w:szCs w:val="21"/>
                    </w:rPr>
                    <w:t>活动板房</w:t>
                  </w:r>
                  <w:r>
                    <w:rPr>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1178" w:type="pct"/>
                  <w:gridSpan w:val="2"/>
                  <w:vAlign w:val="center"/>
                </w:tcPr>
                <w:p>
                  <w:pPr>
                    <w:adjustRightInd w:val="0"/>
                    <w:snapToGrid w:val="0"/>
                    <w:jc w:val="center"/>
                    <w:rPr>
                      <w:bCs/>
                      <w:szCs w:val="21"/>
                    </w:rPr>
                  </w:pPr>
                  <w:r>
                    <w:rPr>
                      <w:rFonts w:hint="eastAsia"/>
                      <w:bCs/>
                      <w:szCs w:val="21"/>
                    </w:rPr>
                    <w:t>U型路面洗车池</w:t>
                  </w:r>
                </w:p>
              </w:tc>
              <w:tc>
                <w:tcPr>
                  <w:tcW w:w="3424" w:type="pct"/>
                  <w:vAlign w:val="center"/>
                </w:tcPr>
                <w:p>
                  <w:pPr>
                    <w:adjustRightInd w:val="0"/>
                    <w:snapToGrid w:val="0"/>
                    <w:jc w:val="center"/>
                    <w:rPr>
                      <w:bCs/>
                      <w:szCs w:val="21"/>
                    </w:rPr>
                  </w:pPr>
                  <w:r>
                    <w:rPr>
                      <w:rFonts w:hint="eastAsia"/>
                      <w:bCs/>
                      <w:szCs w:val="21"/>
                    </w:rPr>
                    <w:t>紧邻大门门口，对出厂运输车辆车轮进行清洗。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1178" w:type="pct"/>
                  <w:gridSpan w:val="2"/>
                  <w:vAlign w:val="center"/>
                </w:tcPr>
                <w:p>
                  <w:pPr>
                    <w:adjustRightInd w:val="0"/>
                    <w:snapToGrid w:val="0"/>
                    <w:jc w:val="center"/>
                    <w:rPr>
                      <w:bCs/>
                      <w:szCs w:val="21"/>
                    </w:rPr>
                  </w:pPr>
                  <w:r>
                    <w:rPr>
                      <w:rFonts w:hint="eastAsia"/>
                      <w:bCs/>
                      <w:szCs w:val="21"/>
                    </w:rPr>
                    <w:t>地磅</w:t>
                  </w:r>
                </w:p>
              </w:tc>
              <w:tc>
                <w:tcPr>
                  <w:tcW w:w="3424" w:type="pct"/>
                  <w:vAlign w:val="center"/>
                </w:tcPr>
                <w:p>
                  <w:pPr>
                    <w:adjustRightInd w:val="0"/>
                    <w:snapToGrid w:val="0"/>
                    <w:jc w:val="center"/>
                    <w:rPr>
                      <w:bCs/>
                      <w:szCs w:val="21"/>
                    </w:rPr>
                  </w:pPr>
                  <w:r>
                    <w:rPr>
                      <w:rFonts w:hint="eastAsia"/>
                      <w:bCs/>
                      <w:szCs w:val="21"/>
                    </w:rPr>
                    <w:t>紧邻成品料堆放车间，位于其北侧，100t。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restart"/>
                  <w:vAlign w:val="center"/>
                </w:tcPr>
                <w:p>
                  <w:pPr>
                    <w:adjustRightInd w:val="0"/>
                    <w:snapToGrid w:val="0"/>
                    <w:jc w:val="center"/>
                    <w:rPr>
                      <w:bCs/>
                      <w:szCs w:val="21"/>
                    </w:rPr>
                  </w:pPr>
                  <w:r>
                    <w:rPr>
                      <w:bCs/>
                      <w:szCs w:val="21"/>
                    </w:rPr>
                    <w:t>公用工程</w:t>
                  </w:r>
                </w:p>
              </w:tc>
              <w:tc>
                <w:tcPr>
                  <w:tcW w:w="1178" w:type="pct"/>
                  <w:gridSpan w:val="2"/>
                  <w:vAlign w:val="center"/>
                </w:tcPr>
                <w:p>
                  <w:pPr>
                    <w:adjustRightInd w:val="0"/>
                    <w:snapToGrid w:val="0"/>
                    <w:jc w:val="center"/>
                    <w:rPr>
                      <w:bCs/>
                      <w:szCs w:val="21"/>
                    </w:rPr>
                  </w:pPr>
                  <w:r>
                    <w:rPr>
                      <w:bCs/>
                      <w:szCs w:val="21"/>
                    </w:rPr>
                    <w:t>供水</w:t>
                  </w:r>
                </w:p>
              </w:tc>
              <w:tc>
                <w:tcPr>
                  <w:tcW w:w="3424" w:type="pct"/>
                  <w:vAlign w:val="center"/>
                </w:tcPr>
                <w:p>
                  <w:pPr>
                    <w:adjustRightInd w:val="0"/>
                    <w:snapToGrid w:val="0"/>
                    <w:jc w:val="center"/>
                    <w:rPr>
                      <w:bCs/>
                      <w:szCs w:val="21"/>
                    </w:rPr>
                  </w:pPr>
                  <w:r>
                    <w:rPr>
                      <w:rFonts w:hint="eastAsia"/>
                      <w:bCs/>
                      <w:szCs w:val="21"/>
                    </w:rPr>
                    <w:t>厂区用水为自来水，员工生活租用周围居民房。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1178" w:type="pct"/>
                  <w:gridSpan w:val="2"/>
                  <w:vAlign w:val="center"/>
                </w:tcPr>
                <w:p>
                  <w:pPr>
                    <w:adjustRightInd w:val="0"/>
                    <w:snapToGrid w:val="0"/>
                    <w:jc w:val="center"/>
                    <w:rPr>
                      <w:bCs/>
                      <w:szCs w:val="21"/>
                    </w:rPr>
                  </w:pPr>
                  <w:r>
                    <w:rPr>
                      <w:bCs/>
                      <w:szCs w:val="21"/>
                    </w:rPr>
                    <w:t>排水</w:t>
                  </w:r>
                </w:p>
              </w:tc>
              <w:tc>
                <w:tcPr>
                  <w:tcW w:w="3424" w:type="pct"/>
                  <w:vAlign w:val="center"/>
                </w:tcPr>
                <w:p>
                  <w:pPr>
                    <w:adjustRightInd w:val="0"/>
                    <w:snapToGrid w:val="0"/>
                    <w:jc w:val="center"/>
                  </w:pPr>
                  <w:r>
                    <w:t>生产过程</w:t>
                  </w:r>
                  <w:r>
                    <w:rPr>
                      <w:rFonts w:hint="eastAsia"/>
                    </w:rPr>
                    <w:t>无</w:t>
                  </w:r>
                  <w:r>
                    <w:t>废水</w:t>
                  </w:r>
                  <w:r>
                    <w:rPr>
                      <w:rFonts w:hint="eastAsia"/>
                    </w:rPr>
                    <w:t>产生。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1178" w:type="pct"/>
                  <w:gridSpan w:val="2"/>
                  <w:vAlign w:val="center"/>
                </w:tcPr>
                <w:p>
                  <w:pPr>
                    <w:adjustRightInd w:val="0"/>
                    <w:snapToGrid w:val="0"/>
                    <w:jc w:val="center"/>
                    <w:rPr>
                      <w:bCs/>
                      <w:szCs w:val="21"/>
                    </w:rPr>
                  </w:pPr>
                  <w:r>
                    <w:rPr>
                      <w:bCs/>
                      <w:szCs w:val="21"/>
                    </w:rPr>
                    <w:t>供电</w:t>
                  </w:r>
                </w:p>
              </w:tc>
              <w:tc>
                <w:tcPr>
                  <w:tcW w:w="3424" w:type="pct"/>
                  <w:vAlign w:val="center"/>
                </w:tcPr>
                <w:p>
                  <w:pPr>
                    <w:adjustRightInd w:val="0"/>
                    <w:snapToGrid w:val="0"/>
                    <w:jc w:val="center"/>
                    <w:rPr>
                      <w:bCs/>
                      <w:szCs w:val="21"/>
                    </w:rPr>
                  </w:pPr>
                  <w:r>
                    <w:rPr>
                      <w:bCs/>
                      <w:szCs w:val="21"/>
                    </w:rPr>
                    <w:t>引自</w:t>
                  </w:r>
                  <w:r>
                    <w:rPr>
                      <w:rFonts w:hint="eastAsia"/>
                      <w:bCs/>
                      <w:szCs w:val="21"/>
                    </w:rPr>
                    <w:t>区域</w:t>
                  </w:r>
                  <w:r>
                    <w:rPr>
                      <w:bCs/>
                      <w:szCs w:val="21"/>
                    </w:rPr>
                    <w:t>电网。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1178" w:type="pct"/>
                  <w:gridSpan w:val="2"/>
                  <w:vAlign w:val="center"/>
                </w:tcPr>
                <w:p>
                  <w:pPr>
                    <w:adjustRightInd w:val="0"/>
                    <w:snapToGrid w:val="0"/>
                    <w:jc w:val="center"/>
                    <w:rPr>
                      <w:bCs/>
                      <w:szCs w:val="21"/>
                    </w:rPr>
                  </w:pPr>
                  <w:r>
                    <w:rPr>
                      <w:bCs/>
                      <w:szCs w:val="21"/>
                    </w:rPr>
                    <w:t>供热</w:t>
                  </w:r>
                </w:p>
              </w:tc>
              <w:tc>
                <w:tcPr>
                  <w:tcW w:w="3424" w:type="pct"/>
                  <w:vAlign w:val="center"/>
                </w:tcPr>
                <w:p>
                  <w:pPr>
                    <w:adjustRightInd w:val="0"/>
                    <w:snapToGrid w:val="0"/>
                    <w:jc w:val="center"/>
                    <w:rPr>
                      <w:bCs/>
                      <w:szCs w:val="21"/>
                    </w:rPr>
                  </w:pPr>
                  <w:r>
                    <w:rPr>
                      <w:bCs/>
                      <w:szCs w:val="21"/>
                    </w:rPr>
                    <w:t>生产线不需要供暖</w:t>
                  </w:r>
                  <w:r>
                    <w:rPr>
                      <w:kern w:val="0"/>
                      <w:szCs w:val="21"/>
                    </w:rPr>
                    <w:t>；</w:t>
                  </w:r>
                  <w:r>
                    <w:rPr>
                      <w:rFonts w:hint="eastAsia"/>
                      <w:kern w:val="0"/>
                      <w:szCs w:val="21"/>
                    </w:rPr>
                    <w:t>管理用房</w:t>
                  </w:r>
                  <w:r>
                    <w:rPr>
                      <w:bCs/>
                      <w:szCs w:val="21"/>
                    </w:rPr>
                    <w:t>采用分体式空调供暖。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397" w:type="pct"/>
                  <w:vMerge w:val="restart"/>
                  <w:vAlign w:val="center"/>
                </w:tcPr>
                <w:p>
                  <w:pPr>
                    <w:adjustRightInd w:val="0"/>
                    <w:snapToGrid w:val="0"/>
                    <w:jc w:val="center"/>
                    <w:rPr>
                      <w:bCs/>
                      <w:szCs w:val="21"/>
                    </w:rPr>
                  </w:pPr>
                  <w:r>
                    <w:rPr>
                      <w:bCs/>
                      <w:szCs w:val="21"/>
                    </w:rPr>
                    <w:t>环保工程</w:t>
                  </w:r>
                </w:p>
              </w:tc>
              <w:tc>
                <w:tcPr>
                  <w:tcW w:w="240" w:type="pct"/>
                  <w:vMerge w:val="restart"/>
                  <w:vAlign w:val="center"/>
                </w:tcPr>
                <w:p>
                  <w:pPr>
                    <w:adjustRightInd w:val="0"/>
                    <w:snapToGrid w:val="0"/>
                    <w:jc w:val="center"/>
                    <w:rPr>
                      <w:bCs/>
                      <w:szCs w:val="21"/>
                    </w:rPr>
                  </w:pPr>
                  <w:r>
                    <w:rPr>
                      <w:bCs/>
                      <w:szCs w:val="21"/>
                    </w:rPr>
                    <w:t>废气</w:t>
                  </w:r>
                </w:p>
              </w:tc>
              <w:tc>
                <w:tcPr>
                  <w:tcW w:w="938" w:type="pct"/>
                  <w:vAlign w:val="center"/>
                </w:tcPr>
                <w:p>
                  <w:pPr>
                    <w:adjustRightInd w:val="0"/>
                    <w:snapToGrid w:val="0"/>
                    <w:jc w:val="center"/>
                    <w:rPr>
                      <w:bCs/>
                      <w:szCs w:val="21"/>
                      <w:highlight w:val="yellow"/>
                    </w:rPr>
                  </w:pPr>
                  <w:r>
                    <w:rPr>
                      <w:rFonts w:hint="eastAsia"/>
                      <w:bCs/>
                      <w:szCs w:val="21"/>
                    </w:rPr>
                    <w:t>加工车间粉尘</w:t>
                  </w:r>
                </w:p>
              </w:tc>
              <w:tc>
                <w:tcPr>
                  <w:tcW w:w="3424" w:type="pct"/>
                  <w:vAlign w:val="center"/>
                </w:tcPr>
                <w:p>
                  <w:pPr>
                    <w:adjustRightInd w:val="0"/>
                    <w:snapToGrid w:val="0"/>
                    <w:jc w:val="center"/>
                  </w:pPr>
                  <w:r>
                    <w:t>车间全封闭；地面全硬化；</w:t>
                  </w:r>
                  <w:r>
                    <w:rPr>
                      <w:rFonts w:hint="eastAsia"/>
                    </w:rPr>
                    <w:t>车间顶部设置喷淋装置；</w:t>
                  </w:r>
                </w:p>
                <w:p>
                  <w:pPr>
                    <w:adjustRightInd w:val="0"/>
                    <w:snapToGrid w:val="0"/>
                    <w:jc w:val="center"/>
                    <w:rPr>
                      <w:bCs/>
                      <w:szCs w:val="21"/>
                      <w:highlight w:val="yellow"/>
                    </w:rPr>
                  </w:pPr>
                  <w:r>
                    <w:rPr>
                      <w:rFonts w:hint="eastAsia"/>
                    </w:rPr>
                    <w:t>物料输送采用封闭式皮带运输机；破碎和筛分工序设置集气罩，收集的粉尘经布袋除尘器处理后经15m高排气筒排放。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bCs/>
                      <w:szCs w:val="21"/>
                    </w:rPr>
                    <w:t>原料堆场粉尘</w:t>
                  </w:r>
                </w:p>
              </w:tc>
              <w:tc>
                <w:tcPr>
                  <w:tcW w:w="3424" w:type="pct"/>
                  <w:vAlign w:val="center"/>
                </w:tcPr>
                <w:p>
                  <w:pPr>
                    <w:pStyle w:val="2"/>
                    <w:spacing w:before="0" w:after="0" w:line="240" w:lineRule="auto"/>
                  </w:pPr>
                  <w:r>
                    <w:rPr>
                      <w:rFonts w:ascii="Times New Roman" w:hAnsi="Times New Roman" w:eastAsia="宋体"/>
                      <w:b w:val="0"/>
                      <w:sz w:val="21"/>
                      <w:szCs w:val="21"/>
                    </w:rPr>
                    <w:t>原料堆场封闭；地面全硬化；车间顶部设置喷淋装置。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bCs/>
                      <w:szCs w:val="21"/>
                    </w:rPr>
                    <w:t>成品料</w:t>
                  </w:r>
                  <w:r>
                    <w:rPr>
                      <w:rFonts w:hint="eastAsia"/>
                      <w:bCs/>
                      <w:szCs w:val="21"/>
                    </w:rPr>
                    <w:t>堆场粉尘</w:t>
                  </w:r>
                </w:p>
              </w:tc>
              <w:tc>
                <w:tcPr>
                  <w:tcW w:w="3424" w:type="pct"/>
                  <w:vAlign w:val="center"/>
                </w:tcPr>
                <w:p>
                  <w:pPr>
                    <w:adjustRightInd w:val="0"/>
                    <w:snapToGrid w:val="0"/>
                    <w:rPr>
                      <w:bCs/>
                      <w:szCs w:val="21"/>
                    </w:rPr>
                  </w:pPr>
                  <w:r>
                    <w:rPr>
                      <w:bCs/>
                      <w:szCs w:val="21"/>
                    </w:rPr>
                    <w:t>成品料库房封闭；地面全硬化；车间顶部设置喷淋装置。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rFonts w:hint="eastAsia"/>
                      <w:bCs/>
                      <w:szCs w:val="21"/>
                    </w:rPr>
                    <w:t>车辆运输粉尘</w:t>
                  </w:r>
                </w:p>
              </w:tc>
              <w:tc>
                <w:tcPr>
                  <w:tcW w:w="3424" w:type="pct"/>
                  <w:vAlign w:val="center"/>
                </w:tcPr>
                <w:p>
                  <w:pPr>
                    <w:adjustRightInd w:val="0"/>
                    <w:snapToGrid w:val="0"/>
                    <w:rPr>
                      <w:bCs/>
                      <w:szCs w:val="21"/>
                    </w:rPr>
                  </w:pPr>
                  <w:r>
                    <w:rPr>
                      <w:rFonts w:hint="eastAsia"/>
                      <w:bCs/>
                      <w:szCs w:val="21"/>
                    </w:rPr>
                    <w:t>道路区设置喷淋装置，且厂区门口设置U型路面洗车池。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240" w:type="pct"/>
                  <w:vMerge w:val="restart"/>
                  <w:vAlign w:val="center"/>
                </w:tcPr>
                <w:p>
                  <w:pPr>
                    <w:adjustRightInd w:val="0"/>
                    <w:snapToGrid w:val="0"/>
                    <w:jc w:val="center"/>
                    <w:rPr>
                      <w:bCs/>
                      <w:szCs w:val="21"/>
                    </w:rPr>
                  </w:pPr>
                  <w:r>
                    <w:rPr>
                      <w:bCs/>
                      <w:szCs w:val="21"/>
                    </w:rPr>
                    <w:t>废水</w:t>
                  </w:r>
                </w:p>
              </w:tc>
              <w:tc>
                <w:tcPr>
                  <w:tcW w:w="938" w:type="pct"/>
                  <w:vAlign w:val="center"/>
                </w:tcPr>
                <w:p>
                  <w:pPr>
                    <w:adjustRightInd w:val="0"/>
                    <w:snapToGrid w:val="0"/>
                    <w:jc w:val="center"/>
                    <w:rPr>
                      <w:bCs/>
                      <w:szCs w:val="21"/>
                    </w:rPr>
                  </w:pPr>
                  <w:r>
                    <w:rPr>
                      <w:bCs/>
                      <w:szCs w:val="21"/>
                    </w:rPr>
                    <w:t>生产废水</w:t>
                  </w:r>
                </w:p>
              </w:tc>
              <w:tc>
                <w:tcPr>
                  <w:tcW w:w="3424" w:type="pct"/>
                  <w:vAlign w:val="center"/>
                </w:tcPr>
                <w:p>
                  <w:pPr>
                    <w:adjustRightInd w:val="0"/>
                    <w:snapToGrid w:val="0"/>
                    <w:jc w:val="center"/>
                    <w:rPr>
                      <w:bCs/>
                      <w:szCs w:val="21"/>
                    </w:rPr>
                  </w:pPr>
                  <w:r>
                    <w:rPr>
                      <w:rFonts w:hint="eastAsia"/>
                      <w:bCs/>
                      <w:szCs w:val="21"/>
                    </w:rPr>
                    <w:t>原料堆放</w:t>
                  </w:r>
                  <w:r>
                    <w:rPr>
                      <w:bCs/>
                      <w:szCs w:val="21"/>
                    </w:rPr>
                    <w:t>车间</w:t>
                  </w:r>
                  <w:r>
                    <w:rPr>
                      <w:rFonts w:hint="eastAsia"/>
                      <w:bCs/>
                      <w:szCs w:val="21"/>
                    </w:rPr>
                    <w:t>、加工车间和成品料堆放车间</w:t>
                  </w:r>
                  <w:r>
                    <w:rPr>
                      <w:bCs/>
                      <w:szCs w:val="21"/>
                    </w:rPr>
                    <w:t>喷淋用水自然蒸发</w:t>
                  </w:r>
                  <w:r>
                    <w:rPr>
                      <w:rFonts w:hint="eastAsia"/>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bCs/>
                      <w:szCs w:val="21"/>
                    </w:rPr>
                    <w:t>车辆冲洗废水</w:t>
                  </w:r>
                </w:p>
              </w:tc>
              <w:tc>
                <w:tcPr>
                  <w:tcW w:w="3424" w:type="pct"/>
                  <w:vAlign w:val="center"/>
                </w:tcPr>
                <w:p>
                  <w:pPr>
                    <w:adjustRightInd w:val="0"/>
                    <w:snapToGrid w:val="0"/>
                    <w:jc w:val="center"/>
                    <w:rPr>
                      <w:bCs/>
                      <w:szCs w:val="21"/>
                    </w:rPr>
                  </w:pPr>
                  <w:r>
                    <w:rPr>
                      <w:bCs/>
                      <w:szCs w:val="21"/>
                    </w:rPr>
                    <w:t>经沉淀后</w:t>
                  </w:r>
                  <w:r>
                    <w:rPr>
                      <w:rFonts w:hint="eastAsia"/>
                      <w:bCs/>
                      <w:szCs w:val="21"/>
                    </w:rPr>
                    <w:t>循环利用，不外排。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bCs/>
                      <w:szCs w:val="21"/>
                    </w:rPr>
                    <w:t>生活污水</w:t>
                  </w:r>
                </w:p>
              </w:tc>
              <w:tc>
                <w:tcPr>
                  <w:tcW w:w="3424" w:type="pct"/>
                  <w:vAlign w:val="center"/>
                </w:tcPr>
                <w:p>
                  <w:pPr>
                    <w:adjustRightInd w:val="0"/>
                    <w:snapToGrid w:val="0"/>
                    <w:jc w:val="center"/>
                    <w:rPr>
                      <w:bCs/>
                      <w:szCs w:val="21"/>
                    </w:rPr>
                  </w:pPr>
                  <w:r>
                    <w:rPr>
                      <w:rFonts w:hint="eastAsia"/>
                      <w:bCs/>
                      <w:szCs w:val="21"/>
                    </w:rPr>
                    <w:t>员工租用周围居民房，厂区少量的生活污水排入旱厕，定期清掏用于周边农田施肥。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397" w:type="pct"/>
                  <w:vMerge w:val="continue"/>
                  <w:vAlign w:val="center"/>
                </w:tcPr>
                <w:p>
                  <w:pPr>
                    <w:adjustRightInd w:val="0"/>
                    <w:snapToGrid w:val="0"/>
                    <w:jc w:val="center"/>
                    <w:rPr>
                      <w:bCs/>
                      <w:szCs w:val="21"/>
                    </w:rPr>
                  </w:pPr>
                </w:p>
              </w:tc>
              <w:tc>
                <w:tcPr>
                  <w:tcW w:w="240" w:type="pct"/>
                  <w:vMerge w:val="restart"/>
                  <w:vAlign w:val="center"/>
                </w:tcPr>
                <w:p>
                  <w:pPr>
                    <w:adjustRightInd w:val="0"/>
                    <w:snapToGrid w:val="0"/>
                    <w:jc w:val="center"/>
                    <w:rPr>
                      <w:bCs/>
                      <w:szCs w:val="21"/>
                    </w:rPr>
                  </w:pPr>
                  <w:r>
                    <w:rPr>
                      <w:bCs/>
                      <w:szCs w:val="21"/>
                    </w:rPr>
                    <w:t>固废</w:t>
                  </w:r>
                </w:p>
              </w:tc>
              <w:tc>
                <w:tcPr>
                  <w:tcW w:w="938" w:type="pct"/>
                  <w:vAlign w:val="center"/>
                </w:tcPr>
                <w:p>
                  <w:pPr>
                    <w:adjustRightInd w:val="0"/>
                    <w:snapToGrid w:val="0"/>
                    <w:jc w:val="center"/>
                    <w:rPr>
                      <w:bCs/>
                      <w:szCs w:val="21"/>
                    </w:rPr>
                  </w:pPr>
                  <w:r>
                    <w:rPr>
                      <w:bCs/>
                      <w:szCs w:val="21"/>
                    </w:rPr>
                    <w:t>生活垃圾</w:t>
                  </w:r>
                </w:p>
              </w:tc>
              <w:tc>
                <w:tcPr>
                  <w:tcW w:w="3424" w:type="pct"/>
                  <w:vAlign w:val="center"/>
                </w:tcPr>
                <w:p>
                  <w:pPr>
                    <w:adjustRightInd w:val="0"/>
                    <w:snapToGrid w:val="0"/>
                    <w:jc w:val="center"/>
                    <w:rPr>
                      <w:bCs/>
                      <w:szCs w:val="21"/>
                    </w:rPr>
                  </w:pPr>
                  <w:r>
                    <w:rPr>
                      <w:rFonts w:hint="eastAsia"/>
                      <w:bCs/>
                      <w:szCs w:val="21"/>
                    </w:rPr>
                    <w:t>员工生活租用周围居民房，员工办公区</w:t>
                  </w:r>
                  <w:r>
                    <w:rPr>
                      <w:bCs/>
                      <w:szCs w:val="21"/>
                    </w:rPr>
                    <w:t>设置</w:t>
                  </w:r>
                  <w:r>
                    <w:rPr>
                      <w:rFonts w:hint="eastAsia"/>
                      <w:bCs/>
                      <w:szCs w:val="21"/>
                    </w:rPr>
                    <w:t>垃圾</w:t>
                  </w:r>
                  <w:r>
                    <w:rPr>
                      <w:bCs/>
                      <w:szCs w:val="21"/>
                    </w:rPr>
                    <w:t>收集桶，交由环卫清运。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rFonts w:hint="eastAsia"/>
                      <w:bCs/>
                      <w:szCs w:val="21"/>
                    </w:rPr>
                    <w:t>洗车池沉渣</w:t>
                  </w:r>
                </w:p>
              </w:tc>
              <w:tc>
                <w:tcPr>
                  <w:tcW w:w="3424" w:type="pct"/>
                  <w:vAlign w:val="center"/>
                </w:tcPr>
                <w:p>
                  <w:pPr>
                    <w:adjustRightInd w:val="0"/>
                    <w:snapToGrid w:val="0"/>
                    <w:jc w:val="center"/>
                    <w:rPr>
                      <w:bCs/>
                      <w:szCs w:val="21"/>
                    </w:rPr>
                  </w:pPr>
                  <w:r>
                    <w:rPr>
                      <w:bCs/>
                      <w:szCs w:val="21"/>
                    </w:rPr>
                    <w:t>沉渣作为</w:t>
                  </w:r>
                  <w:r>
                    <w:rPr>
                      <w:rFonts w:hint="eastAsia"/>
                      <w:bCs/>
                      <w:szCs w:val="21"/>
                    </w:rPr>
                    <w:t>原料</w:t>
                  </w:r>
                  <w:r>
                    <w:rPr>
                      <w:bCs/>
                      <w:szCs w:val="21"/>
                    </w:rPr>
                    <w:t>用于</w:t>
                  </w:r>
                  <w:r>
                    <w:rPr>
                      <w:rFonts w:hint="eastAsia"/>
                      <w:bCs/>
                      <w:szCs w:val="21"/>
                    </w:rPr>
                    <w:t>产品</w:t>
                  </w:r>
                  <w:r>
                    <w:rPr>
                      <w:bCs/>
                      <w:szCs w:val="21"/>
                    </w:rPr>
                    <w:t>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rFonts w:hint="eastAsia"/>
                      <w:bCs/>
                      <w:szCs w:val="21"/>
                    </w:rPr>
                    <w:t>除尘器收尘灰</w:t>
                  </w:r>
                </w:p>
              </w:tc>
              <w:tc>
                <w:tcPr>
                  <w:tcW w:w="3424" w:type="pct"/>
                  <w:vAlign w:val="center"/>
                </w:tcPr>
                <w:p>
                  <w:pPr>
                    <w:adjustRightInd w:val="0"/>
                    <w:snapToGrid w:val="0"/>
                    <w:jc w:val="center"/>
                    <w:rPr>
                      <w:bCs/>
                      <w:szCs w:val="21"/>
                    </w:rPr>
                  </w:pPr>
                  <w:r>
                    <w:rPr>
                      <w:rFonts w:hint="eastAsia"/>
                      <w:szCs w:val="21"/>
                    </w:rPr>
                    <w:t>作成品石粉砂粉料外售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397" w:type="pct"/>
                  <w:vMerge w:val="continue"/>
                  <w:vAlign w:val="center"/>
                </w:tcPr>
                <w:p>
                  <w:pPr>
                    <w:adjustRightInd w:val="0"/>
                    <w:snapToGrid w:val="0"/>
                    <w:jc w:val="center"/>
                    <w:rPr>
                      <w:bCs/>
                      <w:szCs w:val="21"/>
                    </w:rPr>
                  </w:pPr>
                </w:p>
              </w:tc>
              <w:tc>
                <w:tcPr>
                  <w:tcW w:w="240" w:type="pct"/>
                  <w:vMerge w:val="continue"/>
                  <w:vAlign w:val="center"/>
                </w:tcPr>
                <w:p>
                  <w:pPr>
                    <w:adjustRightInd w:val="0"/>
                    <w:snapToGrid w:val="0"/>
                    <w:jc w:val="center"/>
                    <w:rPr>
                      <w:bCs/>
                      <w:szCs w:val="21"/>
                    </w:rPr>
                  </w:pPr>
                </w:p>
              </w:tc>
              <w:tc>
                <w:tcPr>
                  <w:tcW w:w="938" w:type="pct"/>
                  <w:vAlign w:val="center"/>
                </w:tcPr>
                <w:p>
                  <w:pPr>
                    <w:adjustRightInd w:val="0"/>
                    <w:snapToGrid w:val="0"/>
                    <w:jc w:val="center"/>
                    <w:rPr>
                      <w:bCs/>
                      <w:szCs w:val="21"/>
                    </w:rPr>
                  </w:pPr>
                  <w:r>
                    <w:rPr>
                      <w:bCs/>
                      <w:szCs w:val="21"/>
                    </w:rPr>
                    <w:t>危险固废</w:t>
                  </w:r>
                </w:p>
              </w:tc>
              <w:tc>
                <w:tcPr>
                  <w:tcW w:w="3424" w:type="pct"/>
                  <w:vAlign w:val="center"/>
                </w:tcPr>
                <w:p>
                  <w:pPr>
                    <w:adjustRightInd w:val="0"/>
                    <w:snapToGrid w:val="0"/>
                    <w:jc w:val="center"/>
                    <w:rPr>
                      <w:bCs/>
                      <w:szCs w:val="21"/>
                    </w:rPr>
                  </w:pPr>
                  <w:r>
                    <w:rPr>
                      <w:bCs/>
                      <w:szCs w:val="21"/>
                    </w:rPr>
                    <w:t>设</w:t>
                  </w:r>
                  <w:r>
                    <w:rPr>
                      <w:rFonts w:hint="eastAsia"/>
                      <w:bCs/>
                      <w:szCs w:val="21"/>
                    </w:rPr>
                    <w:t>危废暂存间</w:t>
                  </w:r>
                  <w:r>
                    <w:rPr>
                      <w:bCs/>
                      <w:szCs w:val="21"/>
                    </w:rPr>
                    <w:t>，定期交由有资质单位处置。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97" w:type="pct"/>
                  <w:vMerge w:val="continue"/>
                  <w:vAlign w:val="center"/>
                </w:tcPr>
                <w:p>
                  <w:pPr>
                    <w:adjustRightInd w:val="0"/>
                    <w:snapToGrid w:val="0"/>
                    <w:jc w:val="center"/>
                    <w:rPr>
                      <w:bCs/>
                      <w:szCs w:val="21"/>
                    </w:rPr>
                  </w:pPr>
                </w:p>
              </w:tc>
              <w:tc>
                <w:tcPr>
                  <w:tcW w:w="1178" w:type="pct"/>
                  <w:gridSpan w:val="2"/>
                  <w:vAlign w:val="center"/>
                </w:tcPr>
                <w:p>
                  <w:pPr>
                    <w:adjustRightInd w:val="0"/>
                    <w:snapToGrid w:val="0"/>
                    <w:jc w:val="center"/>
                    <w:rPr>
                      <w:bCs/>
                      <w:szCs w:val="21"/>
                    </w:rPr>
                  </w:pPr>
                  <w:r>
                    <w:rPr>
                      <w:bCs/>
                      <w:szCs w:val="21"/>
                    </w:rPr>
                    <w:t>噪声</w:t>
                  </w:r>
                </w:p>
              </w:tc>
              <w:tc>
                <w:tcPr>
                  <w:tcW w:w="3424" w:type="pct"/>
                  <w:vAlign w:val="center"/>
                </w:tcPr>
                <w:p>
                  <w:pPr>
                    <w:adjustRightInd w:val="0"/>
                    <w:snapToGrid w:val="0"/>
                    <w:jc w:val="center"/>
                    <w:rPr>
                      <w:bCs/>
                      <w:szCs w:val="21"/>
                    </w:rPr>
                  </w:pPr>
                  <w:r>
                    <w:rPr>
                      <w:bCs/>
                      <w:szCs w:val="21"/>
                    </w:rPr>
                    <w:t>基础减振、厂房隔声、绿化降噪。</w:t>
                  </w:r>
                </w:p>
              </w:tc>
            </w:tr>
          </w:tbl>
          <w:p>
            <w:pPr>
              <w:adjustRightInd w:val="0"/>
              <w:snapToGrid w:val="0"/>
              <w:spacing w:line="360" w:lineRule="auto"/>
              <w:ind w:firstLine="480" w:firstLineChars="200"/>
              <w:rPr>
                <w:b/>
                <w:snapToGrid w:val="0"/>
                <w:kern w:val="0"/>
                <w:sz w:val="24"/>
              </w:rPr>
            </w:pPr>
            <w:r>
              <w:rPr>
                <w:b/>
                <w:snapToGrid w:val="0"/>
                <w:kern w:val="0"/>
                <w:sz w:val="24"/>
              </w:rPr>
              <w:t>3、产品方案</w:t>
            </w:r>
          </w:p>
          <w:p>
            <w:pPr>
              <w:spacing w:line="360" w:lineRule="auto"/>
              <w:ind w:firstLine="470" w:firstLineChars="196"/>
              <w:rPr>
                <w:bCs/>
                <w:sz w:val="24"/>
              </w:rPr>
            </w:pPr>
            <w:r>
              <w:rPr>
                <w:bCs/>
                <w:sz w:val="24"/>
              </w:rPr>
              <w:t>根据建设单位提供的资料，本项目产品包括石粉砂（0-0.5mm）和碎石（5-10mm、10-20mm、20-30mm）</w:t>
            </w:r>
            <w:r>
              <w:rPr>
                <w:rFonts w:hint="eastAsia"/>
                <w:bCs/>
                <w:sz w:val="24"/>
              </w:rPr>
              <w:t>，总</w:t>
            </w:r>
            <w:r>
              <w:rPr>
                <w:bCs/>
                <w:sz w:val="24"/>
              </w:rPr>
              <w:t>年产量为</w:t>
            </w:r>
            <w:r>
              <w:rPr>
                <w:rFonts w:hint="eastAsia"/>
                <w:bCs/>
                <w:sz w:val="24"/>
              </w:rPr>
              <w:t>26</w:t>
            </w:r>
            <w:r>
              <w:rPr>
                <w:bCs/>
                <w:sz w:val="24"/>
              </w:rPr>
              <w:t>万吨，</w:t>
            </w:r>
            <w:r>
              <w:rPr>
                <w:rFonts w:hint="eastAsia"/>
                <w:bCs/>
                <w:sz w:val="24"/>
              </w:rPr>
              <w:t>其中石粉砂占年产总量的25%，碎石</w:t>
            </w:r>
            <w:r>
              <w:rPr>
                <w:bCs/>
                <w:sz w:val="24"/>
              </w:rPr>
              <w:t>（5-10mm、10-20mm、20-30mm）</w:t>
            </w:r>
            <w:r>
              <w:rPr>
                <w:rFonts w:hint="eastAsia"/>
                <w:bCs/>
                <w:sz w:val="24"/>
              </w:rPr>
              <w:t>分别占年产总量的20%、15%和40%。</w:t>
            </w:r>
          </w:p>
          <w:p>
            <w:pPr>
              <w:spacing w:line="460" w:lineRule="exact"/>
              <w:jc w:val="center"/>
              <w:rPr>
                <w:b/>
                <w:bCs/>
                <w:szCs w:val="21"/>
              </w:rPr>
            </w:pPr>
            <w:r>
              <w:rPr>
                <w:rFonts w:hint="eastAsia"/>
                <w:b/>
                <w:bCs/>
                <w:szCs w:val="21"/>
              </w:rPr>
              <w:t>表5   产品方案一览表</w:t>
            </w:r>
          </w:p>
          <w:tbl>
            <w:tblPr>
              <w:tblStyle w:val="20"/>
              <w:tblW w:w="90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395"/>
              <w:gridCol w:w="2055"/>
              <w:gridCol w:w="2453"/>
              <w:gridCol w:w="1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l2br w:val="nil"/>
                    <w:tr2bl w:val="nil"/>
                  </w:tcBorders>
                  <w:vAlign w:val="center"/>
                </w:tcPr>
                <w:p>
                  <w:pPr>
                    <w:spacing w:line="360" w:lineRule="auto"/>
                    <w:jc w:val="center"/>
                    <w:rPr>
                      <w:szCs w:val="21"/>
                    </w:rPr>
                  </w:pPr>
                  <w:r>
                    <w:rPr>
                      <w:rFonts w:hint="eastAsia"/>
                      <w:szCs w:val="21"/>
                    </w:rPr>
                    <w:t>序号</w:t>
                  </w:r>
                </w:p>
              </w:tc>
              <w:tc>
                <w:tcPr>
                  <w:tcW w:w="1395" w:type="dxa"/>
                  <w:tcBorders>
                    <w:tl2br w:val="nil"/>
                    <w:tr2bl w:val="nil"/>
                  </w:tcBorders>
                  <w:vAlign w:val="center"/>
                </w:tcPr>
                <w:p>
                  <w:pPr>
                    <w:spacing w:line="360" w:lineRule="auto"/>
                    <w:jc w:val="center"/>
                    <w:rPr>
                      <w:szCs w:val="21"/>
                    </w:rPr>
                  </w:pPr>
                  <w:r>
                    <w:rPr>
                      <w:rFonts w:hint="eastAsia"/>
                      <w:szCs w:val="21"/>
                    </w:rPr>
                    <w:t>名称</w:t>
                  </w:r>
                </w:p>
              </w:tc>
              <w:tc>
                <w:tcPr>
                  <w:tcW w:w="2055" w:type="dxa"/>
                  <w:tcBorders>
                    <w:tl2br w:val="nil"/>
                    <w:tr2bl w:val="nil"/>
                  </w:tcBorders>
                  <w:vAlign w:val="center"/>
                </w:tcPr>
                <w:p>
                  <w:pPr>
                    <w:spacing w:line="360" w:lineRule="auto"/>
                    <w:jc w:val="center"/>
                    <w:rPr>
                      <w:szCs w:val="21"/>
                    </w:rPr>
                  </w:pPr>
                  <w:r>
                    <w:rPr>
                      <w:rFonts w:hint="eastAsia"/>
                      <w:szCs w:val="21"/>
                    </w:rPr>
                    <w:t>规格</w:t>
                  </w:r>
                </w:p>
              </w:tc>
              <w:tc>
                <w:tcPr>
                  <w:tcW w:w="2453" w:type="dxa"/>
                  <w:tcBorders>
                    <w:tl2br w:val="nil"/>
                    <w:tr2bl w:val="nil"/>
                  </w:tcBorders>
                  <w:vAlign w:val="center"/>
                </w:tcPr>
                <w:p>
                  <w:pPr>
                    <w:spacing w:line="360" w:lineRule="auto"/>
                    <w:jc w:val="center"/>
                    <w:rPr>
                      <w:szCs w:val="21"/>
                    </w:rPr>
                  </w:pPr>
                  <w:r>
                    <w:rPr>
                      <w:rFonts w:hint="eastAsia"/>
                      <w:szCs w:val="21"/>
                    </w:rPr>
                    <w:t>年产量（t）</w:t>
                  </w:r>
                </w:p>
              </w:tc>
              <w:tc>
                <w:tcPr>
                  <w:tcW w:w="1814" w:type="dxa"/>
                  <w:tcBorders>
                    <w:tl2br w:val="nil"/>
                    <w:tr2bl w:val="nil"/>
                  </w:tcBorders>
                  <w:vAlign w:val="center"/>
                </w:tcPr>
                <w:p>
                  <w:pPr>
                    <w:spacing w:line="360" w:lineRule="auto"/>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l2br w:val="nil"/>
                    <w:tr2bl w:val="nil"/>
                  </w:tcBorders>
                  <w:vAlign w:val="center"/>
                </w:tcPr>
                <w:p>
                  <w:pPr>
                    <w:spacing w:line="360" w:lineRule="auto"/>
                    <w:jc w:val="center"/>
                    <w:rPr>
                      <w:szCs w:val="21"/>
                    </w:rPr>
                  </w:pPr>
                  <w:r>
                    <w:rPr>
                      <w:rFonts w:hint="eastAsia"/>
                      <w:szCs w:val="21"/>
                    </w:rPr>
                    <w:t>1</w:t>
                  </w:r>
                </w:p>
              </w:tc>
              <w:tc>
                <w:tcPr>
                  <w:tcW w:w="1395" w:type="dxa"/>
                  <w:tcBorders>
                    <w:tl2br w:val="nil"/>
                    <w:tr2bl w:val="nil"/>
                  </w:tcBorders>
                  <w:vAlign w:val="center"/>
                </w:tcPr>
                <w:p>
                  <w:pPr>
                    <w:spacing w:line="360" w:lineRule="auto"/>
                    <w:jc w:val="center"/>
                    <w:rPr>
                      <w:szCs w:val="21"/>
                    </w:rPr>
                  </w:pPr>
                  <w:r>
                    <w:rPr>
                      <w:rFonts w:hint="eastAsia"/>
                      <w:szCs w:val="21"/>
                    </w:rPr>
                    <w:t>石粉砂</w:t>
                  </w:r>
                </w:p>
              </w:tc>
              <w:tc>
                <w:tcPr>
                  <w:tcW w:w="2055" w:type="dxa"/>
                  <w:tcBorders>
                    <w:tl2br w:val="nil"/>
                    <w:tr2bl w:val="nil"/>
                  </w:tcBorders>
                  <w:vAlign w:val="center"/>
                </w:tcPr>
                <w:p>
                  <w:pPr>
                    <w:spacing w:line="360" w:lineRule="auto"/>
                    <w:jc w:val="center"/>
                    <w:rPr>
                      <w:szCs w:val="21"/>
                    </w:rPr>
                  </w:pPr>
                  <w:r>
                    <w:rPr>
                      <w:bCs/>
                      <w:sz w:val="24"/>
                    </w:rPr>
                    <w:t>0-0.5mm</w:t>
                  </w:r>
                </w:p>
              </w:tc>
              <w:tc>
                <w:tcPr>
                  <w:tcW w:w="2453" w:type="dxa"/>
                  <w:tcBorders>
                    <w:tl2br w:val="nil"/>
                    <w:tr2bl w:val="nil"/>
                  </w:tcBorders>
                  <w:vAlign w:val="center"/>
                </w:tcPr>
                <w:p>
                  <w:pPr>
                    <w:spacing w:line="360" w:lineRule="auto"/>
                    <w:jc w:val="center"/>
                    <w:rPr>
                      <w:szCs w:val="21"/>
                    </w:rPr>
                  </w:pPr>
                  <w:r>
                    <w:rPr>
                      <w:rFonts w:hint="eastAsia"/>
                      <w:szCs w:val="21"/>
                    </w:rPr>
                    <w:t>约6.5万</w:t>
                  </w:r>
                </w:p>
              </w:tc>
              <w:tc>
                <w:tcPr>
                  <w:tcW w:w="1814" w:type="dxa"/>
                  <w:vMerge w:val="restart"/>
                  <w:tcBorders>
                    <w:tl2br w:val="nil"/>
                    <w:tr2bl w:val="nil"/>
                  </w:tcBorders>
                  <w:vAlign w:val="center"/>
                </w:tcPr>
                <w:p>
                  <w:pPr>
                    <w:spacing w:line="360" w:lineRule="auto"/>
                    <w:jc w:val="center"/>
                    <w:rPr>
                      <w:szCs w:val="21"/>
                    </w:rPr>
                  </w:pPr>
                  <w:r>
                    <w:rPr>
                      <w:rFonts w:hint="eastAsia"/>
                      <w:szCs w:val="21"/>
                    </w:rPr>
                    <w:t>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l2br w:val="nil"/>
                    <w:tr2bl w:val="nil"/>
                  </w:tcBorders>
                  <w:vAlign w:val="center"/>
                </w:tcPr>
                <w:p>
                  <w:pPr>
                    <w:spacing w:line="360" w:lineRule="auto"/>
                    <w:jc w:val="center"/>
                    <w:rPr>
                      <w:szCs w:val="21"/>
                    </w:rPr>
                  </w:pPr>
                  <w:r>
                    <w:rPr>
                      <w:rFonts w:hint="eastAsia"/>
                      <w:szCs w:val="21"/>
                    </w:rPr>
                    <w:t>2</w:t>
                  </w:r>
                </w:p>
              </w:tc>
              <w:tc>
                <w:tcPr>
                  <w:tcW w:w="1395" w:type="dxa"/>
                  <w:vMerge w:val="restart"/>
                  <w:tcBorders>
                    <w:tl2br w:val="nil"/>
                    <w:tr2bl w:val="nil"/>
                  </w:tcBorders>
                  <w:vAlign w:val="center"/>
                </w:tcPr>
                <w:p>
                  <w:pPr>
                    <w:spacing w:line="360" w:lineRule="auto"/>
                    <w:jc w:val="center"/>
                    <w:rPr>
                      <w:szCs w:val="21"/>
                    </w:rPr>
                  </w:pPr>
                  <w:r>
                    <w:rPr>
                      <w:szCs w:val="21"/>
                    </w:rPr>
                    <w:t>碎石</w:t>
                  </w:r>
                </w:p>
              </w:tc>
              <w:tc>
                <w:tcPr>
                  <w:tcW w:w="2055" w:type="dxa"/>
                  <w:tcBorders>
                    <w:tl2br w:val="nil"/>
                    <w:tr2bl w:val="nil"/>
                  </w:tcBorders>
                  <w:vAlign w:val="center"/>
                </w:tcPr>
                <w:p>
                  <w:pPr>
                    <w:spacing w:line="360" w:lineRule="auto"/>
                    <w:jc w:val="center"/>
                    <w:rPr>
                      <w:szCs w:val="21"/>
                    </w:rPr>
                  </w:pPr>
                  <w:r>
                    <w:rPr>
                      <w:bCs/>
                      <w:sz w:val="24"/>
                    </w:rPr>
                    <w:t>5-10mm</w:t>
                  </w:r>
                </w:p>
              </w:tc>
              <w:tc>
                <w:tcPr>
                  <w:tcW w:w="2453" w:type="dxa"/>
                  <w:tcBorders>
                    <w:tl2br w:val="nil"/>
                    <w:tr2bl w:val="nil"/>
                  </w:tcBorders>
                  <w:vAlign w:val="center"/>
                </w:tcPr>
                <w:p>
                  <w:pPr>
                    <w:spacing w:line="360" w:lineRule="auto"/>
                    <w:jc w:val="center"/>
                    <w:rPr>
                      <w:szCs w:val="21"/>
                    </w:rPr>
                  </w:pPr>
                  <w:r>
                    <w:rPr>
                      <w:rFonts w:hint="eastAsia"/>
                      <w:szCs w:val="21"/>
                    </w:rPr>
                    <w:t>约5.2万</w:t>
                  </w:r>
                </w:p>
              </w:tc>
              <w:tc>
                <w:tcPr>
                  <w:tcW w:w="1814" w:type="dxa"/>
                  <w:vMerge w:val="continue"/>
                  <w:tcBorders>
                    <w:tl2br w:val="nil"/>
                    <w:tr2bl w:val="nil"/>
                  </w:tcBorders>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l2br w:val="nil"/>
                    <w:tr2bl w:val="nil"/>
                  </w:tcBorders>
                  <w:vAlign w:val="center"/>
                </w:tcPr>
                <w:p>
                  <w:pPr>
                    <w:spacing w:line="360" w:lineRule="auto"/>
                    <w:jc w:val="center"/>
                    <w:rPr>
                      <w:szCs w:val="21"/>
                    </w:rPr>
                  </w:pPr>
                  <w:r>
                    <w:rPr>
                      <w:rFonts w:hint="eastAsia"/>
                      <w:szCs w:val="21"/>
                    </w:rPr>
                    <w:t>3</w:t>
                  </w:r>
                </w:p>
              </w:tc>
              <w:tc>
                <w:tcPr>
                  <w:tcW w:w="1395" w:type="dxa"/>
                  <w:vMerge w:val="continue"/>
                  <w:tcBorders>
                    <w:tl2br w:val="nil"/>
                    <w:tr2bl w:val="nil"/>
                  </w:tcBorders>
                  <w:vAlign w:val="center"/>
                </w:tcPr>
                <w:p>
                  <w:pPr>
                    <w:spacing w:line="360" w:lineRule="auto"/>
                    <w:jc w:val="center"/>
                    <w:rPr>
                      <w:szCs w:val="21"/>
                    </w:rPr>
                  </w:pPr>
                </w:p>
              </w:tc>
              <w:tc>
                <w:tcPr>
                  <w:tcW w:w="2055" w:type="dxa"/>
                  <w:tcBorders>
                    <w:tl2br w:val="nil"/>
                    <w:tr2bl w:val="nil"/>
                  </w:tcBorders>
                  <w:vAlign w:val="center"/>
                </w:tcPr>
                <w:p>
                  <w:pPr>
                    <w:spacing w:line="360" w:lineRule="auto"/>
                    <w:jc w:val="center"/>
                    <w:rPr>
                      <w:szCs w:val="21"/>
                    </w:rPr>
                  </w:pPr>
                  <w:r>
                    <w:rPr>
                      <w:bCs/>
                      <w:sz w:val="24"/>
                    </w:rPr>
                    <w:t>10-20mm</w:t>
                  </w:r>
                </w:p>
              </w:tc>
              <w:tc>
                <w:tcPr>
                  <w:tcW w:w="2453" w:type="dxa"/>
                  <w:tcBorders>
                    <w:tl2br w:val="nil"/>
                    <w:tr2bl w:val="nil"/>
                  </w:tcBorders>
                  <w:vAlign w:val="center"/>
                </w:tcPr>
                <w:p>
                  <w:pPr>
                    <w:spacing w:line="360" w:lineRule="auto"/>
                    <w:jc w:val="center"/>
                    <w:rPr>
                      <w:szCs w:val="21"/>
                    </w:rPr>
                  </w:pPr>
                  <w:r>
                    <w:rPr>
                      <w:rFonts w:hint="eastAsia"/>
                      <w:szCs w:val="21"/>
                    </w:rPr>
                    <w:t>约3.9万</w:t>
                  </w:r>
                </w:p>
              </w:tc>
              <w:tc>
                <w:tcPr>
                  <w:tcW w:w="1814" w:type="dxa"/>
                  <w:vMerge w:val="continue"/>
                  <w:tcBorders>
                    <w:tl2br w:val="nil"/>
                    <w:tr2bl w:val="nil"/>
                  </w:tcBorders>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tcBorders>
                    <w:tl2br w:val="nil"/>
                    <w:tr2bl w:val="nil"/>
                  </w:tcBorders>
                  <w:vAlign w:val="center"/>
                </w:tcPr>
                <w:p>
                  <w:pPr>
                    <w:spacing w:line="360" w:lineRule="auto"/>
                    <w:jc w:val="center"/>
                    <w:rPr>
                      <w:szCs w:val="21"/>
                    </w:rPr>
                  </w:pPr>
                  <w:r>
                    <w:rPr>
                      <w:rFonts w:hint="eastAsia"/>
                      <w:szCs w:val="21"/>
                    </w:rPr>
                    <w:t>4</w:t>
                  </w:r>
                </w:p>
              </w:tc>
              <w:tc>
                <w:tcPr>
                  <w:tcW w:w="1395" w:type="dxa"/>
                  <w:vMerge w:val="continue"/>
                  <w:tcBorders>
                    <w:tl2br w:val="nil"/>
                    <w:tr2bl w:val="nil"/>
                  </w:tcBorders>
                  <w:vAlign w:val="center"/>
                </w:tcPr>
                <w:p>
                  <w:pPr>
                    <w:spacing w:line="360" w:lineRule="auto"/>
                    <w:jc w:val="center"/>
                    <w:rPr>
                      <w:szCs w:val="21"/>
                    </w:rPr>
                  </w:pPr>
                </w:p>
              </w:tc>
              <w:tc>
                <w:tcPr>
                  <w:tcW w:w="2055" w:type="dxa"/>
                  <w:tcBorders>
                    <w:tl2br w:val="nil"/>
                    <w:tr2bl w:val="nil"/>
                  </w:tcBorders>
                  <w:vAlign w:val="center"/>
                </w:tcPr>
                <w:p>
                  <w:pPr>
                    <w:spacing w:line="360" w:lineRule="auto"/>
                    <w:jc w:val="center"/>
                    <w:rPr>
                      <w:szCs w:val="21"/>
                    </w:rPr>
                  </w:pPr>
                  <w:r>
                    <w:rPr>
                      <w:bCs/>
                      <w:sz w:val="24"/>
                    </w:rPr>
                    <w:t>20-30mm</w:t>
                  </w:r>
                </w:p>
              </w:tc>
              <w:tc>
                <w:tcPr>
                  <w:tcW w:w="2453" w:type="dxa"/>
                  <w:tcBorders>
                    <w:tl2br w:val="nil"/>
                    <w:tr2bl w:val="nil"/>
                  </w:tcBorders>
                  <w:vAlign w:val="center"/>
                </w:tcPr>
                <w:p>
                  <w:pPr>
                    <w:spacing w:line="360" w:lineRule="auto"/>
                    <w:jc w:val="center"/>
                    <w:rPr>
                      <w:szCs w:val="21"/>
                    </w:rPr>
                  </w:pPr>
                  <w:r>
                    <w:rPr>
                      <w:rFonts w:hint="eastAsia"/>
                      <w:szCs w:val="21"/>
                    </w:rPr>
                    <w:t>约10.4万</w:t>
                  </w:r>
                </w:p>
              </w:tc>
              <w:tc>
                <w:tcPr>
                  <w:tcW w:w="1814" w:type="dxa"/>
                  <w:vMerge w:val="continue"/>
                  <w:tcBorders>
                    <w:tl2br w:val="nil"/>
                    <w:tr2bl w:val="nil"/>
                  </w:tcBorders>
                  <w:vAlign w:val="center"/>
                </w:tcPr>
                <w:p>
                  <w:pPr>
                    <w:spacing w:line="360" w:lineRule="auto"/>
                    <w:jc w:val="center"/>
                    <w:rPr>
                      <w:szCs w:val="21"/>
                    </w:rPr>
                  </w:pPr>
                </w:p>
              </w:tc>
            </w:tr>
          </w:tbl>
          <w:p>
            <w:pPr>
              <w:spacing w:line="360" w:lineRule="auto"/>
              <w:ind w:firstLine="470" w:firstLineChars="196"/>
              <w:jc w:val="left"/>
              <w:rPr>
                <w:b/>
                <w:bCs/>
                <w:sz w:val="24"/>
              </w:rPr>
            </w:pPr>
            <w:r>
              <w:rPr>
                <w:b/>
                <w:bCs/>
                <w:sz w:val="24"/>
              </w:rPr>
              <w:t>4、主要生产设备</w:t>
            </w:r>
          </w:p>
          <w:p>
            <w:pPr>
              <w:spacing w:line="360" w:lineRule="auto"/>
              <w:ind w:firstLine="470" w:firstLineChars="196"/>
              <w:rPr>
                <w:bCs/>
                <w:sz w:val="24"/>
              </w:rPr>
            </w:pPr>
            <w:r>
              <w:rPr>
                <w:bCs/>
                <w:sz w:val="24"/>
              </w:rPr>
              <w:t>项目生产设备及配套设施见下表。</w:t>
            </w:r>
          </w:p>
          <w:p>
            <w:pPr>
              <w:spacing w:line="460" w:lineRule="exact"/>
              <w:jc w:val="center"/>
              <w:rPr>
                <w:b/>
                <w:bCs/>
                <w:szCs w:val="21"/>
              </w:rPr>
            </w:pPr>
            <w:r>
              <w:rPr>
                <w:b/>
                <w:bCs/>
                <w:szCs w:val="21"/>
              </w:rPr>
              <w:t>表</w:t>
            </w:r>
            <w:r>
              <w:rPr>
                <w:rFonts w:hint="eastAsia"/>
                <w:b/>
                <w:bCs/>
                <w:szCs w:val="21"/>
              </w:rPr>
              <w:t>6</w:t>
            </w:r>
            <w:r>
              <w:rPr>
                <w:b/>
                <w:bCs/>
                <w:szCs w:val="21"/>
              </w:rPr>
              <w:t xml:space="preserve">  生产设备及配套设施一览表</w:t>
            </w:r>
          </w:p>
          <w:tbl>
            <w:tblPr>
              <w:tblStyle w:val="19"/>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50"/>
              <w:gridCol w:w="4450"/>
              <w:gridCol w:w="1567"/>
              <w:gridCol w:w="15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adjustRightInd w:val="0"/>
                    <w:snapToGrid w:val="0"/>
                    <w:jc w:val="center"/>
                    <w:textAlignment w:val="baseline"/>
                    <w:rPr>
                      <w:snapToGrid w:val="0"/>
                      <w:szCs w:val="21"/>
                    </w:rPr>
                  </w:pPr>
                  <w:r>
                    <w:rPr>
                      <w:snapToGrid w:val="0"/>
                      <w:szCs w:val="21"/>
                    </w:rPr>
                    <w:t>序号</w:t>
                  </w:r>
                </w:p>
              </w:tc>
              <w:tc>
                <w:tcPr>
                  <w:tcW w:w="2461" w:type="pct"/>
                  <w:vAlign w:val="center"/>
                </w:tcPr>
                <w:p>
                  <w:pPr>
                    <w:adjustRightInd w:val="0"/>
                    <w:snapToGrid w:val="0"/>
                    <w:jc w:val="center"/>
                    <w:textAlignment w:val="baseline"/>
                    <w:rPr>
                      <w:snapToGrid w:val="0"/>
                      <w:szCs w:val="21"/>
                    </w:rPr>
                  </w:pPr>
                  <w:r>
                    <w:rPr>
                      <w:snapToGrid w:val="0"/>
                      <w:szCs w:val="21"/>
                    </w:rPr>
                    <w:t>设备名称</w:t>
                  </w:r>
                </w:p>
              </w:tc>
              <w:tc>
                <w:tcPr>
                  <w:tcW w:w="867" w:type="pct"/>
                  <w:vAlign w:val="center"/>
                </w:tcPr>
                <w:p>
                  <w:pPr>
                    <w:adjustRightInd w:val="0"/>
                    <w:snapToGrid w:val="0"/>
                    <w:jc w:val="center"/>
                    <w:textAlignment w:val="baseline"/>
                    <w:rPr>
                      <w:snapToGrid w:val="0"/>
                      <w:szCs w:val="21"/>
                    </w:rPr>
                  </w:pPr>
                  <w:r>
                    <w:rPr>
                      <w:rFonts w:hint="eastAsia"/>
                      <w:snapToGrid w:val="0"/>
                      <w:szCs w:val="21"/>
                    </w:rPr>
                    <w:t>规格</w:t>
                  </w:r>
                </w:p>
              </w:tc>
              <w:tc>
                <w:tcPr>
                  <w:tcW w:w="868" w:type="pct"/>
                  <w:vAlign w:val="center"/>
                </w:tcPr>
                <w:p>
                  <w:pPr>
                    <w:adjustRightInd w:val="0"/>
                    <w:snapToGrid w:val="0"/>
                    <w:jc w:val="center"/>
                    <w:textAlignment w:val="baseline"/>
                    <w:rPr>
                      <w:snapToGrid w:val="0"/>
                      <w:szCs w:val="21"/>
                    </w:rPr>
                  </w:pPr>
                  <w:r>
                    <w:rPr>
                      <w:snapToGrid w:val="0"/>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adjustRightInd w:val="0"/>
                    <w:snapToGrid w:val="0"/>
                    <w:jc w:val="center"/>
                    <w:textAlignment w:val="baseline"/>
                    <w:rPr>
                      <w:snapToGrid w:val="0"/>
                      <w:szCs w:val="21"/>
                    </w:rPr>
                  </w:pPr>
                  <w:r>
                    <w:rPr>
                      <w:snapToGrid w:val="0"/>
                      <w:szCs w:val="21"/>
                    </w:rPr>
                    <w:t>1</w:t>
                  </w:r>
                </w:p>
              </w:tc>
              <w:tc>
                <w:tcPr>
                  <w:tcW w:w="2461" w:type="pct"/>
                  <w:vAlign w:val="center"/>
                </w:tcPr>
                <w:p>
                  <w:pPr>
                    <w:adjustRightInd w:val="0"/>
                    <w:snapToGrid w:val="0"/>
                    <w:jc w:val="center"/>
                    <w:textAlignment w:val="baseline"/>
                    <w:rPr>
                      <w:snapToGrid w:val="0"/>
                      <w:szCs w:val="21"/>
                    </w:rPr>
                  </w:pPr>
                  <w:r>
                    <w:rPr>
                      <w:snapToGrid w:val="0"/>
                      <w:szCs w:val="21"/>
                    </w:rPr>
                    <w:t>反击式破碎机</w:t>
                  </w:r>
                </w:p>
              </w:tc>
              <w:tc>
                <w:tcPr>
                  <w:tcW w:w="867" w:type="pct"/>
                  <w:vAlign w:val="center"/>
                </w:tcPr>
                <w:p>
                  <w:pPr>
                    <w:adjustRightInd w:val="0"/>
                    <w:snapToGrid w:val="0"/>
                    <w:jc w:val="center"/>
                    <w:textAlignment w:val="baseline"/>
                    <w:rPr>
                      <w:snapToGrid w:val="0"/>
                      <w:szCs w:val="21"/>
                    </w:rPr>
                  </w:pPr>
                  <w:r>
                    <w:rPr>
                      <w:rFonts w:hint="eastAsia"/>
                      <w:snapToGrid w:val="0"/>
                      <w:szCs w:val="21"/>
                    </w:rPr>
                    <w:t xml:space="preserve">PF1520 </w:t>
                  </w:r>
                </w:p>
              </w:tc>
              <w:tc>
                <w:tcPr>
                  <w:tcW w:w="868" w:type="pct"/>
                  <w:vAlign w:val="center"/>
                </w:tcPr>
                <w:p>
                  <w:pPr>
                    <w:adjustRightInd w:val="0"/>
                    <w:snapToGrid w:val="0"/>
                    <w:jc w:val="center"/>
                    <w:textAlignment w:val="baseline"/>
                    <w:rPr>
                      <w:snapToGrid w:val="0"/>
                      <w:szCs w:val="21"/>
                    </w:rPr>
                  </w:pPr>
                  <w:r>
                    <w:rPr>
                      <w:rFonts w:hint="eastAsia"/>
                      <w:snapToGrid w:val="0"/>
                      <w:szCs w:val="21"/>
                    </w:rPr>
                    <w:t>2</w:t>
                  </w:r>
                  <w:r>
                    <w:rPr>
                      <w:snapToGrid w:val="0"/>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adjustRightInd w:val="0"/>
                    <w:snapToGrid w:val="0"/>
                    <w:jc w:val="center"/>
                    <w:textAlignment w:val="baseline"/>
                    <w:rPr>
                      <w:snapToGrid w:val="0"/>
                      <w:szCs w:val="21"/>
                    </w:rPr>
                  </w:pPr>
                  <w:r>
                    <w:rPr>
                      <w:snapToGrid w:val="0"/>
                      <w:szCs w:val="21"/>
                    </w:rPr>
                    <w:t>2</w:t>
                  </w:r>
                </w:p>
              </w:tc>
              <w:tc>
                <w:tcPr>
                  <w:tcW w:w="2461" w:type="pct"/>
                  <w:vAlign w:val="center"/>
                </w:tcPr>
                <w:p>
                  <w:pPr>
                    <w:adjustRightInd w:val="0"/>
                    <w:snapToGrid w:val="0"/>
                    <w:jc w:val="center"/>
                    <w:textAlignment w:val="baseline"/>
                    <w:rPr>
                      <w:snapToGrid w:val="0"/>
                      <w:szCs w:val="21"/>
                    </w:rPr>
                  </w:pPr>
                  <w:r>
                    <w:rPr>
                      <w:snapToGrid w:val="0"/>
                      <w:szCs w:val="21"/>
                    </w:rPr>
                    <w:t>冲击式制砂机</w:t>
                  </w:r>
                </w:p>
              </w:tc>
              <w:tc>
                <w:tcPr>
                  <w:tcW w:w="867" w:type="pct"/>
                  <w:vAlign w:val="center"/>
                </w:tcPr>
                <w:p>
                  <w:pPr>
                    <w:adjustRightInd w:val="0"/>
                    <w:snapToGrid w:val="0"/>
                    <w:jc w:val="center"/>
                    <w:textAlignment w:val="baseline"/>
                    <w:rPr>
                      <w:snapToGrid w:val="0"/>
                      <w:szCs w:val="21"/>
                    </w:rPr>
                  </w:pPr>
                  <w:r>
                    <w:rPr>
                      <w:snapToGrid w:val="0"/>
                      <w:szCs w:val="21"/>
                    </w:rPr>
                    <w:t>pC9500</w:t>
                  </w:r>
                </w:p>
              </w:tc>
              <w:tc>
                <w:tcPr>
                  <w:tcW w:w="868" w:type="pct"/>
                  <w:vAlign w:val="center"/>
                </w:tcPr>
                <w:p>
                  <w:pPr>
                    <w:adjustRightInd w:val="0"/>
                    <w:snapToGrid w:val="0"/>
                    <w:jc w:val="center"/>
                    <w:textAlignment w:val="baseline"/>
                    <w:rPr>
                      <w:snapToGrid w:val="0"/>
                      <w:szCs w:val="21"/>
                    </w:rPr>
                  </w:pPr>
                  <w:r>
                    <w:rPr>
                      <w:snapToGrid w:val="0"/>
                      <w:szCs w:val="21"/>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adjustRightInd w:val="0"/>
                    <w:snapToGrid w:val="0"/>
                    <w:jc w:val="center"/>
                    <w:textAlignment w:val="baseline"/>
                    <w:rPr>
                      <w:snapToGrid w:val="0"/>
                      <w:szCs w:val="21"/>
                    </w:rPr>
                  </w:pPr>
                  <w:r>
                    <w:rPr>
                      <w:snapToGrid w:val="0"/>
                      <w:szCs w:val="21"/>
                    </w:rPr>
                    <w:t>3</w:t>
                  </w:r>
                </w:p>
              </w:tc>
              <w:tc>
                <w:tcPr>
                  <w:tcW w:w="2461" w:type="pct"/>
                  <w:vAlign w:val="center"/>
                </w:tcPr>
                <w:p>
                  <w:pPr>
                    <w:adjustRightInd w:val="0"/>
                    <w:snapToGrid w:val="0"/>
                    <w:jc w:val="center"/>
                    <w:textAlignment w:val="baseline"/>
                    <w:rPr>
                      <w:snapToGrid w:val="0"/>
                      <w:szCs w:val="21"/>
                    </w:rPr>
                  </w:pPr>
                  <w:r>
                    <w:rPr>
                      <w:snapToGrid w:val="0"/>
                      <w:szCs w:val="21"/>
                    </w:rPr>
                    <w:t>振动式分筛</w:t>
                  </w:r>
                </w:p>
              </w:tc>
              <w:tc>
                <w:tcPr>
                  <w:tcW w:w="867" w:type="pct"/>
                  <w:vAlign w:val="center"/>
                </w:tcPr>
                <w:p>
                  <w:pPr>
                    <w:adjustRightInd w:val="0"/>
                    <w:snapToGrid w:val="0"/>
                    <w:jc w:val="center"/>
                    <w:textAlignment w:val="baseline"/>
                    <w:rPr>
                      <w:snapToGrid w:val="0"/>
                      <w:szCs w:val="21"/>
                    </w:rPr>
                  </w:pPr>
                  <w:r>
                    <w:rPr>
                      <w:snapToGrid w:val="0"/>
                      <w:szCs w:val="21"/>
                    </w:rPr>
                    <w:t>FD2400*700</w:t>
                  </w:r>
                </w:p>
              </w:tc>
              <w:tc>
                <w:tcPr>
                  <w:tcW w:w="868" w:type="pct"/>
                  <w:vAlign w:val="center"/>
                </w:tcPr>
                <w:p>
                  <w:pPr>
                    <w:adjustRightInd w:val="0"/>
                    <w:snapToGrid w:val="0"/>
                    <w:jc w:val="center"/>
                    <w:textAlignment w:val="baseline"/>
                    <w:rPr>
                      <w:snapToGrid w:val="0"/>
                      <w:szCs w:val="21"/>
                    </w:rPr>
                  </w:pPr>
                  <w:r>
                    <w:rPr>
                      <w:rFonts w:hint="eastAsia"/>
                      <w:snapToGrid w:val="0"/>
                      <w:szCs w:val="21"/>
                    </w:rPr>
                    <w:t>5</w:t>
                  </w:r>
                  <w:r>
                    <w:rPr>
                      <w:snapToGrid w:val="0"/>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adjustRightInd w:val="0"/>
                    <w:snapToGrid w:val="0"/>
                    <w:jc w:val="center"/>
                    <w:textAlignment w:val="baseline"/>
                    <w:rPr>
                      <w:snapToGrid w:val="0"/>
                      <w:szCs w:val="21"/>
                    </w:rPr>
                  </w:pPr>
                  <w:r>
                    <w:rPr>
                      <w:rFonts w:hint="eastAsia"/>
                      <w:snapToGrid w:val="0"/>
                      <w:szCs w:val="21"/>
                    </w:rPr>
                    <w:t>4</w:t>
                  </w:r>
                </w:p>
              </w:tc>
              <w:tc>
                <w:tcPr>
                  <w:tcW w:w="2461" w:type="pct"/>
                  <w:vAlign w:val="center"/>
                </w:tcPr>
                <w:p>
                  <w:pPr>
                    <w:adjustRightInd w:val="0"/>
                    <w:snapToGrid w:val="0"/>
                    <w:jc w:val="center"/>
                    <w:textAlignment w:val="baseline"/>
                    <w:rPr>
                      <w:snapToGrid w:val="0"/>
                      <w:szCs w:val="21"/>
                    </w:rPr>
                  </w:pPr>
                  <w:r>
                    <w:rPr>
                      <w:rFonts w:hint="eastAsia"/>
                      <w:snapToGrid w:val="0"/>
                      <w:szCs w:val="21"/>
                    </w:rPr>
                    <w:t>皮带给料机</w:t>
                  </w:r>
                </w:p>
              </w:tc>
              <w:tc>
                <w:tcPr>
                  <w:tcW w:w="867" w:type="pct"/>
                  <w:vAlign w:val="center"/>
                </w:tcPr>
                <w:p>
                  <w:pPr>
                    <w:adjustRightInd w:val="0"/>
                    <w:snapToGrid w:val="0"/>
                    <w:jc w:val="center"/>
                    <w:textAlignment w:val="baseline"/>
                    <w:rPr>
                      <w:snapToGrid w:val="0"/>
                      <w:szCs w:val="21"/>
                    </w:rPr>
                  </w:pPr>
                  <w:r>
                    <w:rPr>
                      <w:rFonts w:hint="eastAsia"/>
                      <w:snapToGrid w:val="0"/>
                      <w:szCs w:val="21"/>
                    </w:rPr>
                    <w:t>/</w:t>
                  </w:r>
                </w:p>
              </w:tc>
              <w:tc>
                <w:tcPr>
                  <w:tcW w:w="868" w:type="pct"/>
                  <w:vAlign w:val="center"/>
                </w:tcPr>
                <w:p>
                  <w:pPr>
                    <w:adjustRightInd w:val="0"/>
                    <w:snapToGrid w:val="0"/>
                    <w:jc w:val="center"/>
                    <w:textAlignment w:val="baseline"/>
                    <w:rPr>
                      <w:snapToGrid w:val="0"/>
                      <w:szCs w:val="21"/>
                    </w:rPr>
                  </w:pPr>
                  <w:r>
                    <w:rPr>
                      <w:rFonts w:hint="eastAsia"/>
                      <w:snapToGrid w:val="0"/>
                      <w:szCs w:val="21"/>
                    </w:rPr>
                    <w:t>2台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adjustRightInd w:val="0"/>
                    <w:snapToGrid w:val="0"/>
                    <w:jc w:val="center"/>
                    <w:textAlignment w:val="baseline"/>
                    <w:rPr>
                      <w:snapToGrid w:val="0"/>
                      <w:szCs w:val="21"/>
                    </w:rPr>
                  </w:pPr>
                  <w:r>
                    <w:rPr>
                      <w:rFonts w:hint="eastAsia"/>
                      <w:snapToGrid w:val="0"/>
                      <w:szCs w:val="21"/>
                    </w:rPr>
                    <w:t>5</w:t>
                  </w:r>
                </w:p>
              </w:tc>
              <w:tc>
                <w:tcPr>
                  <w:tcW w:w="2461" w:type="pct"/>
                  <w:vAlign w:val="center"/>
                </w:tcPr>
                <w:p>
                  <w:pPr>
                    <w:adjustRightInd w:val="0"/>
                    <w:snapToGrid w:val="0"/>
                    <w:jc w:val="center"/>
                    <w:textAlignment w:val="baseline"/>
                    <w:rPr>
                      <w:snapToGrid w:val="0"/>
                      <w:szCs w:val="21"/>
                    </w:rPr>
                  </w:pPr>
                  <w:r>
                    <w:rPr>
                      <w:rFonts w:hint="eastAsia"/>
                      <w:snapToGrid w:val="0"/>
                      <w:szCs w:val="21"/>
                    </w:rPr>
                    <w:t>装载车</w:t>
                  </w:r>
                </w:p>
              </w:tc>
              <w:tc>
                <w:tcPr>
                  <w:tcW w:w="867" w:type="pct"/>
                  <w:vAlign w:val="center"/>
                </w:tcPr>
                <w:p>
                  <w:pPr>
                    <w:adjustRightInd w:val="0"/>
                    <w:snapToGrid w:val="0"/>
                    <w:jc w:val="center"/>
                    <w:textAlignment w:val="baseline"/>
                    <w:rPr>
                      <w:snapToGrid w:val="0"/>
                      <w:szCs w:val="21"/>
                    </w:rPr>
                  </w:pPr>
                  <w:r>
                    <w:rPr>
                      <w:rFonts w:hint="eastAsia"/>
                      <w:snapToGrid w:val="0"/>
                      <w:szCs w:val="21"/>
                    </w:rPr>
                    <w:t>/</w:t>
                  </w:r>
                </w:p>
              </w:tc>
              <w:tc>
                <w:tcPr>
                  <w:tcW w:w="868" w:type="pct"/>
                  <w:vAlign w:val="center"/>
                </w:tcPr>
                <w:p>
                  <w:pPr>
                    <w:adjustRightInd w:val="0"/>
                    <w:snapToGrid w:val="0"/>
                    <w:jc w:val="center"/>
                    <w:textAlignment w:val="baseline"/>
                    <w:rPr>
                      <w:snapToGrid w:val="0"/>
                      <w:szCs w:val="21"/>
                    </w:rPr>
                  </w:pPr>
                  <w:r>
                    <w:rPr>
                      <w:rFonts w:hint="eastAsia"/>
                      <w:snapToGrid w:val="0"/>
                      <w:szCs w:val="21"/>
                    </w:rPr>
                    <w:t>2台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jc w:val="center"/>
                    <w:rPr>
                      <w:snapToGrid w:val="0"/>
                      <w:szCs w:val="21"/>
                    </w:rPr>
                  </w:pPr>
                  <w:r>
                    <w:rPr>
                      <w:bCs/>
                      <w:szCs w:val="21"/>
                    </w:rPr>
                    <w:t>6</w:t>
                  </w:r>
                </w:p>
              </w:tc>
              <w:tc>
                <w:tcPr>
                  <w:tcW w:w="2461" w:type="pct"/>
                  <w:vAlign w:val="center"/>
                </w:tcPr>
                <w:p>
                  <w:pPr>
                    <w:jc w:val="center"/>
                    <w:rPr>
                      <w:snapToGrid w:val="0"/>
                      <w:szCs w:val="21"/>
                    </w:rPr>
                  </w:pPr>
                  <w:r>
                    <w:rPr>
                      <w:rFonts w:hint="eastAsia"/>
                      <w:bCs/>
                      <w:szCs w:val="21"/>
                    </w:rPr>
                    <w:t>皮带</w:t>
                  </w:r>
                  <w:r>
                    <w:rPr>
                      <w:bCs/>
                      <w:szCs w:val="21"/>
                    </w:rPr>
                    <w:t>运输</w:t>
                  </w:r>
                  <w:r>
                    <w:rPr>
                      <w:rFonts w:hint="eastAsia"/>
                      <w:bCs/>
                      <w:szCs w:val="21"/>
                    </w:rPr>
                    <w:t>系统</w:t>
                  </w:r>
                </w:p>
              </w:tc>
              <w:tc>
                <w:tcPr>
                  <w:tcW w:w="867" w:type="pct"/>
                  <w:vAlign w:val="center"/>
                </w:tcPr>
                <w:p>
                  <w:pPr>
                    <w:jc w:val="center"/>
                    <w:rPr>
                      <w:snapToGrid w:val="0"/>
                      <w:szCs w:val="21"/>
                    </w:rPr>
                  </w:pPr>
                  <w:r>
                    <w:rPr>
                      <w:rFonts w:hint="eastAsia"/>
                      <w:bCs/>
                      <w:szCs w:val="21"/>
                    </w:rPr>
                    <w:t>/</w:t>
                  </w:r>
                </w:p>
              </w:tc>
              <w:tc>
                <w:tcPr>
                  <w:tcW w:w="868" w:type="pct"/>
                  <w:vAlign w:val="center"/>
                </w:tcPr>
                <w:p>
                  <w:pPr>
                    <w:jc w:val="center"/>
                    <w:rPr>
                      <w:snapToGrid w:val="0"/>
                      <w:szCs w:val="21"/>
                    </w:rPr>
                  </w:pPr>
                  <w:r>
                    <w:rPr>
                      <w:rFonts w:hint="eastAsia"/>
                      <w:bCs/>
                      <w:szCs w:val="21"/>
                    </w:rPr>
                    <w:t>3套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jc w:val="center"/>
                    <w:rPr>
                      <w:bCs/>
                      <w:szCs w:val="21"/>
                    </w:rPr>
                  </w:pPr>
                  <w:r>
                    <w:rPr>
                      <w:rFonts w:hint="eastAsia"/>
                      <w:bCs/>
                      <w:szCs w:val="21"/>
                    </w:rPr>
                    <w:t>7</w:t>
                  </w:r>
                </w:p>
              </w:tc>
              <w:tc>
                <w:tcPr>
                  <w:tcW w:w="2461" w:type="pct"/>
                  <w:vAlign w:val="center"/>
                </w:tcPr>
                <w:p>
                  <w:pPr>
                    <w:jc w:val="center"/>
                    <w:rPr>
                      <w:bCs/>
                      <w:szCs w:val="21"/>
                    </w:rPr>
                  </w:pPr>
                  <w:r>
                    <w:rPr>
                      <w:rFonts w:hint="eastAsia"/>
                      <w:bCs/>
                      <w:szCs w:val="21"/>
                    </w:rPr>
                    <w:t>集气罩</w:t>
                  </w:r>
                </w:p>
              </w:tc>
              <w:tc>
                <w:tcPr>
                  <w:tcW w:w="867" w:type="pct"/>
                  <w:vAlign w:val="center"/>
                </w:tcPr>
                <w:p>
                  <w:pPr>
                    <w:jc w:val="center"/>
                    <w:rPr>
                      <w:bCs/>
                      <w:szCs w:val="21"/>
                    </w:rPr>
                  </w:pPr>
                  <w:r>
                    <w:rPr>
                      <w:rFonts w:hint="eastAsia"/>
                      <w:bCs/>
                      <w:szCs w:val="21"/>
                    </w:rPr>
                    <w:t>/</w:t>
                  </w:r>
                </w:p>
              </w:tc>
              <w:tc>
                <w:tcPr>
                  <w:tcW w:w="868" w:type="pct"/>
                  <w:vAlign w:val="center"/>
                </w:tcPr>
                <w:p>
                  <w:pPr>
                    <w:jc w:val="center"/>
                    <w:rPr>
                      <w:bCs/>
                      <w:szCs w:val="21"/>
                    </w:rPr>
                  </w:pPr>
                  <w:r>
                    <w:rPr>
                      <w:rFonts w:hint="eastAsia"/>
                      <w:bCs/>
                      <w:szCs w:val="21"/>
                    </w:rPr>
                    <w:t>3套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802" w:type="pct"/>
                  <w:vAlign w:val="center"/>
                </w:tcPr>
                <w:p>
                  <w:pPr>
                    <w:jc w:val="center"/>
                    <w:rPr>
                      <w:snapToGrid w:val="0"/>
                      <w:szCs w:val="21"/>
                    </w:rPr>
                  </w:pPr>
                  <w:r>
                    <w:rPr>
                      <w:bCs/>
                      <w:szCs w:val="21"/>
                    </w:rPr>
                    <w:t>7</w:t>
                  </w:r>
                </w:p>
              </w:tc>
              <w:tc>
                <w:tcPr>
                  <w:tcW w:w="2461" w:type="pct"/>
                  <w:vAlign w:val="center"/>
                </w:tcPr>
                <w:p>
                  <w:pPr>
                    <w:jc w:val="center"/>
                    <w:rPr>
                      <w:snapToGrid w:val="0"/>
                      <w:szCs w:val="21"/>
                    </w:rPr>
                  </w:pPr>
                  <w:r>
                    <w:rPr>
                      <w:bCs/>
                      <w:szCs w:val="21"/>
                    </w:rPr>
                    <w:t>布袋除尘器</w:t>
                  </w:r>
                </w:p>
              </w:tc>
              <w:tc>
                <w:tcPr>
                  <w:tcW w:w="867" w:type="pct"/>
                  <w:vAlign w:val="center"/>
                </w:tcPr>
                <w:p>
                  <w:pPr>
                    <w:jc w:val="center"/>
                    <w:rPr>
                      <w:snapToGrid w:val="0"/>
                      <w:szCs w:val="21"/>
                    </w:rPr>
                  </w:pPr>
                  <w:r>
                    <w:rPr>
                      <w:rFonts w:hint="eastAsia"/>
                      <w:bCs/>
                      <w:szCs w:val="21"/>
                    </w:rPr>
                    <w:t>/</w:t>
                  </w:r>
                </w:p>
              </w:tc>
              <w:tc>
                <w:tcPr>
                  <w:tcW w:w="868" w:type="pct"/>
                  <w:vAlign w:val="center"/>
                </w:tcPr>
                <w:p>
                  <w:pPr>
                    <w:jc w:val="center"/>
                    <w:rPr>
                      <w:snapToGrid w:val="0"/>
                      <w:szCs w:val="21"/>
                    </w:rPr>
                  </w:pPr>
                  <w:r>
                    <w:rPr>
                      <w:rFonts w:hint="eastAsia"/>
                      <w:bCs/>
                      <w:szCs w:val="21"/>
                    </w:rPr>
                    <w:t>1</w:t>
                  </w:r>
                  <w:r>
                    <w:rPr>
                      <w:bCs/>
                      <w:szCs w:val="21"/>
                    </w:rPr>
                    <w:t>套</w:t>
                  </w:r>
                </w:p>
              </w:tc>
            </w:tr>
          </w:tbl>
          <w:p>
            <w:pPr>
              <w:spacing w:before="156" w:beforeLines="50" w:line="360" w:lineRule="auto"/>
              <w:ind w:firstLine="480" w:firstLineChars="200"/>
              <w:jc w:val="left"/>
              <w:rPr>
                <w:b/>
                <w:bCs/>
                <w:sz w:val="24"/>
              </w:rPr>
            </w:pPr>
            <w:r>
              <w:rPr>
                <w:b/>
                <w:bCs/>
                <w:sz w:val="24"/>
              </w:rPr>
              <w:t>5、项目生产使用的原辅材料及</w:t>
            </w:r>
            <w:r>
              <w:rPr>
                <w:b/>
                <w:bCs/>
                <w:kern w:val="44"/>
                <w:sz w:val="24"/>
              </w:rPr>
              <w:t>能源用量</w:t>
            </w:r>
          </w:p>
          <w:p>
            <w:pPr>
              <w:spacing w:line="360" w:lineRule="auto"/>
              <w:ind w:firstLine="470" w:firstLineChars="196"/>
              <w:rPr>
                <w:bCs/>
                <w:sz w:val="24"/>
              </w:rPr>
            </w:pPr>
            <w:r>
              <w:rPr>
                <w:bCs/>
                <w:sz w:val="24"/>
              </w:rPr>
              <w:t>本项目</w:t>
            </w:r>
            <w:r>
              <w:rPr>
                <w:rFonts w:hint="eastAsia"/>
                <w:bCs/>
                <w:sz w:val="24"/>
              </w:rPr>
              <w:t>生产矿物原料粉，</w:t>
            </w:r>
            <w:r>
              <w:rPr>
                <w:bCs/>
                <w:sz w:val="24"/>
              </w:rPr>
              <w:t>主要原辅材料及能源消耗量见表</w:t>
            </w:r>
            <w:r>
              <w:rPr>
                <w:rFonts w:hint="eastAsia"/>
                <w:bCs/>
                <w:sz w:val="24"/>
              </w:rPr>
              <w:t>7</w:t>
            </w:r>
            <w:r>
              <w:rPr>
                <w:bCs/>
                <w:sz w:val="24"/>
              </w:rPr>
              <w:t>。</w:t>
            </w:r>
          </w:p>
          <w:p>
            <w:pPr>
              <w:spacing w:line="360" w:lineRule="auto"/>
              <w:jc w:val="center"/>
              <w:rPr>
                <w:b/>
                <w:bCs/>
                <w:szCs w:val="21"/>
              </w:rPr>
            </w:pPr>
            <w:r>
              <w:rPr>
                <w:b/>
                <w:bCs/>
                <w:szCs w:val="21"/>
              </w:rPr>
              <w:t>表</w:t>
            </w:r>
            <w:r>
              <w:rPr>
                <w:rFonts w:hint="eastAsia"/>
                <w:b/>
                <w:bCs/>
                <w:szCs w:val="21"/>
              </w:rPr>
              <w:t>7</w:t>
            </w:r>
            <w:r>
              <w:rPr>
                <w:b/>
                <w:bCs/>
                <w:szCs w:val="21"/>
              </w:rPr>
              <w:t xml:space="preserve">  项目生产主要原辅材料及能源消耗量一览表</w:t>
            </w:r>
          </w:p>
          <w:tbl>
            <w:tblPr>
              <w:tblStyle w:val="19"/>
              <w:tblW w:w="498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091"/>
              <w:gridCol w:w="1444"/>
              <w:gridCol w:w="3093"/>
              <w:gridCol w:w="3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05" w:type="pct"/>
                  <w:vAlign w:val="center"/>
                </w:tcPr>
                <w:p>
                  <w:pPr>
                    <w:ind w:firstLine="10" w:firstLineChars="5"/>
                    <w:jc w:val="center"/>
                    <w:rPr>
                      <w:szCs w:val="21"/>
                    </w:rPr>
                  </w:pPr>
                  <w:r>
                    <w:rPr>
                      <w:szCs w:val="21"/>
                    </w:rPr>
                    <w:t>序号</w:t>
                  </w:r>
                </w:p>
              </w:tc>
              <w:tc>
                <w:tcPr>
                  <w:tcW w:w="801" w:type="pct"/>
                  <w:vAlign w:val="center"/>
                </w:tcPr>
                <w:p>
                  <w:pPr>
                    <w:ind w:firstLine="10" w:firstLineChars="5"/>
                    <w:jc w:val="center"/>
                    <w:rPr>
                      <w:szCs w:val="21"/>
                    </w:rPr>
                  </w:pPr>
                  <w:r>
                    <w:rPr>
                      <w:szCs w:val="21"/>
                    </w:rPr>
                    <w:t>名称</w:t>
                  </w:r>
                </w:p>
              </w:tc>
              <w:tc>
                <w:tcPr>
                  <w:tcW w:w="1716" w:type="pct"/>
                  <w:vAlign w:val="center"/>
                </w:tcPr>
                <w:p>
                  <w:pPr>
                    <w:ind w:firstLine="10" w:firstLineChars="5"/>
                    <w:jc w:val="center"/>
                    <w:rPr>
                      <w:szCs w:val="21"/>
                    </w:rPr>
                  </w:pPr>
                  <w:r>
                    <w:rPr>
                      <w:rFonts w:hint="eastAsia"/>
                      <w:szCs w:val="21"/>
                    </w:rPr>
                    <w:t>来源</w:t>
                  </w:r>
                </w:p>
              </w:tc>
              <w:tc>
                <w:tcPr>
                  <w:tcW w:w="1875" w:type="pct"/>
                  <w:vAlign w:val="center"/>
                </w:tcPr>
                <w:p>
                  <w:pPr>
                    <w:ind w:firstLine="10" w:firstLineChars="5"/>
                    <w:jc w:val="center"/>
                    <w:rPr>
                      <w:szCs w:val="21"/>
                    </w:rPr>
                  </w:pPr>
                  <w:r>
                    <w:rPr>
                      <w:szCs w:val="21"/>
                    </w:rPr>
                    <w:t>用量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05" w:type="pct"/>
                  <w:vAlign w:val="center"/>
                </w:tcPr>
                <w:p>
                  <w:pPr>
                    <w:jc w:val="center"/>
                    <w:rPr>
                      <w:szCs w:val="21"/>
                    </w:rPr>
                  </w:pPr>
                  <w:r>
                    <w:rPr>
                      <w:szCs w:val="21"/>
                    </w:rPr>
                    <w:t>1</w:t>
                  </w:r>
                </w:p>
              </w:tc>
              <w:tc>
                <w:tcPr>
                  <w:tcW w:w="801" w:type="pct"/>
                  <w:vAlign w:val="center"/>
                </w:tcPr>
                <w:p>
                  <w:pPr>
                    <w:ind w:firstLine="10" w:firstLineChars="5"/>
                    <w:jc w:val="center"/>
                    <w:rPr>
                      <w:kern w:val="0"/>
                      <w:szCs w:val="21"/>
                    </w:rPr>
                  </w:pPr>
                  <w:r>
                    <w:rPr>
                      <w:rFonts w:hint="eastAsia"/>
                      <w:kern w:val="0"/>
                      <w:szCs w:val="21"/>
                    </w:rPr>
                    <w:t>固体废弃物</w:t>
                  </w:r>
                </w:p>
              </w:tc>
              <w:tc>
                <w:tcPr>
                  <w:tcW w:w="1716" w:type="pct"/>
                  <w:vAlign w:val="center"/>
                </w:tcPr>
                <w:p>
                  <w:pPr>
                    <w:adjustRightInd w:val="0"/>
                    <w:snapToGrid w:val="0"/>
                    <w:jc w:val="center"/>
                    <w:textAlignment w:val="baseline"/>
                    <w:rPr>
                      <w:snapToGrid w:val="0"/>
                      <w:szCs w:val="21"/>
                    </w:rPr>
                  </w:pPr>
                  <w:r>
                    <w:rPr>
                      <w:rFonts w:hint="eastAsia"/>
                      <w:snapToGrid w:val="0"/>
                      <w:szCs w:val="21"/>
                    </w:rPr>
                    <w:t>来源于当地河道清淤、清沙工程</w:t>
                  </w:r>
                </w:p>
              </w:tc>
              <w:tc>
                <w:tcPr>
                  <w:tcW w:w="1875" w:type="pct"/>
                  <w:vAlign w:val="center"/>
                </w:tcPr>
                <w:p>
                  <w:pPr>
                    <w:adjustRightInd w:val="0"/>
                    <w:snapToGrid w:val="0"/>
                    <w:jc w:val="center"/>
                    <w:textAlignment w:val="baseline"/>
                    <w:rPr>
                      <w:snapToGrid w:val="0"/>
                      <w:szCs w:val="21"/>
                    </w:rPr>
                  </w:pPr>
                  <w:r>
                    <w:rPr>
                      <w:rFonts w:hint="eastAsia"/>
                      <w:snapToGrid w:val="0"/>
                      <w:szCs w:val="21"/>
                    </w:rPr>
                    <w:t>26</w:t>
                  </w:r>
                  <w:r>
                    <w:rPr>
                      <w:snapToGrid w:val="0"/>
                      <w:szCs w:val="21"/>
                    </w:rPr>
                    <w:t>万</w:t>
                  </w:r>
                  <w:r>
                    <w:rPr>
                      <w:rFonts w:hint="eastAsia"/>
                      <w:snapToGrid w:val="0"/>
                      <w:szCs w:val="21"/>
                    </w:rPr>
                    <w:t>t</w:t>
                  </w:r>
                  <w:r>
                    <w:rPr>
                      <w:snapToGrid w:val="0"/>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05" w:type="pct"/>
                  <w:vAlign w:val="center"/>
                </w:tcPr>
                <w:p>
                  <w:pPr>
                    <w:jc w:val="center"/>
                    <w:rPr>
                      <w:szCs w:val="21"/>
                    </w:rPr>
                  </w:pPr>
                  <w:r>
                    <w:rPr>
                      <w:rFonts w:hint="eastAsia"/>
                      <w:szCs w:val="21"/>
                    </w:rPr>
                    <w:t>2</w:t>
                  </w:r>
                </w:p>
              </w:tc>
              <w:tc>
                <w:tcPr>
                  <w:tcW w:w="801" w:type="pct"/>
                  <w:vAlign w:val="center"/>
                </w:tcPr>
                <w:p>
                  <w:pPr>
                    <w:ind w:firstLine="10" w:firstLineChars="5"/>
                    <w:jc w:val="center"/>
                    <w:rPr>
                      <w:kern w:val="0"/>
                      <w:szCs w:val="21"/>
                    </w:rPr>
                  </w:pPr>
                  <w:r>
                    <w:rPr>
                      <w:szCs w:val="21"/>
                    </w:rPr>
                    <w:t>电</w:t>
                  </w:r>
                </w:p>
              </w:tc>
              <w:tc>
                <w:tcPr>
                  <w:tcW w:w="1716" w:type="pct"/>
                  <w:vAlign w:val="center"/>
                </w:tcPr>
                <w:p>
                  <w:pPr>
                    <w:adjustRightInd w:val="0"/>
                    <w:snapToGrid w:val="0"/>
                    <w:jc w:val="center"/>
                    <w:textAlignment w:val="baseline"/>
                    <w:rPr>
                      <w:snapToGrid w:val="0"/>
                      <w:szCs w:val="21"/>
                    </w:rPr>
                  </w:pPr>
                  <w:r>
                    <w:rPr>
                      <w:rFonts w:hint="eastAsia"/>
                      <w:snapToGrid w:val="0"/>
                      <w:szCs w:val="21"/>
                    </w:rPr>
                    <w:t>区域电网</w:t>
                  </w:r>
                </w:p>
              </w:tc>
              <w:tc>
                <w:tcPr>
                  <w:tcW w:w="1875" w:type="pct"/>
                  <w:vAlign w:val="center"/>
                </w:tcPr>
                <w:p>
                  <w:pPr>
                    <w:adjustRightInd w:val="0"/>
                    <w:snapToGrid w:val="0"/>
                    <w:jc w:val="center"/>
                    <w:textAlignment w:val="baseline"/>
                    <w:rPr>
                      <w:snapToGrid w:val="0"/>
                      <w:szCs w:val="21"/>
                    </w:rPr>
                  </w:pPr>
                  <w:r>
                    <w:rPr>
                      <w:rFonts w:hint="eastAsia"/>
                      <w:snapToGrid w:val="0"/>
                      <w:szCs w:val="21"/>
                    </w:rPr>
                    <w:t>8</w:t>
                  </w:r>
                  <w:r>
                    <w:rPr>
                      <w:snapToGrid w:val="0"/>
                      <w:szCs w:val="21"/>
                    </w:rPr>
                    <w:t>万kw·h/a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605" w:type="pct"/>
                  <w:vAlign w:val="center"/>
                </w:tcPr>
                <w:p>
                  <w:pPr>
                    <w:jc w:val="center"/>
                    <w:rPr>
                      <w:szCs w:val="21"/>
                    </w:rPr>
                  </w:pPr>
                  <w:r>
                    <w:rPr>
                      <w:rFonts w:hint="eastAsia"/>
                      <w:szCs w:val="21"/>
                    </w:rPr>
                    <w:t>3</w:t>
                  </w:r>
                </w:p>
              </w:tc>
              <w:tc>
                <w:tcPr>
                  <w:tcW w:w="801" w:type="pct"/>
                  <w:vAlign w:val="center"/>
                </w:tcPr>
                <w:p>
                  <w:pPr>
                    <w:ind w:firstLine="10" w:firstLineChars="5"/>
                    <w:jc w:val="center"/>
                    <w:rPr>
                      <w:szCs w:val="21"/>
                    </w:rPr>
                  </w:pPr>
                  <w:r>
                    <w:rPr>
                      <w:szCs w:val="21"/>
                    </w:rPr>
                    <w:t>水</w:t>
                  </w:r>
                </w:p>
              </w:tc>
              <w:tc>
                <w:tcPr>
                  <w:tcW w:w="1716" w:type="pct"/>
                  <w:vAlign w:val="center"/>
                </w:tcPr>
                <w:p>
                  <w:pPr>
                    <w:adjustRightInd w:val="0"/>
                    <w:snapToGrid w:val="0"/>
                    <w:jc w:val="center"/>
                    <w:textAlignment w:val="baseline"/>
                    <w:rPr>
                      <w:snapToGrid w:val="0"/>
                      <w:szCs w:val="21"/>
                    </w:rPr>
                  </w:pPr>
                  <w:r>
                    <w:rPr>
                      <w:rFonts w:hint="eastAsia"/>
                      <w:snapToGrid w:val="0"/>
                      <w:szCs w:val="21"/>
                    </w:rPr>
                    <w:t>自来水</w:t>
                  </w:r>
                </w:p>
              </w:tc>
              <w:tc>
                <w:tcPr>
                  <w:tcW w:w="1875" w:type="pct"/>
                  <w:vAlign w:val="center"/>
                </w:tcPr>
                <w:p>
                  <w:pPr>
                    <w:adjustRightInd w:val="0"/>
                    <w:snapToGrid w:val="0"/>
                    <w:jc w:val="center"/>
                    <w:textAlignment w:val="baseline"/>
                    <w:rPr>
                      <w:snapToGrid w:val="0"/>
                      <w:szCs w:val="21"/>
                    </w:rPr>
                  </w:pPr>
                  <w:r>
                    <w:rPr>
                      <w:rFonts w:hint="eastAsia"/>
                      <w:snapToGrid w:val="0"/>
                      <w:szCs w:val="21"/>
                    </w:rPr>
                    <w:t>3213</w:t>
                  </w:r>
                  <w:r>
                    <w:rPr>
                      <w:snapToGrid w:val="0"/>
                      <w:szCs w:val="21"/>
                    </w:rPr>
                    <w:t>m</w:t>
                  </w:r>
                  <w:r>
                    <w:rPr>
                      <w:snapToGrid w:val="0"/>
                      <w:szCs w:val="21"/>
                      <w:vertAlign w:val="superscript"/>
                    </w:rPr>
                    <w:t>3</w:t>
                  </w:r>
                  <w:r>
                    <w:rPr>
                      <w:snapToGrid w:val="0"/>
                      <w:szCs w:val="21"/>
                    </w:rPr>
                    <w:t>/a，</w:t>
                  </w:r>
                  <w:r>
                    <w:rPr>
                      <w:rFonts w:hint="eastAsia"/>
                      <w:snapToGrid w:val="0"/>
                      <w:szCs w:val="21"/>
                    </w:rPr>
                    <w:t>自来水</w:t>
                  </w:r>
                </w:p>
              </w:tc>
            </w:tr>
          </w:tbl>
          <w:p>
            <w:pPr>
              <w:spacing w:line="480" w:lineRule="exact"/>
              <w:ind w:right="210" w:rightChars="100" w:firstLine="588" w:firstLineChars="245"/>
              <w:jc w:val="left"/>
              <w:rPr>
                <w:b/>
                <w:bCs/>
                <w:kern w:val="44"/>
                <w:sz w:val="24"/>
              </w:rPr>
            </w:pPr>
            <w:r>
              <w:rPr>
                <w:b/>
                <w:bCs/>
                <w:kern w:val="44"/>
                <w:sz w:val="24"/>
              </w:rPr>
              <w:t>6、工作制度及职工人数</w:t>
            </w:r>
          </w:p>
          <w:p>
            <w:pPr>
              <w:spacing w:line="360" w:lineRule="auto"/>
              <w:ind w:firstLine="512" w:firstLineChars="200"/>
              <w:rPr>
                <w:spacing w:val="8"/>
                <w:sz w:val="24"/>
              </w:rPr>
            </w:pPr>
            <w:r>
              <w:rPr>
                <w:spacing w:val="8"/>
                <w:sz w:val="24"/>
              </w:rPr>
              <w:t>本项目运行期共设置</w:t>
            </w:r>
            <w:r>
              <w:rPr>
                <w:rFonts w:hint="eastAsia"/>
                <w:spacing w:val="8"/>
                <w:sz w:val="24"/>
              </w:rPr>
              <w:t>生产</w:t>
            </w:r>
            <w:r>
              <w:rPr>
                <w:spacing w:val="8"/>
                <w:sz w:val="24"/>
              </w:rPr>
              <w:t>员工</w:t>
            </w:r>
            <w:r>
              <w:rPr>
                <w:rFonts w:hint="eastAsia"/>
                <w:spacing w:val="8"/>
                <w:sz w:val="24"/>
              </w:rPr>
              <w:t>6</w:t>
            </w:r>
            <w:r>
              <w:rPr>
                <w:spacing w:val="8"/>
                <w:sz w:val="24"/>
              </w:rPr>
              <w:t>人，年运行</w:t>
            </w:r>
            <w:r>
              <w:rPr>
                <w:rFonts w:hint="eastAsia"/>
                <w:spacing w:val="8"/>
                <w:sz w:val="24"/>
              </w:rPr>
              <w:t>300</w:t>
            </w:r>
            <w:r>
              <w:rPr>
                <w:spacing w:val="8"/>
                <w:sz w:val="24"/>
              </w:rPr>
              <w:t>d，实行八小时工作制，夜间不生产。</w:t>
            </w:r>
          </w:p>
          <w:p>
            <w:pPr>
              <w:spacing w:line="360" w:lineRule="auto"/>
              <w:ind w:right="210" w:rightChars="100" w:firstLine="588" w:firstLineChars="245"/>
              <w:jc w:val="left"/>
              <w:rPr>
                <w:b/>
                <w:bCs/>
                <w:kern w:val="44"/>
                <w:sz w:val="24"/>
              </w:rPr>
            </w:pPr>
            <w:r>
              <w:rPr>
                <w:b/>
                <w:bCs/>
                <w:kern w:val="44"/>
                <w:sz w:val="24"/>
              </w:rPr>
              <w:t>7、公用工程</w:t>
            </w:r>
          </w:p>
          <w:p>
            <w:pPr>
              <w:tabs>
                <w:tab w:val="left" w:pos="426"/>
              </w:tabs>
              <w:spacing w:line="360" w:lineRule="auto"/>
              <w:ind w:firstLine="600"/>
              <w:rPr>
                <w:sz w:val="24"/>
              </w:rPr>
            </w:pPr>
            <w:r>
              <w:rPr>
                <w:sz w:val="24"/>
              </w:rPr>
              <w:t>（1）给排水</w:t>
            </w:r>
          </w:p>
          <w:p>
            <w:pPr>
              <w:tabs>
                <w:tab w:val="left" w:pos="426"/>
              </w:tabs>
              <w:spacing w:line="360" w:lineRule="auto"/>
              <w:ind w:firstLine="600"/>
              <w:rPr>
                <w:sz w:val="24"/>
              </w:rPr>
            </w:pP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给水</w:t>
            </w:r>
          </w:p>
          <w:p>
            <w:pPr>
              <w:tabs>
                <w:tab w:val="left" w:pos="426"/>
              </w:tabs>
              <w:spacing w:line="360" w:lineRule="auto"/>
              <w:ind w:firstLine="600"/>
              <w:rPr>
                <w:kern w:val="0"/>
                <w:sz w:val="24"/>
              </w:rPr>
            </w:pPr>
            <w:r>
              <w:rPr>
                <w:kern w:val="0"/>
                <w:sz w:val="24"/>
              </w:rPr>
              <w:t>本项目用水主要为车辆冲洗用水</w:t>
            </w:r>
            <w:r>
              <w:rPr>
                <w:rFonts w:hint="eastAsia"/>
                <w:kern w:val="0"/>
                <w:sz w:val="24"/>
              </w:rPr>
              <w:t>、</w:t>
            </w:r>
            <w:r>
              <w:rPr>
                <w:kern w:val="0"/>
                <w:sz w:val="24"/>
              </w:rPr>
              <w:t>喷淋用水</w:t>
            </w:r>
            <w:r>
              <w:rPr>
                <w:rFonts w:hint="eastAsia"/>
                <w:kern w:val="0"/>
                <w:sz w:val="24"/>
              </w:rPr>
              <w:t>、道路降尘用水、员工生活用水（无食宿）和绿化用水。</w:t>
            </w:r>
          </w:p>
          <w:p>
            <w:pPr>
              <w:tabs>
                <w:tab w:val="left" w:pos="426"/>
              </w:tabs>
              <w:spacing w:line="360" w:lineRule="auto"/>
              <w:ind w:firstLine="480"/>
              <w:rPr>
                <w:kern w:val="0"/>
                <w:sz w:val="24"/>
              </w:rPr>
            </w:pPr>
            <w:r>
              <w:rPr>
                <w:rFonts w:hint="eastAsia"/>
                <w:kern w:val="0"/>
                <w:sz w:val="24"/>
              </w:rPr>
              <w:t>生活用水：本项目劳动定员6人，无餐饮住宿，年工作时间按300天计。根据《陕西省行业用水定额（修订稿）》（DB61/T 943-2020），并结合项目实际情况，人员生活用水标准按30L/人.d，生活用水量为0.18m</w:t>
            </w:r>
            <w:r>
              <w:rPr>
                <w:rFonts w:hint="eastAsia"/>
                <w:kern w:val="0"/>
                <w:sz w:val="24"/>
                <w:vertAlign w:val="superscript"/>
              </w:rPr>
              <w:t>3</w:t>
            </w:r>
            <w:r>
              <w:rPr>
                <w:rFonts w:hint="eastAsia"/>
                <w:kern w:val="0"/>
                <w:sz w:val="24"/>
              </w:rPr>
              <w:t>/d，年用水量为54m</w:t>
            </w:r>
            <w:r>
              <w:rPr>
                <w:rFonts w:hint="eastAsia"/>
                <w:kern w:val="0"/>
                <w:sz w:val="24"/>
                <w:vertAlign w:val="superscript"/>
              </w:rPr>
              <w:t>3</w:t>
            </w:r>
            <w:r>
              <w:rPr>
                <w:rFonts w:hint="eastAsia"/>
                <w:kern w:val="0"/>
                <w:sz w:val="24"/>
              </w:rPr>
              <w:t>。项目生活污水产生量按用水量的80%计，则生活污水产生总量约为0.144 m</w:t>
            </w:r>
            <w:r>
              <w:rPr>
                <w:rFonts w:hint="eastAsia"/>
                <w:kern w:val="0"/>
                <w:sz w:val="24"/>
                <w:vertAlign w:val="superscript"/>
              </w:rPr>
              <w:t>3</w:t>
            </w:r>
            <w:r>
              <w:rPr>
                <w:rFonts w:hint="eastAsia"/>
                <w:kern w:val="0"/>
                <w:sz w:val="24"/>
              </w:rPr>
              <w:t>/d（43.2m</w:t>
            </w:r>
            <w:r>
              <w:rPr>
                <w:rFonts w:hint="eastAsia"/>
                <w:kern w:val="0"/>
                <w:sz w:val="24"/>
                <w:vertAlign w:val="superscript"/>
              </w:rPr>
              <w:t>3</w:t>
            </w:r>
            <w:r>
              <w:rPr>
                <w:rFonts w:hint="eastAsia"/>
                <w:kern w:val="0"/>
                <w:sz w:val="24"/>
              </w:rPr>
              <w:t>/a），根据实际情况，</w:t>
            </w:r>
          </w:p>
          <w:p>
            <w:pPr>
              <w:tabs>
                <w:tab w:val="left" w:pos="426"/>
              </w:tabs>
              <w:spacing w:line="360" w:lineRule="auto"/>
              <w:rPr>
                <w:kern w:val="0"/>
                <w:sz w:val="24"/>
              </w:rPr>
            </w:pPr>
            <w:r>
              <w:rPr>
                <w:rFonts w:hint="eastAsia"/>
                <w:kern w:val="0"/>
                <w:sz w:val="24"/>
              </w:rPr>
              <w:t>场区建旱厕，定期清淘，用于农田施肥。</w:t>
            </w:r>
          </w:p>
          <w:p>
            <w:pPr>
              <w:spacing w:line="360" w:lineRule="auto"/>
              <w:ind w:firstLine="480" w:firstLineChars="200"/>
              <w:rPr>
                <w:sz w:val="24"/>
              </w:rPr>
            </w:pPr>
            <w:r>
              <w:rPr>
                <w:sz w:val="24"/>
              </w:rPr>
              <w:t>绿化用水</w:t>
            </w:r>
            <w:r>
              <w:rPr>
                <w:rFonts w:hint="eastAsia"/>
                <w:sz w:val="24"/>
              </w:rPr>
              <w:t>：绿化用水</w:t>
            </w:r>
            <w:r>
              <w:rPr>
                <w:sz w:val="24"/>
              </w:rPr>
              <w:t>量按2L/m</w:t>
            </w:r>
            <w:r>
              <w:rPr>
                <w:sz w:val="24"/>
                <w:vertAlign w:val="superscript"/>
              </w:rPr>
              <w:t>2</w:t>
            </w:r>
            <w:r>
              <w:rPr>
                <w:sz w:val="24"/>
              </w:rPr>
              <w:t>计，本项目绿化面积为</w:t>
            </w:r>
            <w:r>
              <w:rPr>
                <w:rFonts w:hint="eastAsia"/>
                <w:sz w:val="24"/>
              </w:rPr>
              <w:t>1</w:t>
            </w:r>
            <w:r>
              <w:rPr>
                <w:sz w:val="24"/>
              </w:rPr>
              <w:t>00m</w:t>
            </w:r>
            <w:r>
              <w:rPr>
                <w:sz w:val="24"/>
                <w:vertAlign w:val="superscript"/>
              </w:rPr>
              <w:t>2</w:t>
            </w:r>
            <w:r>
              <w:rPr>
                <w:sz w:val="24"/>
              </w:rPr>
              <w:t>，则绿化用水量约为0.</w:t>
            </w:r>
            <w:r>
              <w:rPr>
                <w:rFonts w:hint="eastAsia"/>
                <w:sz w:val="24"/>
              </w:rPr>
              <w:t>2</w:t>
            </w:r>
            <w:r>
              <w:rPr>
                <w:sz w:val="24"/>
              </w:rPr>
              <w:t>m</w:t>
            </w:r>
            <w:r>
              <w:rPr>
                <w:sz w:val="24"/>
                <w:vertAlign w:val="superscript"/>
              </w:rPr>
              <w:t>3</w:t>
            </w:r>
            <w:r>
              <w:rPr>
                <w:sz w:val="24"/>
              </w:rPr>
              <w:t>/d（</w:t>
            </w:r>
            <w:r>
              <w:rPr>
                <w:rFonts w:hint="eastAsia"/>
                <w:sz w:val="24"/>
              </w:rPr>
              <w:t>60</w:t>
            </w:r>
            <w:r>
              <w:rPr>
                <w:sz w:val="24"/>
              </w:rPr>
              <w:t>m</w:t>
            </w:r>
            <w:r>
              <w:rPr>
                <w:sz w:val="24"/>
                <w:vertAlign w:val="superscript"/>
              </w:rPr>
              <w:t>3</w:t>
            </w:r>
            <w:r>
              <w:rPr>
                <w:sz w:val="24"/>
              </w:rPr>
              <w:t>/a）。</w:t>
            </w:r>
          </w:p>
          <w:p>
            <w:pPr>
              <w:autoSpaceDE w:val="0"/>
              <w:autoSpaceDN w:val="0"/>
              <w:spacing w:line="360" w:lineRule="auto"/>
              <w:ind w:firstLine="480" w:firstLineChars="200"/>
              <w:jc w:val="left"/>
              <w:rPr>
                <w:sz w:val="24"/>
              </w:rPr>
            </w:pPr>
            <w:r>
              <w:rPr>
                <w:kern w:val="0"/>
                <w:sz w:val="24"/>
              </w:rPr>
              <w:t>车辆冲洗用水：</w:t>
            </w:r>
            <w:r>
              <w:rPr>
                <w:sz w:val="24"/>
              </w:rPr>
              <w:t>项目运营期会对产品外运车辆进行冲洗，日冲洗车辆预计为30辆，洗车用水量按照90L/辆·次，算得用水量为2.7m</w:t>
            </w:r>
            <w:r>
              <w:rPr>
                <w:sz w:val="24"/>
                <w:vertAlign w:val="superscript"/>
              </w:rPr>
              <w:t>3</w:t>
            </w:r>
            <w:r>
              <w:rPr>
                <w:sz w:val="24"/>
              </w:rPr>
              <w:t>/d，</w:t>
            </w:r>
            <w:r>
              <w:rPr>
                <w:rFonts w:hint="eastAsia"/>
                <w:sz w:val="24"/>
              </w:rPr>
              <w:t>810</w:t>
            </w:r>
            <w:r>
              <w:rPr>
                <w:sz w:val="24"/>
              </w:rPr>
              <w:t>m</w:t>
            </w:r>
            <w:r>
              <w:rPr>
                <w:sz w:val="24"/>
                <w:vertAlign w:val="superscript"/>
              </w:rPr>
              <w:t>3</w:t>
            </w:r>
            <w:r>
              <w:rPr>
                <w:sz w:val="24"/>
              </w:rPr>
              <w:t>/a；按照排污系数0.9计，废水产生量为2.43m</w:t>
            </w:r>
            <w:r>
              <w:rPr>
                <w:sz w:val="24"/>
                <w:vertAlign w:val="superscript"/>
              </w:rPr>
              <w:t>3</w:t>
            </w:r>
            <w:r>
              <w:rPr>
                <w:sz w:val="24"/>
              </w:rPr>
              <w:t>/d，</w:t>
            </w:r>
            <w:r>
              <w:rPr>
                <w:rFonts w:hint="eastAsia"/>
                <w:sz w:val="24"/>
              </w:rPr>
              <w:t>729</w:t>
            </w:r>
            <w:r>
              <w:rPr>
                <w:sz w:val="24"/>
              </w:rPr>
              <w:t>m</w:t>
            </w:r>
            <w:r>
              <w:rPr>
                <w:sz w:val="24"/>
                <w:vertAlign w:val="superscript"/>
              </w:rPr>
              <w:t>3</w:t>
            </w:r>
            <w:r>
              <w:rPr>
                <w:sz w:val="24"/>
              </w:rPr>
              <w:t>/a，</w:t>
            </w:r>
            <w:r>
              <w:rPr>
                <w:rFonts w:hint="eastAsia"/>
                <w:sz w:val="24"/>
              </w:rPr>
              <w:t>循环利用，不外排</w:t>
            </w:r>
            <w:r>
              <w:rPr>
                <w:sz w:val="24"/>
              </w:rPr>
              <w:t>。</w:t>
            </w:r>
          </w:p>
          <w:p>
            <w:pPr>
              <w:autoSpaceDE w:val="0"/>
              <w:autoSpaceDN w:val="0"/>
              <w:spacing w:line="360" w:lineRule="auto"/>
              <w:ind w:firstLine="480" w:firstLineChars="200"/>
              <w:rPr>
                <w:color w:val="FF0000"/>
                <w:sz w:val="24"/>
              </w:rPr>
            </w:pPr>
            <w:r>
              <w:rPr>
                <w:sz w:val="24"/>
              </w:rPr>
              <w:t>喷淋用水：</w:t>
            </w:r>
            <w:r>
              <w:rPr>
                <w:rFonts w:hint="eastAsia" w:hAnsi="宋体"/>
                <w:sz w:val="24"/>
              </w:rPr>
              <w:t>本项目在生产过程中会产生无组织粉尘，为降低无组织粉尘，</w:t>
            </w:r>
            <w:r>
              <w:rPr>
                <w:rFonts w:hint="eastAsia" w:hAnsi="宋体"/>
                <w:color w:val="FF0000"/>
                <w:sz w:val="24"/>
              </w:rPr>
              <w:t>项目在车间上方按行距设置喷淋装置进行除尘。参考同类型项目，一般</w:t>
            </w:r>
            <w:r>
              <w:rPr>
                <w:rFonts w:hint="eastAsia"/>
                <w:color w:val="FF0000"/>
                <w:sz w:val="24"/>
              </w:rPr>
              <w:t>降尘</w:t>
            </w:r>
            <w:r>
              <w:rPr>
                <w:rFonts w:hint="eastAsia" w:hAnsi="宋体"/>
                <w:color w:val="FF0000"/>
                <w:sz w:val="24"/>
              </w:rPr>
              <w:t>用水量为60L</w:t>
            </w:r>
            <w:r>
              <w:rPr>
                <w:color w:val="FF0000"/>
                <w:sz w:val="24"/>
              </w:rPr>
              <w:t>/t</w:t>
            </w:r>
            <w:r>
              <w:rPr>
                <w:rFonts w:hint="eastAsia"/>
                <w:color w:val="FF0000"/>
                <w:sz w:val="24"/>
              </w:rPr>
              <w:t>•原料</w:t>
            </w:r>
            <w:r>
              <w:rPr>
                <w:rFonts w:hint="eastAsia" w:hAnsi="宋体"/>
                <w:color w:val="FF0000"/>
                <w:sz w:val="24"/>
              </w:rPr>
              <w:t>，</w:t>
            </w:r>
            <w:r>
              <w:rPr>
                <w:rFonts w:hAnsi="宋体"/>
                <w:color w:val="FF0000"/>
                <w:sz w:val="24"/>
              </w:rPr>
              <w:t>项目</w:t>
            </w:r>
            <w:r>
              <w:rPr>
                <w:rFonts w:hint="eastAsia" w:hAnsi="宋体"/>
                <w:color w:val="FF0000"/>
                <w:sz w:val="24"/>
              </w:rPr>
              <w:t>生产过程中装卸原材料</w:t>
            </w:r>
            <w:r>
              <w:rPr>
                <w:rFonts w:hint="eastAsia"/>
                <w:color w:val="FF0000"/>
                <w:sz w:val="24"/>
              </w:rPr>
              <w:t>26</w:t>
            </w:r>
            <w:r>
              <w:rPr>
                <w:rFonts w:hint="eastAsia" w:ascii="宋体" w:hAnsi="宋体"/>
                <w:color w:val="FF0000"/>
                <w:sz w:val="24"/>
              </w:rPr>
              <w:t>万</w:t>
            </w:r>
            <w:r>
              <w:rPr>
                <w:rFonts w:hAnsi="宋体"/>
                <w:color w:val="FF0000"/>
                <w:sz w:val="24"/>
              </w:rPr>
              <w:t>t</w:t>
            </w:r>
            <w:r>
              <w:rPr>
                <w:rFonts w:hint="eastAsia" w:hAnsi="宋体"/>
                <w:color w:val="FF0000"/>
                <w:sz w:val="24"/>
              </w:rPr>
              <w:t>，则喷雾降尘用水量为52</w:t>
            </w:r>
            <w:r>
              <w:rPr>
                <w:rFonts w:hint="eastAsia"/>
                <w:color w:val="FF0000"/>
                <w:sz w:val="24"/>
              </w:rPr>
              <w:t>m</w:t>
            </w:r>
            <w:r>
              <w:rPr>
                <w:rFonts w:hint="eastAsia" w:hAnsi="宋体"/>
                <w:color w:val="FF0000"/>
                <w:sz w:val="24"/>
                <w:vertAlign w:val="superscript"/>
              </w:rPr>
              <w:t>3</w:t>
            </w:r>
            <w:r>
              <w:rPr>
                <w:rFonts w:hint="eastAsia" w:hAnsi="宋体"/>
                <w:color w:val="FF0000"/>
                <w:sz w:val="24"/>
              </w:rPr>
              <w:t>/d</w:t>
            </w:r>
            <w:r>
              <w:rPr>
                <w:rFonts w:hint="eastAsia" w:ascii="宋体" w:hAnsi="宋体"/>
                <w:color w:val="FF0000"/>
                <w:sz w:val="24"/>
              </w:rPr>
              <w:t>，全年合计</w:t>
            </w:r>
            <w:r>
              <w:rPr>
                <w:rFonts w:hint="eastAsia"/>
                <w:color w:val="FF0000"/>
                <w:sz w:val="24"/>
              </w:rPr>
              <w:t>15600m</w:t>
            </w:r>
            <w:r>
              <w:rPr>
                <w:rFonts w:hint="eastAsia" w:hAnsi="宋体"/>
                <w:color w:val="FF0000"/>
                <w:sz w:val="24"/>
                <w:vertAlign w:val="superscript"/>
              </w:rPr>
              <w:t>3</w:t>
            </w:r>
            <w:r>
              <w:rPr>
                <w:rFonts w:hint="eastAsia" w:hAnsi="宋体"/>
                <w:color w:val="FF0000"/>
                <w:sz w:val="24"/>
              </w:rPr>
              <w:t>/a</w:t>
            </w:r>
            <w:r>
              <w:rPr>
                <w:color w:val="FF0000"/>
                <w:sz w:val="24"/>
              </w:rPr>
              <w:t>。</w:t>
            </w:r>
          </w:p>
          <w:p>
            <w:pPr>
              <w:autoSpaceDE w:val="0"/>
              <w:autoSpaceDN w:val="0"/>
              <w:adjustRightInd w:val="0"/>
              <w:spacing w:line="360" w:lineRule="auto"/>
              <w:ind w:firstLine="480" w:firstLineChars="200"/>
              <w:rPr>
                <w:color w:val="FF0000"/>
                <w:sz w:val="24"/>
              </w:rPr>
            </w:pPr>
            <w:r>
              <w:rPr>
                <w:rFonts w:hint="eastAsia"/>
                <w:sz w:val="24"/>
              </w:rPr>
              <w:t>道路降尘用水：项目</w:t>
            </w:r>
            <w:r>
              <w:rPr>
                <w:sz w:val="24"/>
              </w:rPr>
              <w:t>拟于</w:t>
            </w:r>
            <w:r>
              <w:rPr>
                <w:rFonts w:hint="eastAsia"/>
                <w:sz w:val="24"/>
              </w:rPr>
              <w:t>道路区硬化，设置喷淋装置，项目区道路长300m，</w:t>
            </w:r>
            <w:r>
              <w:rPr>
                <w:rFonts w:hint="eastAsia"/>
                <w:color w:val="FF0000"/>
                <w:sz w:val="24"/>
              </w:rPr>
              <w:t>共布设20个螺旋喷淋头，规格为D15</w:t>
            </w:r>
            <w:r>
              <w:rPr>
                <w:color w:val="FF0000"/>
                <w:sz w:val="24"/>
              </w:rPr>
              <w:t>mm</w:t>
            </w:r>
            <w:r>
              <w:rPr>
                <w:rFonts w:hint="eastAsia"/>
                <w:color w:val="FF0000"/>
                <w:sz w:val="24"/>
              </w:rPr>
              <w:t>，单个喷头所需水量为11L/min，一天喷淋时间为3小时，则用水量约为39.6</w:t>
            </w:r>
            <w:r>
              <w:rPr>
                <w:color w:val="FF0000"/>
                <w:sz w:val="24"/>
              </w:rPr>
              <w:t>m</w:t>
            </w:r>
            <w:r>
              <w:rPr>
                <w:color w:val="FF0000"/>
                <w:sz w:val="24"/>
                <w:vertAlign w:val="superscript"/>
              </w:rPr>
              <w:t>3</w:t>
            </w:r>
            <w:r>
              <w:rPr>
                <w:color w:val="FF0000"/>
                <w:sz w:val="24"/>
              </w:rPr>
              <w:t>/d；</w:t>
            </w:r>
            <w:r>
              <w:rPr>
                <w:rFonts w:hint="eastAsia"/>
                <w:color w:val="FF0000"/>
                <w:sz w:val="24"/>
              </w:rPr>
              <w:t>雨季期道路无喷淋降尘用水，根据项目区实际情况，雨季时间为107天，因此，本项目道路年喷淋降尘时间为180天，用水量为7128</w:t>
            </w:r>
            <w:r>
              <w:rPr>
                <w:color w:val="FF0000"/>
                <w:sz w:val="24"/>
              </w:rPr>
              <w:t>m</w:t>
            </w:r>
            <w:r>
              <w:rPr>
                <w:color w:val="FF0000"/>
                <w:sz w:val="24"/>
                <w:vertAlign w:val="superscript"/>
              </w:rPr>
              <w:t>3</w:t>
            </w:r>
            <w:r>
              <w:rPr>
                <w:color w:val="FF0000"/>
                <w:sz w:val="24"/>
              </w:rPr>
              <w:t>/</w:t>
            </w:r>
            <w:r>
              <w:rPr>
                <w:rFonts w:hint="eastAsia"/>
                <w:color w:val="FF0000"/>
                <w:sz w:val="24"/>
              </w:rPr>
              <w:t>a</w:t>
            </w:r>
            <w:r>
              <w:rPr>
                <w:color w:val="FF0000"/>
                <w:sz w:val="24"/>
              </w:rPr>
              <w:t>，该部分用水全部挥发，不外排</w:t>
            </w:r>
            <w:r>
              <w:rPr>
                <w:rFonts w:hint="eastAsia"/>
                <w:color w:val="FF0000"/>
                <w:sz w:val="24"/>
              </w:rPr>
              <w:t>。</w:t>
            </w:r>
          </w:p>
          <w:p>
            <w:pPr>
              <w:tabs>
                <w:tab w:val="left" w:pos="426"/>
              </w:tabs>
              <w:spacing w:line="360" w:lineRule="auto"/>
              <w:ind w:firstLine="600"/>
              <w:rPr>
                <w:kern w:val="0"/>
                <w:sz w:val="24"/>
              </w:rPr>
            </w:pPr>
            <w:r>
              <w:rPr>
                <w:kern w:val="0"/>
                <w:sz w:val="24"/>
              </w:rPr>
              <w:fldChar w:fldCharType="begin"/>
            </w:r>
            <w:r>
              <w:rPr>
                <w:kern w:val="0"/>
                <w:sz w:val="24"/>
              </w:rPr>
              <w:instrText xml:space="preserve"> = 2 \* GB3 </w:instrText>
            </w:r>
            <w:r>
              <w:rPr>
                <w:kern w:val="0"/>
                <w:sz w:val="24"/>
              </w:rPr>
              <w:fldChar w:fldCharType="separate"/>
            </w:r>
            <w:r>
              <w:rPr>
                <w:kern w:val="0"/>
                <w:sz w:val="24"/>
              </w:rPr>
              <w:t>②</w:t>
            </w:r>
            <w:r>
              <w:rPr>
                <w:kern w:val="0"/>
                <w:sz w:val="24"/>
              </w:rPr>
              <w:fldChar w:fldCharType="end"/>
            </w:r>
            <w:r>
              <w:rPr>
                <w:kern w:val="0"/>
                <w:sz w:val="24"/>
              </w:rPr>
              <w:t>排水</w:t>
            </w:r>
          </w:p>
          <w:p>
            <w:pPr>
              <w:spacing w:line="360" w:lineRule="auto"/>
              <w:ind w:firstLine="480" w:firstLineChars="200"/>
              <w:rPr>
                <w:kern w:val="0"/>
                <w:sz w:val="24"/>
              </w:rPr>
            </w:pPr>
            <w:r>
              <w:rPr>
                <w:rFonts w:hint="eastAsia"/>
                <w:kern w:val="0"/>
                <w:sz w:val="24"/>
              </w:rPr>
              <w:t>厂</w:t>
            </w:r>
            <w:r>
              <w:rPr>
                <w:kern w:val="0"/>
                <w:sz w:val="24"/>
              </w:rPr>
              <w:t>内采用雨污分流制</w:t>
            </w:r>
            <w:r>
              <w:rPr>
                <w:rFonts w:hint="eastAsia"/>
                <w:kern w:val="0"/>
                <w:sz w:val="24"/>
              </w:rPr>
              <w:t>，雨水经厂区路面汇水后排至厂外随地表自流。</w:t>
            </w:r>
            <w:r>
              <w:rPr>
                <w:kern w:val="0"/>
                <w:sz w:val="24"/>
              </w:rPr>
              <w:t>用排水见表</w:t>
            </w:r>
            <w:r>
              <w:rPr>
                <w:rFonts w:hint="eastAsia"/>
                <w:kern w:val="0"/>
                <w:sz w:val="24"/>
              </w:rPr>
              <w:t>8</w:t>
            </w:r>
            <w:r>
              <w:rPr>
                <w:kern w:val="0"/>
                <w:sz w:val="24"/>
              </w:rPr>
              <w:t>，项目水平衡情况见图1。</w:t>
            </w:r>
          </w:p>
          <w:p>
            <w:pPr>
              <w:spacing w:line="360" w:lineRule="auto"/>
              <w:jc w:val="center"/>
              <w:rPr>
                <w:b/>
                <w:bCs/>
                <w:szCs w:val="21"/>
              </w:rPr>
            </w:pPr>
            <w:r>
              <w:rPr>
                <w:b/>
                <w:bCs/>
                <w:szCs w:val="21"/>
              </w:rPr>
              <w:t>表</w:t>
            </w:r>
            <w:r>
              <w:rPr>
                <w:rFonts w:hint="eastAsia"/>
                <w:b/>
                <w:bCs/>
                <w:szCs w:val="21"/>
              </w:rPr>
              <w:t>8</w:t>
            </w:r>
            <w:r>
              <w:rPr>
                <w:b/>
                <w:bCs/>
                <w:szCs w:val="21"/>
              </w:rPr>
              <w:t xml:space="preserve"> </w:t>
            </w:r>
            <w:r>
              <w:rPr>
                <w:rFonts w:hint="eastAsia"/>
                <w:b/>
                <w:bCs/>
                <w:szCs w:val="21"/>
              </w:rPr>
              <w:t xml:space="preserve">   </w:t>
            </w:r>
            <w:r>
              <w:rPr>
                <w:b/>
                <w:bCs/>
                <w:szCs w:val="21"/>
              </w:rPr>
              <w:t>项目给水测算表（日最大量）</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484"/>
              <w:gridCol w:w="1020"/>
              <w:gridCol w:w="1311"/>
              <w:gridCol w:w="828"/>
              <w:gridCol w:w="1179"/>
              <w:gridCol w:w="1063"/>
              <w:gridCol w:w="890"/>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7" w:type="pct"/>
                  <w:vMerge w:val="restart"/>
                  <w:vAlign w:val="center"/>
                </w:tcPr>
                <w:p>
                  <w:pPr>
                    <w:pStyle w:val="27"/>
                    <w:spacing w:before="0" w:after="0"/>
                  </w:pPr>
                  <w:r>
                    <w:t>序号</w:t>
                  </w:r>
                </w:p>
              </w:tc>
              <w:tc>
                <w:tcPr>
                  <w:tcW w:w="821" w:type="pct"/>
                  <w:vMerge w:val="restart"/>
                  <w:vAlign w:val="center"/>
                </w:tcPr>
                <w:p>
                  <w:pPr>
                    <w:pStyle w:val="27"/>
                    <w:spacing w:before="0" w:after="0"/>
                  </w:pPr>
                  <w:r>
                    <w:t>用水名称</w:t>
                  </w:r>
                </w:p>
              </w:tc>
              <w:tc>
                <w:tcPr>
                  <w:tcW w:w="564" w:type="pct"/>
                  <w:vMerge w:val="restart"/>
                  <w:vAlign w:val="center"/>
                </w:tcPr>
                <w:p>
                  <w:pPr>
                    <w:pStyle w:val="27"/>
                    <w:spacing w:before="0" w:after="0"/>
                  </w:pPr>
                  <w:r>
                    <w:t>基数</w:t>
                  </w:r>
                </w:p>
              </w:tc>
              <w:tc>
                <w:tcPr>
                  <w:tcW w:w="725" w:type="pct"/>
                  <w:vMerge w:val="restart"/>
                  <w:vAlign w:val="center"/>
                </w:tcPr>
                <w:p>
                  <w:pPr>
                    <w:pStyle w:val="27"/>
                    <w:spacing w:before="0" w:after="0"/>
                  </w:pPr>
                  <w:r>
                    <w:t>用水标准</w:t>
                  </w:r>
                </w:p>
              </w:tc>
              <w:tc>
                <w:tcPr>
                  <w:tcW w:w="458" w:type="pct"/>
                  <w:vMerge w:val="restart"/>
                  <w:vAlign w:val="center"/>
                </w:tcPr>
                <w:p>
                  <w:pPr>
                    <w:pStyle w:val="27"/>
                    <w:spacing w:before="0" w:after="0"/>
                  </w:pPr>
                  <w:r>
                    <w:t>使用</w:t>
                  </w:r>
                </w:p>
                <w:p>
                  <w:pPr>
                    <w:pStyle w:val="27"/>
                    <w:spacing w:before="0" w:after="0"/>
                  </w:pPr>
                  <w:r>
                    <w:t>时间</w:t>
                  </w:r>
                </w:p>
              </w:tc>
              <w:tc>
                <w:tcPr>
                  <w:tcW w:w="1240" w:type="pct"/>
                  <w:gridSpan w:val="2"/>
                  <w:vAlign w:val="center"/>
                </w:tcPr>
                <w:p>
                  <w:pPr>
                    <w:pStyle w:val="27"/>
                    <w:spacing w:before="0" w:after="0"/>
                  </w:pPr>
                  <w:r>
                    <w:t>用水量</w:t>
                  </w:r>
                </w:p>
              </w:tc>
              <w:tc>
                <w:tcPr>
                  <w:tcW w:w="965" w:type="pct"/>
                  <w:gridSpan w:val="2"/>
                  <w:vAlign w:val="center"/>
                </w:tcPr>
                <w:p>
                  <w:pPr>
                    <w:pStyle w:val="27"/>
                    <w:spacing w:before="0" w:after="0"/>
                  </w:pPr>
                  <w:r>
                    <w:t>排水量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 w:type="pct"/>
                  <w:vMerge w:val="continue"/>
                  <w:vAlign w:val="center"/>
                </w:tcPr>
                <w:p>
                  <w:pPr>
                    <w:pStyle w:val="27"/>
                    <w:spacing w:before="0" w:after="0"/>
                  </w:pPr>
                </w:p>
              </w:tc>
              <w:tc>
                <w:tcPr>
                  <w:tcW w:w="821" w:type="pct"/>
                  <w:vMerge w:val="continue"/>
                  <w:vAlign w:val="center"/>
                </w:tcPr>
                <w:p>
                  <w:pPr>
                    <w:pStyle w:val="27"/>
                    <w:spacing w:before="0" w:after="0"/>
                  </w:pPr>
                </w:p>
              </w:tc>
              <w:tc>
                <w:tcPr>
                  <w:tcW w:w="564" w:type="pct"/>
                  <w:vMerge w:val="continue"/>
                  <w:vAlign w:val="center"/>
                </w:tcPr>
                <w:p>
                  <w:pPr>
                    <w:pStyle w:val="27"/>
                    <w:spacing w:before="0" w:after="0"/>
                  </w:pPr>
                </w:p>
              </w:tc>
              <w:tc>
                <w:tcPr>
                  <w:tcW w:w="725" w:type="pct"/>
                  <w:vMerge w:val="continue"/>
                  <w:vAlign w:val="center"/>
                </w:tcPr>
                <w:p>
                  <w:pPr>
                    <w:adjustRightInd w:val="0"/>
                    <w:snapToGrid w:val="0"/>
                    <w:jc w:val="center"/>
                    <w:rPr>
                      <w:szCs w:val="21"/>
                    </w:rPr>
                  </w:pPr>
                </w:p>
              </w:tc>
              <w:tc>
                <w:tcPr>
                  <w:tcW w:w="458" w:type="pct"/>
                  <w:vMerge w:val="continue"/>
                  <w:vAlign w:val="center"/>
                </w:tcPr>
                <w:p>
                  <w:pPr>
                    <w:pStyle w:val="27"/>
                    <w:spacing w:before="0" w:after="0"/>
                  </w:pPr>
                </w:p>
              </w:tc>
              <w:tc>
                <w:tcPr>
                  <w:tcW w:w="652" w:type="pct"/>
                  <w:vAlign w:val="center"/>
                </w:tcPr>
                <w:p>
                  <w:pPr>
                    <w:pStyle w:val="27"/>
                    <w:spacing w:before="0" w:after="0"/>
                  </w:pPr>
                  <w:r>
                    <w:t>用水量/补充量</w:t>
                  </w:r>
                  <w:r>
                    <w:rPr>
                      <w:rStyle w:val="28"/>
                      <w:color w:val="auto"/>
                      <w:sz w:val="21"/>
                      <w:szCs w:val="21"/>
                    </w:rPr>
                    <w:t>m</w:t>
                  </w:r>
                  <w:r>
                    <w:rPr>
                      <w:rStyle w:val="28"/>
                      <w:color w:val="auto"/>
                      <w:sz w:val="21"/>
                      <w:szCs w:val="21"/>
                      <w:vertAlign w:val="superscript"/>
                    </w:rPr>
                    <w:t>3</w:t>
                  </w:r>
                  <w:r>
                    <w:rPr>
                      <w:rStyle w:val="28"/>
                      <w:color w:val="auto"/>
                      <w:sz w:val="21"/>
                      <w:szCs w:val="21"/>
                    </w:rPr>
                    <w:t>/d</w:t>
                  </w:r>
                </w:p>
              </w:tc>
              <w:tc>
                <w:tcPr>
                  <w:tcW w:w="588" w:type="pct"/>
                  <w:vAlign w:val="center"/>
                </w:tcPr>
                <w:p>
                  <w:pPr>
                    <w:pStyle w:val="27"/>
                  </w:pPr>
                  <w:r>
                    <w:t>用水量</w:t>
                  </w:r>
                  <w:r>
                    <w:rPr>
                      <w:rStyle w:val="28"/>
                      <w:color w:val="auto"/>
                      <w:sz w:val="21"/>
                      <w:szCs w:val="21"/>
                    </w:rPr>
                    <w:t>m</w:t>
                  </w:r>
                  <w:r>
                    <w:rPr>
                      <w:rStyle w:val="28"/>
                      <w:color w:val="auto"/>
                      <w:sz w:val="21"/>
                      <w:szCs w:val="21"/>
                      <w:vertAlign w:val="superscript"/>
                    </w:rPr>
                    <w:t>3</w:t>
                  </w:r>
                  <w:r>
                    <w:rPr>
                      <w:rStyle w:val="28"/>
                      <w:color w:val="auto"/>
                      <w:sz w:val="21"/>
                      <w:szCs w:val="21"/>
                    </w:rPr>
                    <w:t>/a</w:t>
                  </w:r>
                </w:p>
              </w:tc>
              <w:tc>
                <w:tcPr>
                  <w:tcW w:w="492" w:type="pct"/>
                  <w:vAlign w:val="center"/>
                </w:tcPr>
                <w:p>
                  <w:pPr>
                    <w:pStyle w:val="27"/>
                    <w:spacing w:before="0" w:after="0"/>
                  </w:pPr>
                  <w:r>
                    <w:t>排水量</w:t>
                  </w:r>
                  <w:r>
                    <w:rPr>
                      <w:rStyle w:val="28"/>
                      <w:color w:val="auto"/>
                      <w:sz w:val="21"/>
                      <w:szCs w:val="21"/>
                    </w:rPr>
                    <w:t>m</w:t>
                  </w:r>
                  <w:r>
                    <w:rPr>
                      <w:rStyle w:val="28"/>
                      <w:color w:val="auto"/>
                      <w:sz w:val="21"/>
                      <w:szCs w:val="21"/>
                      <w:vertAlign w:val="superscript"/>
                    </w:rPr>
                    <w:t>3</w:t>
                  </w:r>
                  <w:r>
                    <w:rPr>
                      <w:rStyle w:val="28"/>
                      <w:color w:val="auto"/>
                      <w:sz w:val="21"/>
                      <w:szCs w:val="21"/>
                    </w:rPr>
                    <w:t>/d</w:t>
                  </w:r>
                </w:p>
              </w:tc>
              <w:tc>
                <w:tcPr>
                  <w:tcW w:w="473" w:type="pct"/>
                  <w:vAlign w:val="center"/>
                </w:tcPr>
                <w:p>
                  <w:pPr>
                    <w:pStyle w:val="27"/>
                  </w:pPr>
                  <w:r>
                    <w:t>排水量</w:t>
                  </w:r>
                  <w:r>
                    <w:rPr>
                      <w:rStyle w:val="28"/>
                      <w:color w:val="auto"/>
                      <w:sz w:val="21"/>
                      <w:szCs w:val="21"/>
                    </w:rPr>
                    <w:t>m</w:t>
                  </w:r>
                  <w:r>
                    <w:rPr>
                      <w:rStyle w:val="28"/>
                      <w:color w:val="auto"/>
                      <w:sz w:val="21"/>
                      <w:szCs w:val="21"/>
                      <w:vertAlign w:val="superscript"/>
                    </w:rPr>
                    <w:t>3</w:t>
                  </w:r>
                  <w:r>
                    <w:rPr>
                      <w:rStyle w:val="28"/>
                      <w:color w:val="auto"/>
                      <w:sz w:val="21"/>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7"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1</w:t>
                  </w:r>
                </w:p>
              </w:tc>
              <w:tc>
                <w:tcPr>
                  <w:tcW w:w="821" w:type="pct"/>
                  <w:vAlign w:val="center"/>
                </w:tcPr>
                <w:p>
                  <w:pPr>
                    <w:tabs>
                      <w:tab w:val="left" w:pos="426"/>
                    </w:tabs>
                    <w:jc w:val="center"/>
                    <w:rPr>
                      <w:rStyle w:val="28"/>
                      <w:color w:val="auto"/>
                      <w:sz w:val="21"/>
                      <w:szCs w:val="21"/>
                    </w:rPr>
                  </w:pPr>
                  <w:r>
                    <w:rPr>
                      <w:rStyle w:val="28"/>
                      <w:rFonts w:hint="eastAsia"/>
                      <w:color w:val="auto"/>
                      <w:sz w:val="21"/>
                      <w:szCs w:val="21"/>
                    </w:rPr>
                    <w:t>生活用水</w:t>
                  </w:r>
                </w:p>
              </w:tc>
              <w:tc>
                <w:tcPr>
                  <w:tcW w:w="564"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6人</w:t>
                  </w:r>
                </w:p>
              </w:tc>
              <w:tc>
                <w:tcPr>
                  <w:tcW w:w="725" w:type="pct"/>
                  <w:vAlign w:val="center"/>
                </w:tcPr>
                <w:p>
                  <w:pPr>
                    <w:adjustRightInd w:val="0"/>
                    <w:snapToGrid w:val="0"/>
                    <w:jc w:val="center"/>
                    <w:rPr>
                      <w:szCs w:val="21"/>
                    </w:rPr>
                  </w:pPr>
                  <w:r>
                    <w:rPr>
                      <w:szCs w:val="21"/>
                    </w:rPr>
                    <w:t>30L/人.d</w:t>
                  </w:r>
                </w:p>
              </w:tc>
              <w:tc>
                <w:tcPr>
                  <w:tcW w:w="458" w:type="pct"/>
                  <w:vMerge w:val="restart"/>
                  <w:vAlign w:val="center"/>
                </w:tcPr>
                <w:p>
                  <w:pPr>
                    <w:tabs>
                      <w:tab w:val="left" w:pos="426"/>
                    </w:tabs>
                    <w:jc w:val="center"/>
                    <w:rPr>
                      <w:rStyle w:val="28"/>
                      <w:color w:val="auto"/>
                      <w:sz w:val="21"/>
                      <w:szCs w:val="21"/>
                    </w:rPr>
                  </w:pPr>
                  <w:r>
                    <w:rPr>
                      <w:rStyle w:val="28"/>
                      <w:rFonts w:hint="eastAsia"/>
                      <w:color w:val="auto"/>
                      <w:sz w:val="21"/>
                      <w:szCs w:val="21"/>
                    </w:rPr>
                    <w:t>300d</w:t>
                  </w:r>
                </w:p>
              </w:tc>
              <w:tc>
                <w:tcPr>
                  <w:tcW w:w="652" w:type="pct"/>
                  <w:vAlign w:val="center"/>
                </w:tcPr>
                <w:p>
                  <w:pPr>
                    <w:tabs>
                      <w:tab w:val="left" w:pos="426"/>
                    </w:tabs>
                    <w:jc w:val="center"/>
                    <w:rPr>
                      <w:szCs w:val="21"/>
                    </w:rPr>
                  </w:pPr>
                  <w:r>
                    <w:rPr>
                      <w:rFonts w:hint="eastAsia"/>
                      <w:szCs w:val="21"/>
                    </w:rPr>
                    <w:t>0.18</w:t>
                  </w:r>
                </w:p>
              </w:tc>
              <w:tc>
                <w:tcPr>
                  <w:tcW w:w="588" w:type="pct"/>
                  <w:vAlign w:val="center"/>
                </w:tcPr>
                <w:p>
                  <w:pPr>
                    <w:tabs>
                      <w:tab w:val="left" w:pos="426"/>
                    </w:tabs>
                    <w:jc w:val="center"/>
                    <w:rPr>
                      <w:szCs w:val="21"/>
                    </w:rPr>
                  </w:pPr>
                  <w:r>
                    <w:rPr>
                      <w:rFonts w:hint="eastAsia"/>
                      <w:szCs w:val="21"/>
                    </w:rPr>
                    <w:t>54</w:t>
                  </w:r>
                </w:p>
              </w:tc>
              <w:tc>
                <w:tcPr>
                  <w:tcW w:w="492" w:type="pct"/>
                  <w:vAlign w:val="center"/>
                </w:tcPr>
                <w:p>
                  <w:pPr>
                    <w:tabs>
                      <w:tab w:val="left" w:pos="426"/>
                    </w:tabs>
                    <w:jc w:val="center"/>
                    <w:rPr>
                      <w:szCs w:val="21"/>
                    </w:rPr>
                  </w:pPr>
                  <w:r>
                    <w:rPr>
                      <w:rFonts w:hint="eastAsia"/>
                      <w:szCs w:val="21"/>
                    </w:rPr>
                    <w:t>0.14</w:t>
                  </w:r>
                </w:p>
              </w:tc>
              <w:tc>
                <w:tcPr>
                  <w:tcW w:w="473" w:type="pct"/>
                  <w:vAlign w:val="center"/>
                </w:tcPr>
                <w:p>
                  <w:pPr>
                    <w:tabs>
                      <w:tab w:val="left" w:pos="426"/>
                    </w:tabs>
                    <w:jc w:val="center"/>
                    <w:rPr>
                      <w:szCs w:val="21"/>
                    </w:rPr>
                  </w:pPr>
                  <w:r>
                    <w:rPr>
                      <w:rFonts w:hint="eastAsia"/>
                      <w:szCs w:val="21"/>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7"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2</w:t>
                  </w:r>
                </w:p>
              </w:tc>
              <w:tc>
                <w:tcPr>
                  <w:tcW w:w="821" w:type="pct"/>
                  <w:vAlign w:val="center"/>
                </w:tcPr>
                <w:p>
                  <w:pPr>
                    <w:tabs>
                      <w:tab w:val="left" w:pos="426"/>
                    </w:tabs>
                    <w:jc w:val="center"/>
                    <w:rPr>
                      <w:rStyle w:val="28"/>
                      <w:color w:val="auto"/>
                      <w:sz w:val="21"/>
                      <w:szCs w:val="21"/>
                    </w:rPr>
                  </w:pPr>
                  <w:r>
                    <w:rPr>
                      <w:rStyle w:val="28"/>
                      <w:rFonts w:hint="eastAsia"/>
                      <w:color w:val="auto"/>
                      <w:sz w:val="21"/>
                      <w:szCs w:val="21"/>
                    </w:rPr>
                    <w:t>绿化用水</w:t>
                  </w:r>
                </w:p>
              </w:tc>
              <w:tc>
                <w:tcPr>
                  <w:tcW w:w="564"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100m</w:t>
                  </w:r>
                  <w:r>
                    <w:rPr>
                      <w:rFonts w:hint="eastAsia" w:ascii="Times New Roman" w:hAnsi="Times New Roman"/>
                      <w:sz w:val="21"/>
                      <w:szCs w:val="21"/>
                      <w:vertAlign w:val="superscript"/>
                    </w:rPr>
                    <w:t>2</w:t>
                  </w:r>
                </w:p>
              </w:tc>
              <w:tc>
                <w:tcPr>
                  <w:tcW w:w="725" w:type="pct"/>
                  <w:vAlign w:val="center"/>
                </w:tcPr>
                <w:p>
                  <w:pPr>
                    <w:adjustRightInd w:val="0"/>
                    <w:snapToGrid w:val="0"/>
                    <w:jc w:val="center"/>
                    <w:rPr>
                      <w:szCs w:val="21"/>
                    </w:rPr>
                  </w:pPr>
                  <w:r>
                    <w:rPr>
                      <w:szCs w:val="21"/>
                    </w:rPr>
                    <w:t>2L/m</w:t>
                  </w:r>
                  <w:r>
                    <w:rPr>
                      <w:szCs w:val="21"/>
                      <w:vertAlign w:val="superscript"/>
                    </w:rPr>
                    <w:t>2</w:t>
                  </w:r>
                </w:p>
              </w:tc>
              <w:tc>
                <w:tcPr>
                  <w:tcW w:w="458" w:type="pct"/>
                  <w:vMerge w:val="continue"/>
                  <w:vAlign w:val="center"/>
                </w:tcPr>
                <w:p>
                  <w:pPr>
                    <w:tabs>
                      <w:tab w:val="left" w:pos="426"/>
                    </w:tabs>
                    <w:jc w:val="center"/>
                    <w:rPr>
                      <w:rStyle w:val="28"/>
                      <w:color w:val="auto"/>
                      <w:sz w:val="21"/>
                      <w:szCs w:val="21"/>
                    </w:rPr>
                  </w:pPr>
                </w:p>
              </w:tc>
              <w:tc>
                <w:tcPr>
                  <w:tcW w:w="652" w:type="pct"/>
                  <w:vAlign w:val="center"/>
                </w:tcPr>
                <w:p>
                  <w:pPr>
                    <w:tabs>
                      <w:tab w:val="left" w:pos="426"/>
                    </w:tabs>
                    <w:jc w:val="center"/>
                    <w:rPr>
                      <w:szCs w:val="21"/>
                    </w:rPr>
                  </w:pPr>
                  <w:r>
                    <w:rPr>
                      <w:rFonts w:hint="eastAsia"/>
                      <w:szCs w:val="21"/>
                    </w:rPr>
                    <w:t>0.2</w:t>
                  </w:r>
                </w:p>
              </w:tc>
              <w:tc>
                <w:tcPr>
                  <w:tcW w:w="588" w:type="pct"/>
                  <w:vAlign w:val="center"/>
                </w:tcPr>
                <w:p>
                  <w:pPr>
                    <w:tabs>
                      <w:tab w:val="left" w:pos="426"/>
                    </w:tabs>
                    <w:jc w:val="center"/>
                    <w:rPr>
                      <w:szCs w:val="21"/>
                    </w:rPr>
                  </w:pPr>
                  <w:r>
                    <w:rPr>
                      <w:rFonts w:hint="eastAsia"/>
                      <w:szCs w:val="21"/>
                    </w:rPr>
                    <w:t>60</w:t>
                  </w:r>
                </w:p>
              </w:tc>
              <w:tc>
                <w:tcPr>
                  <w:tcW w:w="492" w:type="pct"/>
                  <w:vAlign w:val="center"/>
                </w:tcPr>
                <w:p>
                  <w:pPr>
                    <w:tabs>
                      <w:tab w:val="left" w:pos="426"/>
                    </w:tabs>
                    <w:jc w:val="center"/>
                    <w:rPr>
                      <w:szCs w:val="21"/>
                    </w:rPr>
                  </w:pPr>
                  <w:r>
                    <w:rPr>
                      <w:rFonts w:hint="eastAsia"/>
                      <w:szCs w:val="21"/>
                    </w:rPr>
                    <w:t>0</w:t>
                  </w:r>
                </w:p>
              </w:tc>
              <w:tc>
                <w:tcPr>
                  <w:tcW w:w="473" w:type="pct"/>
                  <w:vAlign w:val="center"/>
                </w:tcPr>
                <w:p>
                  <w:pPr>
                    <w:tabs>
                      <w:tab w:val="left" w:pos="426"/>
                    </w:tabs>
                    <w:jc w:val="center"/>
                    <w:rPr>
                      <w:szCs w:val="21"/>
                    </w:rPr>
                  </w:pPr>
                  <w:r>
                    <w:rPr>
                      <w:rFonts w:hint="eastAsia"/>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7"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3</w:t>
                  </w:r>
                </w:p>
              </w:tc>
              <w:tc>
                <w:tcPr>
                  <w:tcW w:w="821" w:type="pct"/>
                  <w:vAlign w:val="center"/>
                </w:tcPr>
                <w:p>
                  <w:pPr>
                    <w:tabs>
                      <w:tab w:val="left" w:pos="426"/>
                    </w:tabs>
                    <w:jc w:val="center"/>
                    <w:rPr>
                      <w:rStyle w:val="28"/>
                      <w:color w:val="auto"/>
                      <w:sz w:val="21"/>
                      <w:szCs w:val="21"/>
                    </w:rPr>
                  </w:pPr>
                  <w:r>
                    <w:rPr>
                      <w:rStyle w:val="28"/>
                      <w:color w:val="auto"/>
                      <w:sz w:val="21"/>
                      <w:szCs w:val="21"/>
                    </w:rPr>
                    <w:t>车辆冲洗</w:t>
                  </w:r>
                </w:p>
                <w:p>
                  <w:pPr>
                    <w:tabs>
                      <w:tab w:val="left" w:pos="426"/>
                    </w:tabs>
                    <w:jc w:val="center"/>
                    <w:rPr>
                      <w:rStyle w:val="28"/>
                      <w:color w:val="auto"/>
                      <w:sz w:val="21"/>
                      <w:szCs w:val="21"/>
                    </w:rPr>
                  </w:pPr>
                  <w:r>
                    <w:rPr>
                      <w:rStyle w:val="28"/>
                      <w:color w:val="auto"/>
                      <w:sz w:val="21"/>
                      <w:szCs w:val="21"/>
                    </w:rPr>
                    <w:t>用水</w:t>
                  </w:r>
                </w:p>
              </w:tc>
              <w:tc>
                <w:tcPr>
                  <w:tcW w:w="564" w:type="pct"/>
                  <w:vAlign w:val="center"/>
                </w:tcPr>
                <w:p>
                  <w:pPr>
                    <w:pStyle w:val="29"/>
                    <w:spacing w:line="240" w:lineRule="auto"/>
                    <w:rPr>
                      <w:rFonts w:ascii="Times New Roman" w:hAnsi="Times New Roman"/>
                      <w:sz w:val="21"/>
                      <w:szCs w:val="21"/>
                    </w:rPr>
                  </w:pPr>
                  <w:r>
                    <w:rPr>
                      <w:rFonts w:ascii="Times New Roman" w:hAnsi="Times New Roman"/>
                      <w:sz w:val="21"/>
                      <w:szCs w:val="21"/>
                    </w:rPr>
                    <w:t>30辆/d</w:t>
                  </w:r>
                </w:p>
              </w:tc>
              <w:tc>
                <w:tcPr>
                  <w:tcW w:w="725" w:type="pct"/>
                  <w:vAlign w:val="center"/>
                </w:tcPr>
                <w:p>
                  <w:pPr>
                    <w:adjustRightInd w:val="0"/>
                    <w:snapToGrid w:val="0"/>
                    <w:jc w:val="center"/>
                    <w:rPr>
                      <w:rStyle w:val="30"/>
                      <w:sz w:val="21"/>
                      <w:szCs w:val="21"/>
                    </w:rPr>
                  </w:pPr>
                  <w:r>
                    <w:rPr>
                      <w:szCs w:val="21"/>
                    </w:rPr>
                    <w:t>90L/辆·次</w:t>
                  </w:r>
                </w:p>
              </w:tc>
              <w:tc>
                <w:tcPr>
                  <w:tcW w:w="458" w:type="pct"/>
                  <w:vMerge w:val="continue"/>
                  <w:vAlign w:val="center"/>
                </w:tcPr>
                <w:p>
                  <w:pPr>
                    <w:tabs>
                      <w:tab w:val="left" w:pos="426"/>
                    </w:tabs>
                    <w:jc w:val="center"/>
                    <w:rPr>
                      <w:rStyle w:val="28"/>
                      <w:color w:val="auto"/>
                      <w:sz w:val="21"/>
                      <w:szCs w:val="21"/>
                    </w:rPr>
                  </w:pPr>
                </w:p>
              </w:tc>
              <w:tc>
                <w:tcPr>
                  <w:tcW w:w="652" w:type="pct"/>
                  <w:vAlign w:val="center"/>
                </w:tcPr>
                <w:p>
                  <w:pPr>
                    <w:tabs>
                      <w:tab w:val="left" w:pos="426"/>
                    </w:tabs>
                    <w:jc w:val="center"/>
                    <w:rPr>
                      <w:rStyle w:val="28"/>
                      <w:color w:val="auto"/>
                      <w:sz w:val="21"/>
                      <w:szCs w:val="21"/>
                    </w:rPr>
                  </w:pPr>
                  <w:r>
                    <w:rPr>
                      <w:szCs w:val="21"/>
                    </w:rPr>
                    <w:t>2.7</w:t>
                  </w:r>
                </w:p>
              </w:tc>
              <w:tc>
                <w:tcPr>
                  <w:tcW w:w="588" w:type="pct"/>
                  <w:vAlign w:val="center"/>
                </w:tcPr>
                <w:p>
                  <w:pPr>
                    <w:tabs>
                      <w:tab w:val="left" w:pos="426"/>
                    </w:tabs>
                    <w:jc w:val="center"/>
                    <w:rPr>
                      <w:rStyle w:val="28"/>
                      <w:color w:val="auto"/>
                      <w:sz w:val="21"/>
                      <w:szCs w:val="21"/>
                    </w:rPr>
                  </w:pPr>
                  <w:r>
                    <w:rPr>
                      <w:rFonts w:hint="eastAsia"/>
                      <w:szCs w:val="21"/>
                    </w:rPr>
                    <w:t>810</w:t>
                  </w:r>
                </w:p>
              </w:tc>
              <w:tc>
                <w:tcPr>
                  <w:tcW w:w="492" w:type="pct"/>
                  <w:vAlign w:val="center"/>
                </w:tcPr>
                <w:p>
                  <w:pPr>
                    <w:tabs>
                      <w:tab w:val="left" w:pos="426"/>
                    </w:tabs>
                    <w:jc w:val="center"/>
                    <w:rPr>
                      <w:rStyle w:val="28"/>
                      <w:color w:val="auto"/>
                      <w:sz w:val="21"/>
                      <w:szCs w:val="21"/>
                    </w:rPr>
                  </w:pPr>
                  <w:r>
                    <w:rPr>
                      <w:szCs w:val="21"/>
                    </w:rPr>
                    <w:t>2.43</w:t>
                  </w:r>
                </w:p>
              </w:tc>
              <w:tc>
                <w:tcPr>
                  <w:tcW w:w="473" w:type="pct"/>
                  <w:vAlign w:val="center"/>
                </w:tcPr>
                <w:p>
                  <w:pPr>
                    <w:tabs>
                      <w:tab w:val="left" w:pos="426"/>
                    </w:tabs>
                    <w:jc w:val="center"/>
                    <w:rPr>
                      <w:rStyle w:val="28"/>
                      <w:color w:val="auto"/>
                      <w:sz w:val="21"/>
                      <w:szCs w:val="21"/>
                    </w:rPr>
                  </w:pPr>
                  <w:r>
                    <w:rPr>
                      <w:rFonts w:hint="eastAsia"/>
                      <w:szCs w:val="21"/>
                    </w:rPr>
                    <w:t>729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7"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4</w:t>
                  </w:r>
                </w:p>
              </w:tc>
              <w:tc>
                <w:tcPr>
                  <w:tcW w:w="821" w:type="pct"/>
                  <w:vAlign w:val="center"/>
                </w:tcPr>
                <w:p>
                  <w:pPr>
                    <w:tabs>
                      <w:tab w:val="left" w:pos="426"/>
                    </w:tabs>
                    <w:jc w:val="center"/>
                    <w:rPr>
                      <w:rStyle w:val="28"/>
                      <w:color w:val="FF0000"/>
                      <w:sz w:val="21"/>
                      <w:szCs w:val="21"/>
                    </w:rPr>
                  </w:pPr>
                  <w:r>
                    <w:rPr>
                      <w:color w:val="FF0000"/>
                      <w:szCs w:val="21"/>
                    </w:rPr>
                    <w:t>喷淋用水</w:t>
                  </w:r>
                </w:p>
              </w:tc>
              <w:tc>
                <w:tcPr>
                  <w:tcW w:w="564" w:type="pct"/>
                  <w:vAlign w:val="center"/>
                </w:tcPr>
                <w:p>
                  <w:pPr>
                    <w:pStyle w:val="29"/>
                    <w:spacing w:line="240" w:lineRule="auto"/>
                    <w:rPr>
                      <w:rFonts w:ascii="Times New Roman" w:hAnsi="Times New Roman"/>
                      <w:color w:val="FF0000"/>
                      <w:sz w:val="21"/>
                      <w:szCs w:val="21"/>
                    </w:rPr>
                  </w:pPr>
                  <w:r>
                    <w:rPr>
                      <w:rFonts w:ascii="Times New Roman" w:hAnsi="Times New Roman"/>
                      <w:color w:val="FF0000"/>
                      <w:sz w:val="21"/>
                      <w:szCs w:val="21"/>
                    </w:rPr>
                    <w:t>/</w:t>
                  </w:r>
                </w:p>
              </w:tc>
              <w:tc>
                <w:tcPr>
                  <w:tcW w:w="725" w:type="pct"/>
                  <w:vAlign w:val="center"/>
                </w:tcPr>
                <w:p>
                  <w:pPr>
                    <w:adjustRightInd w:val="0"/>
                    <w:snapToGrid w:val="0"/>
                    <w:jc w:val="center"/>
                    <w:rPr>
                      <w:rStyle w:val="30"/>
                      <w:color w:val="FF0000"/>
                      <w:sz w:val="21"/>
                      <w:szCs w:val="21"/>
                    </w:rPr>
                  </w:pPr>
                  <w:r>
                    <w:rPr>
                      <w:rFonts w:hint="eastAsia"/>
                      <w:color w:val="FF0000"/>
                      <w:szCs w:val="21"/>
                    </w:rPr>
                    <w:t>52</w:t>
                  </w:r>
                  <w:r>
                    <w:rPr>
                      <w:color w:val="FF0000"/>
                      <w:szCs w:val="21"/>
                    </w:rPr>
                    <w:t>m</w:t>
                  </w:r>
                  <w:r>
                    <w:rPr>
                      <w:color w:val="FF0000"/>
                      <w:szCs w:val="21"/>
                      <w:vertAlign w:val="superscript"/>
                    </w:rPr>
                    <w:t>3</w:t>
                  </w:r>
                  <w:r>
                    <w:rPr>
                      <w:color w:val="FF0000"/>
                      <w:szCs w:val="21"/>
                    </w:rPr>
                    <w:t>/d</w:t>
                  </w:r>
                </w:p>
              </w:tc>
              <w:tc>
                <w:tcPr>
                  <w:tcW w:w="458" w:type="pct"/>
                  <w:vMerge w:val="continue"/>
                  <w:vAlign w:val="center"/>
                </w:tcPr>
                <w:p>
                  <w:pPr>
                    <w:tabs>
                      <w:tab w:val="left" w:pos="426"/>
                    </w:tabs>
                    <w:jc w:val="center"/>
                    <w:rPr>
                      <w:rStyle w:val="28"/>
                      <w:color w:val="FF0000"/>
                      <w:sz w:val="21"/>
                      <w:szCs w:val="21"/>
                    </w:rPr>
                  </w:pPr>
                </w:p>
              </w:tc>
              <w:tc>
                <w:tcPr>
                  <w:tcW w:w="652" w:type="pct"/>
                  <w:vAlign w:val="center"/>
                </w:tcPr>
                <w:p>
                  <w:pPr>
                    <w:tabs>
                      <w:tab w:val="left" w:pos="426"/>
                    </w:tabs>
                    <w:jc w:val="center"/>
                    <w:rPr>
                      <w:rStyle w:val="28"/>
                      <w:color w:val="FF0000"/>
                      <w:sz w:val="21"/>
                      <w:szCs w:val="21"/>
                    </w:rPr>
                  </w:pPr>
                  <w:r>
                    <w:rPr>
                      <w:rStyle w:val="28"/>
                      <w:rFonts w:hint="eastAsia"/>
                      <w:color w:val="FF0000"/>
                      <w:sz w:val="21"/>
                      <w:szCs w:val="21"/>
                    </w:rPr>
                    <w:t>52</w:t>
                  </w:r>
                </w:p>
              </w:tc>
              <w:tc>
                <w:tcPr>
                  <w:tcW w:w="588" w:type="pct"/>
                  <w:vAlign w:val="center"/>
                </w:tcPr>
                <w:p>
                  <w:pPr>
                    <w:tabs>
                      <w:tab w:val="left" w:pos="426"/>
                    </w:tabs>
                    <w:jc w:val="center"/>
                    <w:rPr>
                      <w:rStyle w:val="28"/>
                      <w:color w:val="FF0000"/>
                      <w:sz w:val="21"/>
                      <w:szCs w:val="21"/>
                    </w:rPr>
                  </w:pPr>
                  <w:r>
                    <w:rPr>
                      <w:rFonts w:hint="eastAsia"/>
                      <w:color w:val="FF0000"/>
                      <w:szCs w:val="21"/>
                    </w:rPr>
                    <w:t>15600</w:t>
                  </w:r>
                </w:p>
              </w:tc>
              <w:tc>
                <w:tcPr>
                  <w:tcW w:w="492" w:type="pct"/>
                  <w:vAlign w:val="center"/>
                </w:tcPr>
                <w:p>
                  <w:pPr>
                    <w:tabs>
                      <w:tab w:val="left" w:pos="426"/>
                    </w:tabs>
                    <w:jc w:val="center"/>
                    <w:rPr>
                      <w:rStyle w:val="28"/>
                      <w:color w:val="FF0000"/>
                      <w:sz w:val="21"/>
                      <w:szCs w:val="21"/>
                    </w:rPr>
                  </w:pPr>
                  <w:r>
                    <w:rPr>
                      <w:rStyle w:val="28"/>
                      <w:color w:val="FF0000"/>
                      <w:sz w:val="21"/>
                      <w:szCs w:val="21"/>
                    </w:rPr>
                    <w:t>0</w:t>
                  </w:r>
                </w:p>
              </w:tc>
              <w:tc>
                <w:tcPr>
                  <w:tcW w:w="473" w:type="pct"/>
                  <w:vAlign w:val="center"/>
                </w:tcPr>
                <w:p>
                  <w:pPr>
                    <w:tabs>
                      <w:tab w:val="left" w:pos="426"/>
                    </w:tabs>
                    <w:jc w:val="center"/>
                    <w:rPr>
                      <w:rStyle w:val="28"/>
                      <w:color w:val="FF0000"/>
                      <w:sz w:val="21"/>
                      <w:szCs w:val="21"/>
                    </w:rPr>
                  </w:pPr>
                  <w:r>
                    <w:rPr>
                      <w:rStyle w:val="28"/>
                      <w:color w:val="FF000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7" w:type="pct"/>
                  <w:vAlign w:val="center"/>
                </w:tcPr>
                <w:p>
                  <w:pPr>
                    <w:pStyle w:val="29"/>
                    <w:spacing w:line="240" w:lineRule="auto"/>
                    <w:rPr>
                      <w:rFonts w:ascii="Times New Roman" w:hAnsi="Times New Roman"/>
                      <w:sz w:val="21"/>
                      <w:szCs w:val="21"/>
                    </w:rPr>
                  </w:pPr>
                  <w:r>
                    <w:rPr>
                      <w:rFonts w:hint="eastAsia" w:ascii="Times New Roman" w:hAnsi="Times New Roman"/>
                      <w:sz w:val="21"/>
                      <w:szCs w:val="21"/>
                    </w:rPr>
                    <w:t>5</w:t>
                  </w:r>
                </w:p>
              </w:tc>
              <w:tc>
                <w:tcPr>
                  <w:tcW w:w="821" w:type="pct"/>
                  <w:vAlign w:val="center"/>
                </w:tcPr>
                <w:p>
                  <w:pPr>
                    <w:tabs>
                      <w:tab w:val="left" w:pos="426"/>
                    </w:tabs>
                    <w:jc w:val="center"/>
                    <w:rPr>
                      <w:color w:val="FF0000"/>
                      <w:szCs w:val="21"/>
                    </w:rPr>
                  </w:pPr>
                  <w:r>
                    <w:rPr>
                      <w:rFonts w:hint="eastAsia"/>
                      <w:color w:val="FF0000"/>
                      <w:szCs w:val="21"/>
                    </w:rPr>
                    <w:t>道路降尘用水</w:t>
                  </w:r>
                </w:p>
              </w:tc>
              <w:tc>
                <w:tcPr>
                  <w:tcW w:w="564" w:type="pct"/>
                  <w:vAlign w:val="center"/>
                </w:tcPr>
                <w:p>
                  <w:pPr>
                    <w:pStyle w:val="29"/>
                    <w:spacing w:line="240" w:lineRule="auto"/>
                    <w:rPr>
                      <w:rFonts w:ascii="Times New Roman" w:hAnsi="Times New Roman"/>
                      <w:color w:val="FF0000"/>
                      <w:sz w:val="21"/>
                      <w:szCs w:val="21"/>
                    </w:rPr>
                  </w:pPr>
                  <w:r>
                    <w:rPr>
                      <w:rFonts w:hint="eastAsia" w:ascii="Times New Roman" w:hAnsi="Times New Roman"/>
                      <w:color w:val="FF0000"/>
                      <w:sz w:val="21"/>
                      <w:szCs w:val="21"/>
                    </w:rPr>
                    <w:t>/</w:t>
                  </w:r>
                </w:p>
              </w:tc>
              <w:tc>
                <w:tcPr>
                  <w:tcW w:w="725" w:type="pct"/>
                  <w:vAlign w:val="center"/>
                </w:tcPr>
                <w:p>
                  <w:pPr>
                    <w:adjustRightInd w:val="0"/>
                    <w:snapToGrid w:val="0"/>
                    <w:jc w:val="center"/>
                    <w:rPr>
                      <w:color w:val="FF0000"/>
                      <w:szCs w:val="21"/>
                    </w:rPr>
                  </w:pPr>
                  <w:r>
                    <w:rPr>
                      <w:rFonts w:hint="eastAsia"/>
                      <w:color w:val="FF0000"/>
                      <w:szCs w:val="21"/>
                    </w:rPr>
                    <w:t>39.6</w:t>
                  </w:r>
                  <w:r>
                    <w:rPr>
                      <w:color w:val="FF0000"/>
                      <w:szCs w:val="21"/>
                    </w:rPr>
                    <w:t>m</w:t>
                  </w:r>
                  <w:r>
                    <w:rPr>
                      <w:color w:val="FF0000"/>
                      <w:szCs w:val="21"/>
                      <w:vertAlign w:val="superscript"/>
                    </w:rPr>
                    <w:t>3</w:t>
                  </w:r>
                  <w:r>
                    <w:rPr>
                      <w:color w:val="FF0000"/>
                      <w:szCs w:val="21"/>
                    </w:rPr>
                    <w:t>/d</w:t>
                  </w:r>
                </w:p>
              </w:tc>
              <w:tc>
                <w:tcPr>
                  <w:tcW w:w="458" w:type="pct"/>
                  <w:vAlign w:val="center"/>
                </w:tcPr>
                <w:p>
                  <w:pPr>
                    <w:tabs>
                      <w:tab w:val="left" w:pos="426"/>
                    </w:tabs>
                    <w:jc w:val="center"/>
                    <w:rPr>
                      <w:rStyle w:val="28"/>
                      <w:color w:val="FF0000"/>
                      <w:sz w:val="21"/>
                      <w:szCs w:val="21"/>
                    </w:rPr>
                  </w:pPr>
                  <w:r>
                    <w:rPr>
                      <w:rStyle w:val="28"/>
                      <w:rFonts w:hint="eastAsia"/>
                      <w:color w:val="FF0000"/>
                      <w:sz w:val="21"/>
                      <w:szCs w:val="21"/>
                    </w:rPr>
                    <w:t>180</w:t>
                  </w:r>
                  <w:r>
                    <w:rPr>
                      <w:rStyle w:val="28"/>
                      <w:color w:val="FF0000"/>
                      <w:sz w:val="21"/>
                      <w:szCs w:val="21"/>
                    </w:rPr>
                    <w:t>d</w:t>
                  </w:r>
                </w:p>
              </w:tc>
              <w:tc>
                <w:tcPr>
                  <w:tcW w:w="652" w:type="pct"/>
                  <w:vAlign w:val="center"/>
                </w:tcPr>
                <w:p>
                  <w:pPr>
                    <w:tabs>
                      <w:tab w:val="left" w:pos="426"/>
                    </w:tabs>
                    <w:jc w:val="center"/>
                    <w:rPr>
                      <w:rStyle w:val="28"/>
                      <w:color w:val="FF0000"/>
                      <w:sz w:val="21"/>
                      <w:szCs w:val="21"/>
                    </w:rPr>
                  </w:pPr>
                  <w:r>
                    <w:rPr>
                      <w:rStyle w:val="28"/>
                      <w:rFonts w:hint="eastAsia"/>
                      <w:color w:val="FF0000"/>
                      <w:sz w:val="21"/>
                      <w:szCs w:val="21"/>
                    </w:rPr>
                    <w:t>39.6</w:t>
                  </w:r>
                </w:p>
              </w:tc>
              <w:tc>
                <w:tcPr>
                  <w:tcW w:w="588" w:type="pct"/>
                  <w:vAlign w:val="center"/>
                </w:tcPr>
                <w:p>
                  <w:pPr>
                    <w:tabs>
                      <w:tab w:val="left" w:pos="426"/>
                    </w:tabs>
                    <w:jc w:val="center"/>
                    <w:rPr>
                      <w:color w:val="FF0000"/>
                      <w:szCs w:val="21"/>
                    </w:rPr>
                  </w:pPr>
                  <w:r>
                    <w:rPr>
                      <w:rFonts w:hint="eastAsia"/>
                      <w:color w:val="FF0000"/>
                      <w:szCs w:val="21"/>
                    </w:rPr>
                    <w:t>7128</w:t>
                  </w:r>
                </w:p>
              </w:tc>
              <w:tc>
                <w:tcPr>
                  <w:tcW w:w="492" w:type="pct"/>
                  <w:vAlign w:val="center"/>
                </w:tcPr>
                <w:p>
                  <w:pPr>
                    <w:tabs>
                      <w:tab w:val="left" w:pos="426"/>
                    </w:tabs>
                    <w:jc w:val="center"/>
                    <w:rPr>
                      <w:rStyle w:val="28"/>
                      <w:color w:val="FF0000"/>
                      <w:sz w:val="21"/>
                      <w:szCs w:val="21"/>
                    </w:rPr>
                  </w:pPr>
                  <w:r>
                    <w:rPr>
                      <w:rStyle w:val="28"/>
                      <w:rFonts w:hint="eastAsia"/>
                      <w:color w:val="FF0000"/>
                      <w:sz w:val="21"/>
                      <w:szCs w:val="21"/>
                    </w:rPr>
                    <w:t>0</w:t>
                  </w:r>
                </w:p>
              </w:tc>
              <w:tc>
                <w:tcPr>
                  <w:tcW w:w="473" w:type="pct"/>
                  <w:vAlign w:val="center"/>
                </w:tcPr>
                <w:p>
                  <w:pPr>
                    <w:tabs>
                      <w:tab w:val="left" w:pos="426"/>
                    </w:tabs>
                    <w:jc w:val="center"/>
                    <w:rPr>
                      <w:rStyle w:val="28"/>
                      <w:color w:val="FF0000"/>
                      <w:sz w:val="21"/>
                      <w:szCs w:val="21"/>
                    </w:rPr>
                  </w:pPr>
                  <w:r>
                    <w:rPr>
                      <w:rStyle w:val="28"/>
                      <w:rFonts w:hint="eastAsia"/>
                      <w:color w:val="FF000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95" w:type="pct"/>
                  <w:gridSpan w:val="5"/>
                  <w:vAlign w:val="center"/>
                </w:tcPr>
                <w:p>
                  <w:pPr>
                    <w:pStyle w:val="27"/>
                    <w:spacing w:before="0" w:after="0"/>
                    <w:rPr>
                      <w:color w:val="FF0000"/>
                    </w:rPr>
                  </w:pPr>
                  <w:r>
                    <w:rPr>
                      <w:color w:val="FF0000"/>
                    </w:rPr>
                    <w:t>合计</w:t>
                  </w:r>
                </w:p>
              </w:tc>
              <w:tc>
                <w:tcPr>
                  <w:tcW w:w="652" w:type="pct"/>
                  <w:vAlign w:val="center"/>
                </w:tcPr>
                <w:p>
                  <w:pPr>
                    <w:pStyle w:val="27"/>
                    <w:spacing w:before="0" w:after="0"/>
                    <w:rPr>
                      <w:color w:val="FF0000"/>
                    </w:rPr>
                  </w:pPr>
                  <w:r>
                    <w:rPr>
                      <w:rFonts w:hint="eastAsia"/>
                      <w:color w:val="FF0000"/>
                    </w:rPr>
                    <w:t>94.68</w:t>
                  </w:r>
                </w:p>
              </w:tc>
              <w:tc>
                <w:tcPr>
                  <w:tcW w:w="588" w:type="pct"/>
                  <w:vAlign w:val="center"/>
                </w:tcPr>
                <w:p>
                  <w:pPr>
                    <w:pStyle w:val="27"/>
                    <w:spacing w:before="0" w:after="0"/>
                    <w:rPr>
                      <w:color w:val="FF0000"/>
                    </w:rPr>
                  </w:pPr>
                  <w:r>
                    <w:rPr>
                      <w:rFonts w:hint="eastAsia"/>
                      <w:color w:val="FF0000"/>
                    </w:rPr>
                    <w:t>23652</w:t>
                  </w:r>
                </w:p>
              </w:tc>
              <w:tc>
                <w:tcPr>
                  <w:tcW w:w="492" w:type="pct"/>
                  <w:vAlign w:val="center"/>
                </w:tcPr>
                <w:p>
                  <w:pPr>
                    <w:pStyle w:val="27"/>
                    <w:rPr>
                      <w:color w:val="FF0000"/>
                    </w:rPr>
                  </w:pPr>
                  <w:r>
                    <w:rPr>
                      <w:rFonts w:hint="eastAsia"/>
                      <w:color w:val="FF0000"/>
                    </w:rPr>
                    <w:t>2.57</w:t>
                  </w:r>
                </w:p>
              </w:tc>
              <w:tc>
                <w:tcPr>
                  <w:tcW w:w="473" w:type="pct"/>
                  <w:vAlign w:val="center"/>
                </w:tcPr>
                <w:p>
                  <w:pPr>
                    <w:pStyle w:val="27"/>
                    <w:rPr>
                      <w:color w:val="FF0000"/>
                    </w:rPr>
                  </w:pPr>
                  <w:r>
                    <w:rPr>
                      <w:rFonts w:hint="eastAsia"/>
                      <w:color w:val="FF0000"/>
                    </w:rPr>
                    <w:t>772.2</w:t>
                  </w:r>
                </w:p>
              </w:tc>
            </w:tr>
          </w:tbl>
          <w:p>
            <w:pPr>
              <w:spacing w:line="360" w:lineRule="auto"/>
              <w:jc w:val="center"/>
              <w:rPr>
                <w:rStyle w:val="28"/>
                <w:b/>
                <w:bCs/>
                <w:color w:val="auto"/>
                <w:sz w:val="21"/>
                <w:szCs w:val="21"/>
              </w:rPr>
            </w:pPr>
            <w:r>
              <w:drawing>
                <wp:inline distT="0" distB="0" distL="0" distR="0">
                  <wp:extent cx="5695950" cy="288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96243" cy="2883048"/>
                          </a:xfrm>
                          <a:prstGeom prst="rect">
                            <a:avLst/>
                          </a:prstGeom>
                        </pic:spPr>
                      </pic:pic>
                    </a:graphicData>
                  </a:graphic>
                </wp:inline>
              </w:drawing>
            </w:r>
          </w:p>
          <w:p>
            <w:pPr>
              <w:spacing w:line="360" w:lineRule="auto"/>
              <w:jc w:val="center"/>
              <w:rPr>
                <w:b/>
                <w:bCs/>
                <w:color w:val="FF0000"/>
                <w:szCs w:val="21"/>
              </w:rPr>
            </w:pPr>
            <w:r>
              <w:rPr>
                <w:rStyle w:val="28"/>
                <w:b/>
                <w:bCs/>
                <w:color w:val="FF0000"/>
                <w:sz w:val="21"/>
                <w:szCs w:val="21"/>
              </w:rPr>
              <w:t>图1  项目水平衡图单位：m</w:t>
            </w:r>
            <w:r>
              <w:rPr>
                <w:rStyle w:val="28"/>
                <w:b/>
                <w:bCs/>
                <w:color w:val="FF0000"/>
                <w:sz w:val="21"/>
                <w:szCs w:val="21"/>
                <w:vertAlign w:val="superscript"/>
              </w:rPr>
              <w:t>3</w:t>
            </w:r>
            <w:r>
              <w:rPr>
                <w:rStyle w:val="28"/>
                <w:b/>
                <w:bCs/>
                <w:color w:val="FF0000"/>
                <w:sz w:val="21"/>
                <w:szCs w:val="21"/>
              </w:rPr>
              <w:t>/d</w:t>
            </w:r>
          </w:p>
          <w:p>
            <w:pPr>
              <w:spacing w:line="336" w:lineRule="auto"/>
              <w:ind w:firstLine="470" w:firstLineChars="196"/>
              <w:rPr>
                <w:rStyle w:val="28"/>
                <w:color w:val="auto"/>
                <w:sz w:val="24"/>
                <w:szCs w:val="24"/>
              </w:rPr>
            </w:pPr>
            <w:r>
              <w:rPr>
                <w:bCs/>
                <w:sz w:val="24"/>
              </w:rPr>
              <w:t>（2）供电</w:t>
            </w:r>
          </w:p>
          <w:p>
            <w:pPr>
              <w:spacing w:line="336" w:lineRule="auto"/>
              <w:ind w:firstLine="480" w:firstLineChars="200"/>
              <w:rPr>
                <w:rStyle w:val="28"/>
                <w:color w:val="auto"/>
                <w:sz w:val="24"/>
                <w:szCs w:val="24"/>
              </w:rPr>
            </w:pPr>
            <w:r>
              <w:rPr>
                <w:rStyle w:val="28"/>
                <w:color w:val="auto"/>
                <w:sz w:val="24"/>
                <w:szCs w:val="24"/>
              </w:rPr>
              <w:t>本项目用电</w:t>
            </w:r>
            <w:r>
              <w:rPr>
                <w:bCs/>
                <w:sz w:val="24"/>
              </w:rPr>
              <w:t>引自</w:t>
            </w:r>
            <w:r>
              <w:rPr>
                <w:rFonts w:hint="eastAsia"/>
                <w:bCs/>
                <w:sz w:val="24"/>
              </w:rPr>
              <w:t>区域</w:t>
            </w:r>
            <w:r>
              <w:rPr>
                <w:bCs/>
                <w:sz w:val="24"/>
              </w:rPr>
              <w:t>电网</w:t>
            </w:r>
            <w:r>
              <w:rPr>
                <w:rStyle w:val="28"/>
                <w:color w:val="auto"/>
                <w:sz w:val="24"/>
                <w:szCs w:val="24"/>
              </w:rPr>
              <w:t>。</w:t>
            </w:r>
          </w:p>
          <w:p>
            <w:pPr>
              <w:spacing w:line="336" w:lineRule="auto"/>
              <w:ind w:firstLine="470" w:firstLineChars="196"/>
              <w:rPr>
                <w:bCs/>
                <w:sz w:val="24"/>
              </w:rPr>
            </w:pPr>
            <w:r>
              <w:rPr>
                <w:bCs/>
                <w:sz w:val="24"/>
              </w:rPr>
              <w:t>（3）供热</w:t>
            </w:r>
          </w:p>
          <w:p>
            <w:pPr>
              <w:spacing w:line="336" w:lineRule="auto"/>
              <w:ind w:firstLine="480"/>
              <w:rPr>
                <w:sz w:val="24"/>
              </w:rPr>
            </w:pPr>
            <w:r>
              <w:rPr>
                <w:sz w:val="24"/>
              </w:rPr>
              <w:t>本项目生产工序不需要供热，办公生活供暖采用分体式空调。</w:t>
            </w:r>
          </w:p>
          <w:p>
            <w:pPr>
              <w:topLinePunct/>
              <w:spacing w:line="336" w:lineRule="auto"/>
              <w:ind w:firstLine="480" w:firstLineChars="200"/>
              <w:jc w:val="left"/>
              <w:rPr>
                <w:snapToGrid w:val="0"/>
                <w:kern w:val="0"/>
                <w:sz w:val="24"/>
              </w:rPr>
            </w:pPr>
            <w:r>
              <w:rPr>
                <w:bCs/>
                <w:kern w:val="44"/>
                <w:sz w:val="24"/>
              </w:rPr>
              <w:t>（4）</w:t>
            </w:r>
            <w:r>
              <w:rPr>
                <w:snapToGrid w:val="0"/>
                <w:kern w:val="0"/>
                <w:sz w:val="24"/>
              </w:rPr>
              <w:t>运输</w:t>
            </w:r>
          </w:p>
          <w:p>
            <w:pPr>
              <w:spacing w:line="336" w:lineRule="auto"/>
              <w:ind w:firstLine="480" w:firstLineChars="200"/>
              <w:rPr>
                <w:sz w:val="24"/>
              </w:rPr>
            </w:pPr>
            <w:r>
              <w:rPr>
                <w:sz w:val="24"/>
              </w:rPr>
              <w:t>本项目原料及成品均汽车密闭运输。</w:t>
            </w:r>
          </w:p>
          <w:p>
            <w:pPr>
              <w:spacing w:line="336" w:lineRule="auto"/>
              <w:ind w:firstLine="480" w:firstLineChars="200"/>
              <w:rPr>
                <w:rStyle w:val="28"/>
                <w:rFonts w:eastAsia="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9286" w:type="dxa"/>
            <w:gridSpan w:val="10"/>
            <w:tcBorders>
              <w:top w:val="single" w:color="auto" w:sz="4" w:space="0"/>
              <w:left w:val="single" w:color="auto" w:sz="12" w:space="0"/>
              <w:bottom w:val="single" w:color="auto" w:sz="12" w:space="0"/>
              <w:right w:val="single" w:color="auto" w:sz="12" w:space="0"/>
            </w:tcBorders>
          </w:tcPr>
          <w:p>
            <w:pPr>
              <w:spacing w:line="360" w:lineRule="auto"/>
            </w:pPr>
            <w:r>
              <w:rPr>
                <w:b/>
                <w:bCs/>
                <w:sz w:val="24"/>
              </w:rPr>
              <w:t>与本项目有关的原有污染情况及主要环境问题</w:t>
            </w:r>
            <w:r>
              <w:rPr>
                <w:sz w:val="24"/>
              </w:rPr>
              <w:t>：</w:t>
            </w:r>
          </w:p>
          <w:p>
            <w:pPr>
              <w:spacing w:line="360" w:lineRule="auto"/>
              <w:ind w:firstLine="480" w:firstLineChars="200"/>
              <w:rPr>
                <w:bCs/>
                <w:sz w:val="24"/>
              </w:rPr>
            </w:pPr>
            <w:r>
              <w:rPr>
                <w:bCs/>
                <w:sz w:val="24"/>
              </w:rPr>
              <w:t>本项目</w:t>
            </w:r>
            <w:r>
              <w:rPr>
                <w:rFonts w:hint="eastAsia"/>
                <w:bCs/>
                <w:sz w:val="24"/>
              </w:rPr>
              <w:t>为新建项目，租赁空地（见附件），因此不存在与本项目有关的原有</w:t>
            </w:r>
            <w:r>
              <w:rPr>
                <w:bCs/>
                <w:sz w:val="24"/>
              </w:rPr>
              <w:t>污染问题</w:t>
            </w:r>
            <w:r>
              <w:rPr>
                <w:rFonts w:hint="eastAsia"/>
                <w:bCs/>
                <w:sz w:val="24"/>
              </w:rPr>
              <w:t>。</w:t>
            </w:r>
          </w:p>
          <w:p>
            <w:pPr>
              <w:spacing w:line="360" w:lineRule="auto"/>
              <w:rPr>
                <w:bCs/>
                <w:sz w:val="24"/>
              </w:rPr>
            </w:pPr>
          </w:p>
        </w:tc>
      </w:tr>
    </w:tbl>
    <w:p>
      <w:pPr>
        <w:pStyle w:val="7"/>
        <w:spacing w:after="0" w:line="360" w:lineRule="auto"/>
        <w:ind w:left="0" w:leftChars="0"/>
        <w:rPr>
          <w:sz w:val="28"/>
          <w:szCs w:val="28"/>
        </w:rPr>
        <w:sectPr>
          <w:footerReference r:id="rId4" w:type="default"/>
          <w:pgSz w:w="11906" w:h="16838"/>
          <w:pgMar w:top="1418" w:right="1418" w:bottom="1418" w:left="1418" w:header="851" w:footer="992" w:gutter="0"/>
          <w:pgNumType w:start="1"/>
          <w:cols w:space="720" w:num="1"/>
          <w:docGrid w:type="linesAndChars" w:linePitch="312" w:charSpace="0"/>
        </w:sectPr>
      </w:pPr>
    </w:p>
    <w:p>
      <w:pPr>
        <w:pStyle w:val="15"/>
        <w:spacing w:before="0" w:after="0" w:line="360" w:lineRule="auto"/>
        <w:jc w:val="left"/>
        <w:rPr>
          <w:rFonts w:ascii="Times New Roman" w:hAnsi="Times New Roman"/>
        </w:rPr>
      </w:pPr>
      <w:r>
        <w:rPr>
          <w:rFonts w:ascii="Times New Roman" w:hAnsi="Times New Roman"/>
        </w:rPr>
        <w:t>建设项目所在地自然环境简况</w:t>
      </w:r>
    </w:p>
    <w:tbl>
      <w:tblPr>
        <w:tblStyle w:val="19"/>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36" w:hRule="atLeast"/>
        </w:trPr>
        <w:tc>
          <w:tcPr>
            <w:tcW w:w="9286" w:type="dxa"/>
          </w:tcPr>
          <w:p>
            <w:pPr>
              <w:pStyle w:val="6"/>
              <w:adjustRightInd w:val="0"/>
              <w:snapToGrid w:val="0"/>
              <w:spacing w:before="156" w:beforeLines="50" w:after="156" w:afterLines="50" w:line="312" w:lineRule="auto"/>
              <w:rPr>
                <w:b/>
                <w:sz w:val="28"/>
                <w:szCs w:val="28"/>
              </w:rPr>
            </w:pPr>
            <w:r>
              <w:rPr>
                <w:b/>
                <w:sz w:val="28"/>
                <w:szCs w:val="28"/>
              </w:rPr>
              <w:t>自然环境简况（地形、地貌、地质、气候、气象、水文、植被、生物多样性等）：</w:t>
            </w:r>
          </w:p>
          <w:p>
            <w:pPr>
              <w:spacing w:line="360" w:lineRule="auto"/>
              <w:ind w:firstLine="470" w:firstLineChars="196"/>
              <w:rPr>
                <w:b/>
                <w:snapToGrid w:val="0"/>
                <w:kern w:val="0"/>
                <w:sz w:val="24"/>
              </w:rPr>
            </w:pPr>
            <w:r>
              <w:rPr>
                <w:rFonts w:hint="eastAsia"/>
                <w:b/>
                <w:snapToGrid w:val="0"/>
                <w:kern w:val="0"/>
                <w:sz w:val="24"/>
              </w:rPr>
              <w:t>1</w:t>
            </w:r>
            <w:r>
              <w:rPr>
                <w:b/>
                <w:snapToGrid w:val="0"/>
                <w:kern w:val="0"/>
                <w:sz w:val="24"/>
              </w:rPr>
              <w:t>、</w:t>
            </w:r>
            <w:r>
              <w:rPr>
                <w:rFonts w:hint="eastAsia"/>
                <w:b/>
                <w:snapToGrid w:val="0"/>
                <w:kern w:val="0"/>
                <w:sz w:val="24"/>
              </w:rPr>
              <w:t>地理位置</w:t>
            </w:r>
          </w:p>
          <w:p>
            <w:pPr>
              <w:spacing w:line="360" w:lineRule="auto"/>
              <w:ind w:firstLine="480" w:firstLineChars="200"/>
              <w:rPr>
                <w:sz w:val="24"/>
              </w:rPr>
            </w:pPr>
            <w:r>
              <w:rPr>
                <w:sz w:val="24"/>
              </w:rPr>
              <w:t>石泉县地处安康西北部，北依秦岭，南接巴山，全县总面积1525km</w:t>
            </w:r>
            <w:r>
              <w:rPr>
                <w:sz w:val="24"/>
                <w:vertAlign w:val="superscript"/>
              </w:rPr>
              <w:t>2</w:t>
            </w:r>
            <w:r>
              <w:rPr>
                <w:sz w:val="24"/>
              </w:rPr>
              <w:t>，东西直距42.75km，南北直距63.05 km，地跨北纬32°45′57″~33°19′56″，东径108°01′8″~108°28′42″之间，处于西安、重庆、武汉三大城市群之间，县域北依宁陕县、南临紫阳县、东达汉阴县、西接汉中西乡县。</w:t>
            </w:r>
          </w:p>
          <w:p>
            <w:pPr>
              <w:spacing w:line="360" w:lineRule="auto"/>
              <w:ind w:firstLine="470" w:firstLineChars="196"/>
              <w:rPr>
                <w:sz w:val="24"/>
              </w:rPr>
            </w:pPr>
            <w:r>
              <w:rPr>
                <w:sz w:val="24"/>
              </w:rPr>
              <w:t>本项目位于石泉县城关镇</w:t>
            </w:r>
            <w:r>
              <w:rPr>
                <w:rFonts w:hint="eastAsia"/>
                <w:sz w:val="24"/>
              </w:rPr>
              <w:t>，</w:t>
            </w:r>
            <w:r>
              <w:rPr>
                <w:sz w:val="24"/>
              </w:rPr>
              <w:t>是石泉政治、经济和文化中心。全镇总户数</w:t>
            </w:r>
            <w:r>
              <w:rPr>
                <w:rFonts w:hint="eastAsia"/>
                <w:sz w:val="24"/>
              </w:rPr>
              <w:t>24394</w:t>
            </w:r>
            <w:r>
              <w:rPr>
                <w:sz w:val="24"/>
              </w:rPr>
              <w:t>户，总人口</w:t>
            </w:r>
            <w:r>
              <w:rPr>
                <w:rFonts w:hint="eastAsia"/>
                <w:sz w:val="24"/>
              </w:rPr>
              <w:t>71584</w:t>
            </w:r>
            <w:r>
              <w:rPr>
                <w:sz w:val="24"/>
              </w:rPr>
              <w:t>人</w:t>
            </w:r>
            <w:r>
              <w:rPr>
                <w:rFonts w:hint="eastAsia"/>
                <w:sz w:val="24"/>
              </w:rPr>
              <w:t>。项目</w:t>
            </w:r>
            <w:r>
              <w:rPr>
                <w:sz w:val="24"/>
              </w:rPr>
              <w:t>具体地理位置见附图。</w:t>
            </w:r>
          </w:p>
          <w:p>
            <w:pPr>
              <w:spacing w:line="360" w:lineRule="auto"/>
              <w:ind w:firstLine="470" w:firstLineChars="196"/>
              <w:rPr>
                <w:b/>
                <w:snapToGrid w:val="0"/>
                <w:kern w:val="0"/>
                <w:sz w:val="24"/>
              </w:rPr>
            </w:pPr>
            <w:r>
              <w:rPr>
                <w:rFonts w:hint="eastAsia"/>
                <w:b/>
                <w:snapToGrid w:val="0"/>
                <w:kern w:val="0"/>
                <w:sz w:val="24"/>
              </w:rPr>
              <w:t>2</w:t>
            </w:r>
            <w:r>
              <w:rPr>
                <w:b/>
                <w:snapToGrid w:val="0"/>
                <w:kern w:val="0"/>
                <w:sz w:val="24"/>
              </w:rPr>
              <w:t>、地质构造</w:t>
            </w:r>
          </w:p>
          <w:p>
            <w:pPr>
              <w:autoSpaceDE w:val="0"/>
              <w:autoSpaceDN w:val="0"/>
              <w:spacing w:line="360" w:lineRule="auto"/>
              <w:ind w:firstLine="500" w:firstLineChars="200"/>
              <w:jc w:val="left"/>
              <w:rPr>
                <w:spacing w:val="5"/>
                <w:kern w:val="0"/>
                <w:sz w:val="24"/>
              </w:rPr>
            </w:pPr>
            <w:bookmarkStart w:id="0" w:name="_Toc290041624"/>
            <w:bookmarkStart w:id="1" w:name="_Toc301973673"/>
            <w:bookmarkStart w:id="2" w:name="_Toc290165290"/>
            <w:bookmarkStart w:id="3" w:name="_Toc290164848"/>
            <w:r>
              <w:rPr>
                <w:spacing w:val="5"/>
                <w:kern w:val="0"/>
                <w:sz w:val="24"/>
              </w:rPr>
              <w:t>石泉以巴山大断层（两河口-喜河-熨斗-五里坝）为界，地理构造跨越扬子准地台和秦岭地槽量大构造单元。东部及东北部属秦岭南中段地槽型的加里东褶皱带，构造线方向呈北西-北西西向。因受多期造山运动的影响，强烈的褶皱、断裂和大幅度的抬升，形成了山势巍峨、峰峦挺拔的景观。中生代白垩纪，以断裂活动为主，同时伴随相当剧烈的岩浆活动，形成了溶洞和洪岸型“喀斯特”地貌；秦岭山地所出露的花岗石，多半属于燕山区；新第三纪以来的喜马拉雅山运动，同样以断裂为主，不仅增多了山涧坝子，而且也奠定了重峦叠嶂，河网密布的景观。西南部属扬子-准地台边缘的大巴山北坡，构造以褶皱为主，呈南北向。山势比较平缓，多呈浑圆形山脊，坡脚多出现山涧坝子和宽阔河谷。</w:t>
            </w:r>
          </w:p>
          <w:p>
            <w:pPr>
              <w:spacing w:line="360" w:lineRule="auto"/>
              <w:ind w:firstLine="480" w:firstLineChars="200"/>
              <w:rPr>
                <w:sz w:val="24"/>
              </w:rPr>
            </w:pPr>
            <w:r>
              <w:rPr>
                <w:sz w:val="24"/>
              </w:rPr>
              <w:t>地震是区域活动性最明显的表现形式，安康属地震活动区，地震活动频繁。2008年汶川地震，石泉县属于震波区，震感明显。根据《中国地震参数区划分图》（GB18306～2001），区内地震动峰值加速度为0.05g，反应谱特征周期0.40s，相应的地震</w:t>
            </w:r>
            <w:r>
              <w:rPr>
                <w:rFonts w:hint="eastAsia"/>
                <w:sz w:val="24"/>
              </w:rPr>
              <w:t>设防</w:t>
            </w:r>
            <w:r>
              <w:rPr>
                <w:sz w:val="24"/>
              </w:rPr>
              <w:t>基本烈度为</w:t>
            </w:r>
            <w:r>
              <w:rPr>
                <w:rFonts w:hint="eastAsia" w:ascii="宋体" w:hAnsi="宋体" w:cs="宋体"/>
                <w:sz w:val="24"/>
              </w:rPr>
              <w:t>Ⅵ</w:t>
            </w:r>
            <w:r>
              <w:rPr>
                <w:sz w:val="24"/>
              </w:rPr>
              <w:t>度。</w:t>
            </w:r>
            <w:bookmarkStart w:id="4" w:name="_Hlt69744143"/>
            <w:bookmarkEnd w:id="4"/>
          </w:p>
          <w:bookmarkEnd w:id="0"/>
          <w:bookmarkEnd w:id="1"/>
          <w:bookmarkEnd w:id="2"/>
          <w:bookmarkEnd w:id="3"/>
          <w:p>
            <w:pPr>
              <w:spacing w:line="360" w:lineRule="auto"/>
              <w:ind w:firstLine="482"/>
              <w:rPr>
                <w:b/>
                <w:snapToGrid w:val="0"/>
                <w:kern w:val="0"/>
                <w:sz w:val="24"/>
              </w:rPr>
            </w:pPr>
            <w:r>
              <w:rPr>
                <w:rFonts w:hint="eastAsia"/>
                <w:b/>
                <w:snapToGrid w:val="0"/>
                <w:kern w:val="0"/>
                <w:sz w:val="24"/>
              </w:rPr>
              <w:t>3</w:t>
            </w:r>
            <w:r>
              <w:rPr>
                <w:b/>
                <w:snapToGrid w:val="0"/>
                <w:kern w:val="0"/>
                <w:sz w:val="24"/>
              </w:rPr>
              <w:t>、气候</w:t>
            </w:r>
            <w:r>
              <w:rPr>
                <w:rFonts w:hint="eastAsia"/>
                <w:b/>
                <w:snapToGrid w:val="0"/>
                <w:kern w:val="0"/>
                <w:sz w:val="24"/>
              </w:rPr>
              <w:t>特征</w:t>
            </w:r>
          </w:p>
          <w:p>
            <w:pPr>
              <w:spacing w:line="360" w:lineRule="auto"/>
              <w:ind w:firstLine="480" w:firstLineChars="200"/>
              <w:rPr>
                <w:sz w:val="24"/>
              </w:rPr>
            </w:pPr>
            <w:r>
              <w:rPr>
                <w:sz w:val="24"/>
              </w:rPr>
              <w:t>石泉县属亚热带季风湿润气候，四季分明，雨量充沛，热量充足，温和湿润，年平均气温14.6</w:t>
            </w:r>
            <w:r>
              <w:rPr>
                <w:rFonts w:hint="eastAsia" w:ascii="宋体" w:hAnsi="宋体" w:cs="宋体"/>
                <w:sz w:val="24"/>
              </w:rPr>
              <w:t>℃</w:t>
            </w:r>
            <w:r>
              <w:rPr>
                <w:sz w:val="24"/>
              </w:rPr>
              <w:t>，地域差异1-3</w:t>
            </w:r>
            <w:r>
              <w:rPr>
                <w:rFonts w:hint="eastAsia" w:ascii="宋体" w:hAnsi="宋体" w:cs="宋体"/>
                <w:sz w:val="24"/>
              </w:rPr>
              <w:t>℃</w:t>
            </w:r>
            <w:r>
              <w:rPr>
                <w:sz w:val="24"/>
              </w:rPr>
              <w:t>，年较差23</w:t>
            </w:r>
            <w:r>
              <w:rPr>
                <w:rFonts w:hint="eastAsia" w:ascii="宋体" w:hAnsi="宋体" w:cs="宋体"/>
                <w:sz w:val="24"/>
              </w:rPr>
              <w:t>℃</w:t>
            </w:r>
            <w:r>
              <w:rPr>
                <w:sz w:val="24"/>
              </w:rPr>
              <w:t>，日较差10</w:t>
            </w:r>
            <w:r>
              <w:rPr>
                <w:rFonts w:hint="eastAsia" w:ascii="宋体" w:hAnsi="宋体" w:cs="宋体"/>
                <w:sz w:val="24"/>
              </w:rPr>
              <w:t>℃</w:t>
            </w:r>
            <w:r>
              <w:rPr>
                <w:sz w:val="24"/>
              </w:rPr>
              <w:t>，最大可达18</w:t>
            </w:r>
            <w:r>
              <w:rPr>
                <w:rFonts w:hint="eastAsia" w:ascii="宋体" w:hAnsi="宋体" w:cs="宋体"/>
                <w:sz w:val="24"/>
              </w:rPr>
              <w:t>℃</w:t>
            </w:r>
            <w:r>
              <w:rPr>
                <w:sz w:val="24"/>
              </w:rPr>
              <w:t>；最热月7月平均气温25.4</w:t>
            </w:r>
            <w:r>
              <w:rPr>
                <w:rFonts w:hint="eastAsia" w:ascii="宋体" w:hAnsi="宋体" w:cs="宋体"/>
                <w:sz w:val="24"/>
              </w:rPr>
              <w:t>℃</w:t>
            </w:r>
            <w:r>
              <w:rPr>
                <w:sz w:val="24"/>
              </w:rPr>
              <w:t>，最冷1月平均气温2.9</w:t>
            </w:r>
            <w:r>
              <w:rPr>
                <w:rFonts w:hint="eastAsia" w:ascii="宋体" w:hAnsi="宋体" w:cs="宋体"/>
                <w:sz w:val="24"/>
              </w:rPr>
              <w:t>℃</w:t>
            </w:r>
            <w:r>
              <w:rPr>
                <w:sz w:val="24"/>
              </w:rPr>
              <w:t>，极端最高气温41.4</w:t>
            </w:r>
            <w:r>
              <w:rPr>
                <w:rFonts w:hint="eastAsia" w:ascii="宋体" w:hAnsi="宋体" w:cs="宋体"/>
                <w:sz w:val="24"/>
              </w:rPr>
              <w:t>℃</w:t>
            </w:r>
            <w:r>
              <w:rPr>
                <w:sz w:val="24"/>
              </w:rPr>
              <w:t>，极端最低气温－10.8</w:t>
            </w:r>
            <w:r>
              <w:rPr>
                <w:rFonts w:hint="eastAsia" w:ascii="宋体" w:hAnsi="宋体" w:cs="宋体"/>
                <w:sz w:val="24"/>
              </w:rPr>
              <w:t>℃</w:t>
            </w:r>
            <w:r>
              <w:rPr>
                <w:sz w:val="24"/>
              </w:rPr>
              <w:t>；年平均降水量890.4mm，主要集中在5-10月，其中7-9月占全年降水的51%，12-2月降水占全年的3%；地域分布由东北向西南增多（830-1050mm）；年平均日照1604.2小时，占可照时数的37%，略偏少；年平均相对湿度73%，最大冻土深度8cm，常年主导风向为东南风，平均风速2.1m/s。</w:t>
            </w:r>
          </w:p>
          <w:p>
            <w:pPr>
              <w:spacing w:line="360" w:lineRule="auto"/>
              <w:ind w:firstLine="482"/>
              <w:rPr>
                <w:b/>
                <w:snapToGrid w:val="0"/>
                <w:kern w:val="0"/>
                <w:sz w:val="24"/>
              </w:rPr>
            </w:pPr>
            <w:r>
              <w:rPr>
                <w:rFonts w:hint="eastAsia"/>
                <w:b/>
                <w:snapToGrid w:val="0"/>
                <w:kern w:val="0"/>
                <w:sz w:val="24"/>
              </w:rPr>
              <w:t>4、水文</w:t>
            </w:r>
          </w:p>
          <w:p>
            <w:pPr>
              <w:spacing w:line="360" w:lineRule="auto"/>
              <w:ind w:firstLine="480" w:firstLineChars="200"/>
              <w:rPr>
                <w:sz w:val="24"/>
              </w:rPr>
            </w:pPr>
            <w:r>
              <w:rPr>
                <w:sz w:val="24"/>
              </w:rPr>
              <w:t>石泉县多年平均降水量833.5-1042.8mm，多年平均径流深430.6mm；全县多年平均年径流量为6.567亿m</w:t>
            </w:r>
            <w:r>
              <w:rPr>
                <w:sz w:val="24"/>
                <w:vertAlign w:val="superscript"/>
              </w:rPr>
              <w:t>3</w:t>
            </w:r>
            <w:r>
              <w:rPr>
                <w:sz w:val="24"/>
              </w:rPr>
              <w:t>，其中地表水经流量5.587亿m</w:t>
            </w:r>
            <w:r>
              <w:rPr>
                <w:sz w:val="24"/>
                <w:vertAlign w:val="superscript"/>
              </w:rPr>
              <w:t>3</w:t>
            </w:r>
            <w:r>
              <w:rPr>
                <w:sz w:val="24"/>
              </w:rPr>
              <w:t>，河流系长江水系汉江流域，境内大小河流、沟溪共456条，总长1740km。流域总面积1051.8km</w:t>
            </w:r>
            <w:r>
              <w:rPr>
                <w:sz w:val="24"/>
                <w:vertAlign w:val="superscript"/>
              </w:rPr>
              <w:t>2</w:t>
            </w:r>
            <w:r>
              <w:rPr>
                <w:sz w:val="24"/>
              </w:rPr>
              <w:t>，河网密度为1.14km/km</w:t>
            </w:r>
            <w:r>
              <w:rPr>
                <w:sz w:val="24"/>
                <w:vertAlign w:val="superscript"/>
              </w:rPr>
              <w:t>2</w:t>
            </w:r>
            <w:r>
              <w:rPr>
                <w:sz w:val="24"/>
              </w:rPr>
              <w:t>。</w:t>
            </w:r>
            <w:r>
              <w:rPr>
                <w:rFonts w:hint="eastAsia"/>
                <w:sz w:val="24"/>
              </w:rPr>
              <w:t>本项目</w:t>
            </w:r>
            <w:r>
              <w:rPr>
                <w:sz w:val="24"/>
              </w:rPr>
              <w:t>区主要地表水系为饶峰河</w:t>
            </w:r>
            <w:r>
              <w:rPr>
                <w:rFonts w:hint="eastAsia"/>
                <w:sz w:val="24"/>
              </w:rPr>
              <w:t>，位于项目区东侧距离2.03km。</w:t>
            </w:r>
          </w:p>
          <w:p>
            <w:pPr>
              <w:spacing w:line="360" w:lineRule="auto"/>
              <w:ind w:firstLine="480" w:firstLineChars="200"/>
              <w:rPr>
                <w:sz w:val="24"/>
              </w:rPr>
            </w:pPr>
            <w:r>
              <w:rPr>
                <w:sz w:val="24"/>
              </w:rPr>
              <w:t>饶峰河：发源于境内毛家河，含菩提、家河诸水，于古堰滩汇入大坝河，又于城西汇入珍珠河，至关头山麓注入汉江。流域面积400.19km</w:t>
            </w:r>
            <w:r>
              <w:rPr>
                <w:sz w:val="24"/>
                <w:vertAlign w:val="superscript"/>
              </w:rPr>
              <w:t>2</w:t>
            </w:r>
            <w:r>
              <w:rPr>
                <w:sz w:val="24"/>
              </w:rPr>
              <w:t>，流长23.68km。</w:t>
            </w:r>
          </w:p>
          <w:p>
            <w:pPr>
              <w:spacing w:line="360" w:lineRule="auto"/>
              <w:ind w:firstLine="470" w:firstLineChars="196"/>
              <w:rPr>
                <w:kern w:val="0"/>
                <w:sz w:val="24"/>
              </w:rPr>
            </w:pPr>
            <w:r>
              <w:rPr>
                <w:rFonts w:hint="eastAsia"/>
                <w:b/>
                <w:snapToGrid w:val="0"/>
                <w:kern w:val="0"/>
                <w:sz w:val="24"/>
              </w:rPr>
              <w:t>5</w:t>
            </w:r>
            <w:r>
              <w:rPr>
                <w:b/>
                <w:snapToGrid w:val="0"/>
                <w:kern w:val="0"/>
                <w:sz w:val="24"/>
              </w:rPr>
              <w:t>、</w:t>
            </w:r>
            <w:bookmarkStart w:id="5" w:name="_Hlk5785066"/>
            <w:r>
              <w:rPr>
                <w:rFonts w:hint="eastAsia"/>
                <w:b/>
                <w:snapToGrid w:val="0"/>
                <w:kern w:val="0"/>
                <w:sz w:val="24"/>
              </w:rPr>
              <w:t>土壤</w:t>
            </w:r>
          </w:p>
          <w:p>
            <w:pPr>
              <w:spacing w:line="360" w:lineRule="auto"/>
              <w:ind w:firstLine="480" w:firstLineChars="200"/>
              <w:rPr>
                <w:kern w:val="0"/>
                <w:sz w:val="24"/>
              </w:rPr>
            </w:pPr>
            <w:r>
              <w:rPr>
                <w:kern w:val="0"/>
                <w:sz w:val="24"/>
              </w:rPr>
              <w:t>石泉县地处南北过渡地带，山地起伏，地形地貌复杂，气候差异大，土类、土种繁多。全县有4个土类、11个亚类、27个土属和113个土种。</w:t>
            </w:r>
          </w:p>
          <w:p>
            <w:pPr>
              <w:spacing w:line="360" w:lineRule="auto"/>
              <w:ind w:firstLine="480" w:firstLineChars="200"/>
              <w:rPr>
                <w:kern w:val="0"/>
                <w:sz w:val="24"/>
              </w:rPr>
            </w:pPr>
            <w:r>
              <w:rPr>
                <w:kern w:val="0"/>
                <w:sz w:val="24"/>
              </w:rPr>
              <w:t>黄棕壤是主体土壤，分为普通黄褐土、粗骨性黄褐土、普通黄棕壤、粗骨性黄棕壤等亚类，面积205.59万亩，占93.68%。主要分布在秦岭海拔820m、巴山900m以下地区。棕壤次之，分为普通棕壤、粗骨性棕壤2个亚类，占3.37%。主要分布在秦岭海拔1300m、巴山海拔1400m以上地区。水稻土分为渗育性、潴育性及沼泽化水稻土4个亚类，占2.29%，分布在黄棕壤地带。潮土较少，仅占0.61%，主要分布在两河-池河-青石河谷两岸阶地</w:t>
            </w:r>
            <w:bookmarkEnd w:id="5"/>
            <w:r>
              <w:rPr>
                <w:kern w:val="0"/>
                <w:sz w:val="24"/>
              </w:rPr>
              <w:t>。</w:t>
            </w:r>
          </w:p>
          <w:p>
            <w:pPr>
              <w:numPr>
                <w:ilvl w:val="0"/>
                <w:numId w:val="5"/>
              </w:numPr>
              <w:spacing w:line="360" w:lineRule="auto"/>
              <w:ind w:firstLine="480" w:firstLineChars="200"/>
              <w:textAlignment w:val="baseline"/>
              <w:rPr>
                <w:b/>
                <w:bCs/>
                <w:sz w:val="24"/>
              </w:rPr>
            </w:pPr>
            <w:r>
              <w:rPr>
                <w:rFonts w:hint="eastAsia"/>
                <w:b/>
                <w:bCs/>
                <w:sz w:val="24"/>
              </w:rPr>
              <w:t>植被及生物多样性</w:t>
            </w:r>
          </w:p>
          <w:p>
            <w:pPr>
              <w:spacing w:line="360" w:lineRule="auto"/>
              <w:ind w:firstLine="480" w:firstLineChars="200"/>
            </w:pPr>
            <w:r>
              <w:rPr>
                <w:kern w:val="0"/>
                <w:sz w:val="24"/>
              </w:rPr>
              <w:t>石泉地处秦巴山地，汉江自西向东横贯其中，将全县分为南北两大自然区，北部属秦岭南麓山区；南部属巴山北麓山区。石泉县植被属北亚热带常绿阔叶、落叶阔叶林区，具有南北过渡特点，而以南方特色为主，从而形成了南北多种植物共存并茂、绚丽多彩的特色。</w:t>
            </w:r>
          </w:p>
          <w:p>
            <w:pPr>
              <w:spacing w:line="360" w:lineRule="auto"/>
              <w:ind w:firstLine="480" w:firstLineChars="200"/>
              <w:rPr>
                <w:sz w:val="24"/>
              </w:rPr>
            </w:pPr>
            <w:r>
              <w:rPr>
                <w:sz w:val="24"/>
              </w:rPr>
              <w:t>经现场调查，本项目所在区域地势较为平坦，区域为城镇农村生态系统，未发现国家及各级保护珍稀植物及野生动植物。</w:t>
            </w:r>
          </w:p>
          <w:p>
            <w:pPr>
              <w:autoSpaceDE w:val="0"/>
              <w:autoSpaceDN w:val="0"/>
              <w:spacing w:line="360" w:lineRule="auto"/>
              <w:rPr>
                <w:kern w:val="0"/>
              </w:rPr>
            </w:pPr>
          </w:p>
        </w:tc>
      </w:tr>
    </w:tbl>
    <w:p>
      <w:pPr>
        <w:pStyle w:val="7"/>
        <w:spacing w:after="0" w:line="360" w:lineRule="auto"/>
        <w:ind w:left="0" w:leftChars="0"/>
        <w:rPr>
          <w:sz w:val="28"/>
          <w:szCs w:val="28"/>
        </w:rPr>
        <w:sectPr>
          <w:pgSz w:w="11906" w:h="16838"/>
          <w:pgMar w:top="1418" w:right="1418" w:bottom="1418" w:left="1418" w:header="851" w:footer="992" w:gutter="0"/>
          <w:cols w:space="720" w:num="1"/>
          <w:docGrid w:type="linesAndChars" w:linePitch="312" w:charSpace="0"/>
        </w:sectPr>
      </w:pPr>
    </w:p>
    <w:p>
      <w:pPr>
        <w:pStyle w:val="15"/>
        <w:spacing w:before="0" w:after="0" w:line="360" w:lineRule="auto"/>
        <w:jc w:val="left"/>
        <w:rPr>
          <w:rFonts w:ascii="Times New Roman" w:hAnsi="Times New Roman"/>
        </w:rPr>
      </w:pPr>
      <w:r>
        <w:rPr>
          <w:rFonts w:ascii="Times New Roman" w:hAnsi="Times New Roman"/>
        </w:rPr>
        <w:t>环境质量状况</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Borders>
              <w:top w:val="single" w:color="auto" w:sz="12" w:space="0"/>
              <w:left w:val="single" w:color="auto" w:sz="12" w:space="0"/>
              <w:bottom w:val="single" w:color="auto" w:sz="12" w:space="0"/>
              <w:right w:val="single" w:color="auto" w:sz="12" w:space="0"/>
            </w:tcBorders>
          </w:tcPr>
          <w:p>
            <w:pPr>
              <w:spacing w:line="360" w:lineRule="auto"/>
              <w:outlineLvl w:val="1"/>
              <w:rPr>
                <w:b/>
                <w:sz w:val="28"/>
                <w:szCs w:val="28"/>
              </w:rPr>
            </w:pPr>
            <w:r>
              <w:rPr>
                <w:b/>
                <w:sz w:val="28"/>
                <w:szCs w:val="28"/>
              </w:rPr>
              <w:t>建设项目所在地区域环境质量现状及主要环境问题(环境空气、地表水、地下水、声环境、生态环境等)</w:t>
            </w:r>
          </w:p>
          <w:p>
            <w:pPr>
              <w:snapToGrid w:val="0"/>
              <w:spacing w:line="360" w:lineRule="auto"/>
              <w:rPr>
                <w:b/>
                <w:sz w:val="24"/>
              </w:rPr>
            </w:pPr>
            <w:r>
              <w:rPr>
                <w:b/>
                <w:sz w:val="24"/>
              </w:rPr>
              <w:t>一、环境空气质量现状</w:t>
            </w:r>
          </w:p>
          <w:p>
            <w:pPr>
              <w:spacing w:line="360" w:lineRule="auto"/>
              <w:ind w:firstLine="480" w:firstLineChars="200"/>
              <w:rPr>
                <w:sz w:val="24"/>
              </w:rPr>
            </w:pPr>
            <w:r>
              <w:rPr>
                <w:rFonts w:hint="eastAsia"/>
                <w:sz w:val="24"/>
              </w:rPr>
              <w:t>（1）基本污染物环境质量现状</w:t>
            </w:r>
          </w:p>
          <w:p>
            <w:pPr>
              <w:spacing w:line="360" w:lineRule="auto"/>
              <w:ind w:firstLine="480" w:firstLineChars="200"/>
              <w:rPr>
                <w:sz w:val="24"/>
                <w:szCs w:val="22"/>
              </w:rPr>
            </w:pPr>
            <w:r>
              <w:rPr>
                <w:rFonts w:hint="eastAsia"/>
                <w:sz w:val="24"/>
                <w:szCs w:val="22"/>
              </w:rPr>
              <w:t>本项目所在区域属于环境空气二类功能区，执行《环境空气质量标准》（GB3095-2012）二级标准。根据《环境影响评价技术导则 大气环境》（HJ 2.2-2018），本项目大气现状环境质量评价优先采用区域长期监测数据。</w:t>
            </w:r>
          </w:p>
          <w:p>
            <w:pPr>
              <w:spacing w:line="360" w:lineRule="auto"/>
              <w:ind w:firstLine="480" w:firstLineChars="200"/>
              <w:rPr>
                <w:sz w:val="24"/>
              </w:rPr>
            </w:pPr>
            <w:r>
              <w:rPr>
                <w:rFonts w:hint="eastAsia"/>
                <w:sz w:val="24"/>
              </w:rPr>
              <w:t>本项目位于安康市石泉县，根据环保快报《2019年12月及1～12月全省环境空气质量状况 环保快报》中关于石泉县的环境质量现状见下表：</w:t>
            </w:r>
          </w:p>
          <w:p>
            <w:pPr>
              <w:jc w:val="center"/>
              <w:rPr>
                <w:b/>
              </w:rPr>
            </w:pPr>
            <w:r>
              <w:rPr>
                <w:rFonts w:hint="eastAsia"/>
                <w:b/>
              </w:rPr>
              <w:t>表9</w:t>
            </w:r>
            <w:r>
              <w:rPr>
                <w:b/>
              </w:rPr>
              <w:t xml:space="preserve">    </w:t>
            </w:r>
            <w:r>
              <w:rPr>
                <w:rFonts w:hint="eastAsia"/>
                <w:b/>
              </w:rPr>
              <w:t>区域环境质量现状评价表</w:t>
            </w:r>
            <w:r>
              <w:rPr>
                <w:b/>
              </w:rPr>
              <w:t xml:space="preserve">  </w:t>
            </w:r>
            <w:r>
              <w:rPr>
                <w:rFonts w:hint="eastAsia"/>
                <w:b/>
              </w:rPr>
              <w:t>单位：</w:t>
            </w:r>
            <w:r>
              <w:rPr>
                <w:b/>
              </w:rPr>
              <w:t>μg/m</w:t>
            </w:r>
            <w:r>
              <w:rPr>
                <w:b/>
                <w:vertAlign w:val="superscript"/>
              </w:rPr>
              <w:t>3</w:t>
            </w:r>
          </w:p>
          <w:tbl>
            <w:tblPr>
              <w:tblStyle w:val="19"/>
              <w:tblW w:w="4999"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86"/>
              <w:gridCol w:w="2683"/>
              <w:gridCol w:w="1571"/>
              <w:gridCol w:w="1222"/>
              <w:gridCol w:w="1112"/>
              <w:gridCol w:w="14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rFonts w:hint="eastAsia"/>
                      <w:szCs w:val="21"/>
                    </w:rPr>
                    <w:t>污染物</w:t>
                  </w:r>
                </w:p>
              </w:tc>
              <w:tc>
                <w:tcPr>
                  <w:tcW w:w="1483" w:type="pct"/>
                  <w:tcBorders>
                    <w:tl2br w:val="nil"/>
                    <w:tr2bl w:val="nil"/>
                  </w:tcBorders>
                  <w:vAlign w:val="center"/>
                </w:tcPr>
                <w:p>
                  <w:pPr>
                    <w:adjustRightInd w:val="0"/>
                    <w:snapToGrid w:val="0"/>
                    <w:jc w:val="center"/>
                    <w:rPr>
                      <w:szCs w:val="21"/>
                    </w:rPr>
                  </w:pPr>
                  <w:r>
                    <w:rPr>
                      <w:rFonts w:hint="eastAsia"/>
                      <w:szCs w:val="21"/>
                    </w:rPr>
                    <w:t>评价指标</w:t>
                  </w:r>
                </w:p>
              </w:tc>
              <w:tc>
                <w:tcPr>
                  <w:tcW w:w="869" w:type="pct"/>
                  <w:tcBorders>
                    <w:tl2br w:val="nil"/>
                    <w:tr2bl w:val="nil"/>
                  </w:tcBorders>
                  <w:vAlign w:val="center"/>
                </w:tcPr>
                <w:p>
                  <w:pPr>
                    <w:adjustRightInd w:val="0"/>
                    <w:snapToGrid w:val="0"/>
                    <w:jc w:val="center"/>
                    <w:rPr>
                      <w:szCs w:val="21"/>
                    </w:rPr>
                  </w:pPr>
                  <w:r>
                    <w:rPr>
                      <w:rFonts w:hint="eastAsia"/>
                      <w:szCs w:val="21"/>
                    </w:rPr>
                    <w:t>现状浓度</w:t>
                  </w:r>
                  <w:r>
                    <w:rPr>
                      <w:rFonts w:eastAsia="黑体"/>
                      <w:bCs/>
                      <w:szCs w:val="21"/>
                    </w:rPr>
                    <w:t>μg/m</w:t>
                  </w:r>
                  <w:r>
                    <w:rPr>
                      <w:rFonts w:eastAsia="黑体"/>
                      <w:bCs/>
                      <w:szCs w:val="21"/>
                      <w:vertAlign w:val="superscript"/>
                    </w:rPr>
                    <w:t>3</w:t>
                  </w:r>
                </w:p>
              </w:tc>
              <w:tc>
                <w:tcPr>
                  <w:tcW w:w="676" w:type="pct"/>
                  <w:tcBorders>
                    <w:tl2br w:val="nil"/>
                    <w:tr2bl w:val="nil"/>
                  </w:tcBorders>
                  <w:vAlign w:val="center"/>
                </w:tcPr>
                <w:p>
                  <w:pPr>
                    <w:adjustRightInd w:val="0"/>
                    <w:snapToGrid w:val="0"/>
                    <w:jc w:val="center"/>
                    <w:rPr>
                      <w:szCs w:val="21"/>
                    </w:rPr>
                  </w:pPr>
                  <w:r>
                    <w:rPr>
                      <w:rFonts w:hint="eastAsia"/>
                      <w:szCs w:val="21"/>
                    </w:rPr>
                    <w:t>标准值</w:t>
                  </w:r>
                  <w:r>
                    <w:rPr>
                      <w:rFonts w:eastAsia="黑体"/>
                      <w:bCs/>
                      <w:szCs w:val="21"/>
                    </w:rPr>
                    <w:t>μg/m</w:t>
                  </w:r>
                  <w:r>
                    <w:rPr>
                      <w:rFonts w:eastAsia="黑体"/>
                      <w:bCs/>
                      <w:szCs w:val="21"/>
                      <w:vertAlign w:val="superscript"/>
                    </w:rPr>
                    <w:t>3</w:t>
                  </w:r>
                </w:p>
              </w:tc>
              <w:tc>
                <w:tcPr>
                  <w:tcW w:w="615" w:type="pct"/>
                  <w:tcBorders>
                    <w:tl2br w:val="nil"/>
                    <w:tr2bl w:val="nil"/>
                  </w:tcBorders>
                  <w:vAlign w:val="center"/>
                </w:tcPr>
                <w:p>
                  <w:pPr>
                    <w:adjustRightInd w:val="0"/>
                    <w:snapToGrid w:val="0"/>
                    <w:jc w:val="center"/>
                    <w:rPr>
                      <w:szCs w:val="21"/>
                    </w:rPr>
                  </w:pPr>
                  <w:r>
                    <w:rPr>
                      <w:rFonts w:hint="eastAsia"/>
                      <w:szCs w:val="21"/>
                    </w:rPr>
                    <w:t>占标率</w:t>
                  </w:r>
                </w:p>
                <w:p>
                  <w:pPr>
                    <w:adjustRightInd w:val="0"/>
                    <w:snapToGrid w:val="0"/>
                    <w:jc w:val="center"/>
                    <w:rPr>
                      <w:szCs w:val="21"/>
                    </w:rPr>
                  </w:pPr>
                  <w:r>
                    <w:rPr>
                      <w:rFonts w:hint="eastAsia"/>
                      <w:szCs w:val="21"/>
                    </w:rPr>
                    <w:t>%</w:t>
                  </w:r>
                </w:p>
              </w:tc>
              <w:tc>
                <w:tcPr>
                  <w:tcW w:w="810" w:type="pct"/>
                  <w:tcBorders>
                    <w:tl2br w:val="nil"/>
                    <w:tr2bl w:val="nil"/>
                  </w:tcBorders>
                  <w:vAlign w:val="center"/>
                </w:tcPr>
                <w:p>
                  <w:pPr>
                    <w:adjustRightInd w:val="0"/>
                    <w:snapToGrid w:val="0"/>
                    <w:jc w:val="center"/>
                    <w:rPr>
                      <w:szCs w:val="21"/>
                    </w:rPr>
                  </w:pPr>
                  <w:r>
                    <w:rPr>
                      <w:rFonts w:hint="eastAsia"/>
                      <w:szCs w:val="21"/>
                    </w:rPr>
                    <w:t>达标情况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szCs w:val="21"/>
                    </w:rPr>
                    <w:t>SO</w:t>
                  </w:r>
                  <w:r>
                    <w:rPr>
                      <w:szCs w:val="21"/>
                      <w:vertAlign w:val="subscript"/>
                    </w:rPr>
                    <w:t>2</w:t>
                  </w:r>
                </w:p>
              </w:tc>
              <w:tc>
                <w:tcPr>
                  <w:tcW w:w="1483" w:type="pct"/>
                  <w:tcBorders>
                    <w:tl2br w:val="nil"/>
                    <w:tr2bl w:val="nil"/>
                  </w:tcBorders>
                  <w:vAlign w:val="center"/>
                </w:tcPr>
                <w:p>
                  <w:pPr>
                    <w:adjustRightInd w:val="0"/>
                    <w:snapToGrid w:val="0"/>
                    <w:jc w:val="center"/>
                    <w:rPr>
                      <w:szCs w:val="21"/>
                    </w:rPr>
                  </w:pPr>
                  <w:r>
                    <w:rPr>
                      <w:rFonts w:hint="eastAsia"/>
                      <w:szCs w:val="21"/>
                    </w:rPr>
                    <w:t>年平均质量浓度</w:t>
                  </w:r>
                </w:p>
              </w:tc>
              <w:tc>
                <w:tcPr>
                  <w:tcW w:w="869" w:type="pct"/>
                  <w:tcBorders>
                    <w:tl2br w:val="nil"/>
                    <w:tr2bl w:val="nil"/>
                  </w:tcBorders>
                  <w:vAlign w:val="center"/>
                </w:tcPr>
                <w:p>
                  <w:pPr>
                    <w:adjustRightInd w:val="0"/>
                    <w:snapToGrid w:val="0"/>
                    <w:jc w:val="center"/>
                    <w:rPr>
                      <w:szCs w:val="21"/>
                    </w:rPr>
                  </w:pPr>
                  <w:r>
                    <w:rPr>
                      <w:rFonts w:hint="eastAsia"/>
                      <w:szCs w:val="21"/>
                    </w:rPr>
                    <w:t>5</w:t>
                  </w:r>
                </w:p>
              </w:tc>
              <w:tc>
                <w:tcPr>
                  <w:tcW w:w="676" w:type="pct"/>
                  <w:tcBorders>
                    <w:tl2br w:val="nil"/>
                    <w:tr2bl w:val="nil"/>
                  </w:tcBorders>
                  <w:vAlign w:val="center"/>
                </w:tcPr>
                <w:p>
                  <w:pPr>
                    <w:adjustRightInd w:val="0"/>
                    <w:snapToGrid w:val="0"/>
                    <w:jc w:val="center"/>
                    <w:rPr>
                      <w:szCs w:val="21"/>
                    </w:rPr>
                  </w:pPr>
                  <w:r>
                    <w:rPr>
                      <w:rFonts w:hint="eastAsia"/>
                      <w:szCs w:val="21"/>
                    </w:rPr>
                    <w:t>60</w:t>
                  </w:r>
                </w:p>
              </w:tc>
              <w:tc>
                <w:tcPr>
                  <w:tcW w:w="615" w:type="pct"/>
                  <w:tcBorders>
                    <w:tl2br w:val="nil"/>
                    <w:tr2bl w:val="nil"/>
                  </w:tcBorders>
                  <w:vAlign w:val="center"/>
                </w:tcPr>
                <w:p>
                  <w:pPr>
                    <w:adjustRightInd w:val="0"/>
                    <w:snapToGrid w:val="0"/>
                    <w:jc w:val="center"/>
                    <w:rPr>
                      <w:szCs w:val="21"/>
                    </w:rPr>
                  </w:pPr>
                  <w:r>
                    <w:rPr>
                      <w:rFonts w:hint="eastAsia"/>
                      <w:szCs w:val="21"/>
                    </w:rPr>
                    <w:t>8.3</w:t>
                  </w:r>
                </w:p>
              </w:tc>
              <w:tc>
                <w:tcPr>
                  <w:tcW w:w="810" w:type="pct"/>
                  <w:tcBorders>
                    <w:tl2br w:val="nil"/>
                    <w:tr2bl w:val="nil"/>
                  </w:tcBorders>
                  <w:vAlign w:val="center"/>
                </w:tcPr>
                <w:p>
                  <w:pPr>
                    <w:adjustRightInd w:val="0"/>
                    <w:snapToGrid w:val="0"/>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szCs w:val="21"/>
                    </w:rPr>
                    <w:t>NO</w:t>
                  </w:r>
                  <w:r>
                    <w:rPr>
                      <w:szCs w:val="21"/>
                      <w:vertAlign w:val="subscript"/>
                    </w:rPr>
                    <w:t>2</w:t>
                  </w:r>
                </w:p>
              </w:tc>
              <w:tc>
                <w:tcPr>
                  <w:tcW w:w="1483" w:type="pct"/>
                  <w:tcBorders>
                    <w:tl2br w:val="nil"/>
                    <w:tr2bl w:val="nil"/>
                  </w:tcBorders>
                  <w:vAlign w:val="center"/>
                </w:tcPr>
                <w:p>
                  <w:pPr>
                    <w:adjustRightInd w:val="0"/>
                    <w:snapToGrid w:val="0"/>
                    <w:jc w:val="center"/>
                    <w:rPr>
                      <w:szCs w:val="21"/>
                    </w:rPr>
                  </w:pPr>
                  <w:r>
                    <w:rPr>
                      <w:rFonts w:hint="eastAsia"/>
                      <w:szCs w:val="21"/>
                    </w:rPr>
                    <w:t>年平均质量浓度</w:t>
                  </w:r>
                </w:p>
              </w:tc>
              <w:tc>
                <w:tcPr>
                  <w:tcW w:w="869" w:type="pct"/>
                  <w:tcBorders>
                    <w:tl2br w:val="nil"/>
                    <w:tr2bl w:val="nil"/>
                  </w:tcBorders>
                  <w:vAlign w:val="center"/>
                </w:tcPr>
                <w:p>
                  <w:pPr>
                    <w:adjustRightInd w:val="0"/>
                    <w:snapToGrid w:val="0"/>
                    <w:jc w:val="center"/>
                    <w:rPr>
                      <w:szCs w:val="21"/>
                    </w:rPr>
                  </w:pPr>
                  <w:r>
                    <w:rPr>
                      <w:rFonts w:hint="eastAsia"/>
                      <w:szCs w:val="21"/>
                    </w:rPr>
                    <w:t>12</w:t>
                  </w:r>
                </w:p>
              </w:tc>
              <w:tc>
                <w:tcPr>
                  <w:tcW w:w="676" w:type="pct"/>
                  <w:tcBorders>
                    <w:tl2br w:val="nil"/>
                    <w:tr2bl w:val="nil"/>
                  </w:tcBorders>
                  <w:vAlign w:val="center"/>
                </w:tcPr>
                <w:p>
                  <w:pPr>
                    <w:adjustRightInd w:val="0"/>
                    <w:snapToGrid w:val="0"/>
                    <w:jc w:val="center"/>
                    <w:rPr>
                      <w:szCs w:val="21"/>
                    </w:rPr>
                  </w:pPr>
                  <w:r>
                    <w:rPr>
                      <w:rFonts w:hint="eastAsia"/>
                      <w:szCs w:val="21"/>
                    </w:rPr>
                    <w:t>40</w:t>
                  </w:r>
                </w:p>
              </w:tc>
              <w:tc>
                <w:tcPr>
                  <w:tcW w:w="615" w:type="pct"/>
                  <w:tcBorders>
                    <w:tl2br w:val="nil"/>
                    <w:tr2bl w:val="nil"/>
                  </w:tcBorders>
                  <w:vAlign w:val="center"/>
                </w:tcPr>
                <w:p>
                  <w:pPr>
                    <w:adjustRightInd w:val="0"/>
                    <w:snapToGrid w:val="0"/>
                    <w:jc w:val="center"/>
                    <w:rPr>
                      <w:szCs w:val="21"/>
                    </w:rPr>
                  </w:pPr>
                  <w:r>
                    <w:rPr>
                      <w:rFonts w:hint="eastAsia"/>
                      <w:szCs w:val="21"/>
                    </w:rPr>
                    <w:t>30.0</w:t>
                  </w:r>
                </w:p>
              </w:tc>
              <w:tc>
                <w:tcPr>
                  <w:tcW w:w="810" w:type="pct"/>
                  <w:tcBorders>
                    <w:tl2br w:val="nil"/>
                    <w:tr2bl w:val="nil"/>
                  </w:tcBorders>
                  <w:vAlign w:val="center"/>
                </w:tcPr>
                <w:p>
                  <w:pPr>
                    <w:adjustRightInd w:val="0"/>
                    <w:snapToGrid w:val="0"/>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szCs w:val="21"/>
                    </w:rPr>
                    <w:t>PM</w:t>
                  </w:r>
                  <w:r>
                    <w:rPr>
                      <w:szCs w:val="21"/>
                      <w:vertAlign w:val="subscript"/>
                    </w:rPr>
                    <w:t>10</w:t>
                  </w:r>
                </w:p>
              </w:tc>
              <w:tc>
                <w:tcPr>
                  <w:tcW w:w="1483" w:type="pct"/>
                  <w:tcBorders>
                    <w:tl2br w:val="nil"/>
                    <w:tr2bl w:val="nil"/>
                  </w:tcBorders>
                  <w:vAlign w:val="center"/>
                </w:tcPr>
                <w:p>
                  <w:pPr>
                    <w:adjustRightInd w:val="0"/>
                    <w:snapToGrid w:val="0"/>
                    <w:jc w:val="center"/>
                    <w:rPr>
                      <w:szCs w:val="21"/>
                    </w:rPr>
                  </w:pPr>
                  <w:r>
                    <w:rPr>
                      <w:rFonts w:hint="eastAsia"/>
                      <w:szCs w:val="21"/>
                    </w:rPr>
                    <w:t>年平均质量浓度</w:t>
                  </w:r>
                </w:p>
              </w:tc>
              <w:tc>
                <w:tcPr>
                  <w:tcW w:w="869" w:type="pct"/>
                  <w:tcBorders>
                    <w:tl2br w:val="nil"/>
                    <w:tr2bl w:val="nil"/>
                  </w:tcBorders>
                  <w:vAlign w:val="center"/>
                </w:tcPr>
                <w:p>
                  <w:pPr>
                    <w:adjustRightInd w:val="0"/>
                    <w:snapToGrid w:val="0"/>
                    <w:jc w:val="center"/>
                    <w:rPr>
                      <w:szCs w:val="21"/>
                    </w:rPr>
                  </w:pPr>
                  <w:r>
                    <w:rPr>
                      <w:rFonts w:hint="eastAsia"/>
                      <w:szCs w:val="21"/>
                    </w:rPr>
                    <w:t>47</w:t>
                  </w:r>
                </w:p>
              </w:tc>
              <w:tc>
                <w:tcPr>
                  <w:tcW w:w="676" w:type="pct"/>
                  <w:tcBorders>
                    <w:tl2br w:val="nil"/>
                    <w:tr2bl w:val="nil"/>
                  </w:tcBorders>
                  <w:vAlign w:val="center"/>
                </w:tcPr>
                <w:p>
                  <w:pPr>
                    <w:adjustRightInd w:val="0"/>
                    <w:snapToGrid w:val="0"/>
                    <w:jc w:val="center"/>
                    <w:rPr>
                      <w:szCs w:val="21"/>
                    </w:rPr>
                  </w:pPr>
                  <w:r>
                    <w:rPr>
                      <w:rFonts w:hint="eastAsia"/>
                      <w:szCs w:val="21"/>
                    </w:rPr>
                    <w:t>70</w:t>
                  </w:r>
                </w:p>
              </w:tc>
              <w:tc>
                <w:tcPr>
                  <w:tcW w:w="615" w:type="pct"/>
                  <w:tcBorders>
                    <w:tl2br w:val="nil"/>
                    <w:tr2bl w:val="nil"/>
                  </w:tcBorders>
                  <w:vAlign w:val="center"/>
                </w:tcPr>
                <w:p>
                  <w:pPr>
                    <w:adjustRightInd w:val="0"/>
                    <w:snapToGrid w:val="0"/>
                    <w:jc w:val="center"/>
                    <w:rPr>
                      <w:szCs w:val="21"/>
                    </w:rPr>
                  </w:pPr>
                  <w:r>
                    <w:rPr>
                      <w:rFonts w:hint="eastAsia"/>
                      <w:szCs w:val="21"/>
                    </w:rPr>
                    <w:t>67.1</w:t>
                  </w:r>
                </w:p>
              </w:tc>
              <w:tc>
                <w:tcPr>
                  <w:tcW w:w="810" w:type="pct"/>
                  <w:tcBorders>
                    <w:tl2br w:val="nil"/>
                    <w:tr2bl w:val="nil"/>
                  </w:tcBorders>
                  <w:vAlign w:val="center"/>
                </w:tcPr>
                <w:p>
                  <w:pPr>
                    <w:adjustRightInd w:val="0"/>
                    <w:snapToGrid w:val="0"/>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szCs w:val="21"/>
                    </w:rPr>
                    <w:t>PM</w:t>
                  </w:r>
                  <w:r>
                    <w:rPr>
                      <w:rFonts w:hint="eastAsia"/>
                      <w:szCs w:val="21"/>
                      <w:vertAlign w:val="subscript"/>
                    </w:rPr>
                    <w:t>2.5</w:t>
                  </w:r>
                </w:p>
              </w:tc>
              <w:tc>
                <w:tcPr>
                  <w:tcW w:w="1483" w:type="pct"/>
                  <w:tcBorders>
                    <w:tl2br w:val="nil"/>
                    <w:tr2bl w:val="nil"/>
                  </w:tcBorders>
                  <w:vAlign w:val="center"/>
                </w:tcPr>
                <w:p>
                  <w:pPr>
                    <w:adjustRightInd w:val="0"/>
                    <w:snapToGrid w:val="0"/>
                    <w:jc w:val="center"/>
                    <w:rPr>
                      <w:szCs w:val="21"/>
                    </w:rPr>
                  </w:pPr>
                  <w:r>
                    <w:rPr>
                      <w:rFonts w:hint="eastAsia"/>
                      <w:szCs w:val="21"/>
                    </w:rPr>
                    <w:t>年平均质量浓度</w:t>
                  </w:r>
                </w:p>
              </w:tc>
              <w:tc>
                <w:tcPr>
                  <w:tcW w:w="869" w:type="pct"/>
                  <w:tcBorders>
                    <w:tl2br w:val="nil"/>
                    <w:tr2bl w:val="nil"/>
                  </w:tcBorders>
                  <w:vAlign w:val="center"/>
                </w:tcPr>
                <w:p>
                  <w:pPr>
                    <w:adjustRightInd w:val="0"/>
                    <w:snapToGrid w:val="0"/>
                    <w:jc w:val="center"/>
                    <w:rPr>
                      <w:szCs w:val="21"/>
                    </w:rPr>
                  </w:pPr>
                  <w:r>
                    <w:rPr>
                      <w:rFonts w:hint="eastAsia"/>
                      <w:szCs w:val="21"/>
                    </w:rPr>
                    <w:t>32</w:t>
                  </w:r>
                </w:p>
              </w:tc>
              <w:tc>
                <w:tcPr>
                  <w:tcW w:w="676" w:type="pct"/>
                  <w:tcBorders>
                    <w:tl2br w:val="nil"/>
                    <w:tr2bl w:val="nil"/>
                  </w:tcBorders>
                  <w:vAlign w:val="center"/>
                </w:tcPr>
                <w:p>
                  <w:pPr>
                    <w:adjustRightInd w:val="0"/>
                    <w:snapToGrid w:val="0"/>
                    <w:jc w:val="center"/>
                    <w:rPr>
                      <w:szCs w:val="21"/>
                    </w:rPr>
                  </w:pPr>
                  <w:r>
                    <w:rPr>
                      <w:rFonts w:hint="eastAsia"/>
                      <w:szCs w:val="21"/>
                    </w:rPr>
                    <w:t>35</w:t>
                  </w:r>
                </w:p>
              </w:tc>
              <w:tc>
                <w:tcPr>
                  <w:tcW w:w="615" w:type="pct"/>
                  <w:tcBorders>
                    <w:tl2br w:val="nil"/>
                    <w:tr2bl w:val="nil"/>
                  </w:tcBorders>
                  <w:vAlign w:val="center"/>
                </w:tcPr>
                <w:p>
                  <w:pPr>
                    <w:adjustRightInd w:val="0"/>
                    <w:snapToGrid w:val="0"/>
                    <w:jc w:val="center"/>
                    <w:rPr>
                      <w:szCs w:val="21"/>
                    </w:rPr>
                  </w:pPr>
                  <w:r>
                    <w:rPr>
                      <w:rFonts w:hint="eastAsia"/>
                      <w:szCs w:val="21"/>
                    </w:rPr>
                    <w:t>91.4</w:t>
                  </w:r>
                </w:p>
              </w:tc>
              <w:tc>
                <w:tcPr>
                  <w:tcW w:w="810" w:type="pct"/>
                  <w:tcBorders>
                    <w:tl2br w:val="nil"/>
                    <w:tr2bl w:val="nil"/>
                  </w:tcBorders>
                  <w:vAlign w:val="center"/>
                </w:tcPr>
                <w:p>
                  <w:pPr>
                    <w:adjustRightInd w:val="0"/>
                    <w:snapToGrid w:val="0"/>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rFonts w:hint="eastAsia"/>
                      <w:szCs w:val="21"/>
                    </w:rPr>
                    <w:t>CO</w:t>
                  </w:r>
                </w:p>
              </w:tc>
              <w:tc>
                <w:tcPr>
                  <w:tcW w:w="1483" w:type="pct"/>
                  <w:tcBorders>
                    <w:tl2br w:val="nil"/>
                    <w:tr2bl w:val="nil"/>
                  </w:tcBorders>
                  <w:vAlign w:val="center"/>
                </w:tcPr>
                <w:p>
                  <w:pPr>
                    <w:adjustRightInd w:val="0"/>
                    <w:snapToGrid w:val="0"/>
                    <w:jc w:val="center"/>
                    <w:rPr>
                      <w:szCs w:val="21"/>
                    </w:rPr>
                  </w:pPr>
                  <w:r>
                    <w:rPr>
                      <w:rFonts w:hint="eastAsia"/>
                      <w:szCs w:val="21"/>
                    </w:rPr>
                    <w:t>日最大平均质量浓度</w:t>
                  </w:r>
                </w:p>
              </w:tc>
              <w:tc>
                <w:tcPr>
                  <w:tcW w:w="869" w:type="pct"/>
                  <w:tcBorders>
                    <w:tl2br w:val="nil"/>
                    <w:tr2bl w:val="nil"/>
                  </w:tcBorders>
                  <w:vAlign w:val="center"/>
                </w:tcPr>
                <w:p>
                  <w:pPr>
                    <w:adjustRightInd w:val="0"/>
                    <w:snapToGrid w:val="0"/>
                    <w:jc w:val="center"/>
                    <w:rPr>
                      <w:szCs w:val="21"/>
                    </w:rPr>
                  </w:pPr>
                  <w:r>
                    <w:rPr>
                      <w:rFonts w:hint="eastAsia"/>
                      <w:szCs w:val="21"/>
                    </w:rPr>
                    <w:t>1400</w:t>
                  </w:r>
                </w:p>
              </w:tc>
              <w:tc>
                <w:tcPr>
                  <w:tcW w:w="676" w:type="pct"/>
                  <w:tcBorders>
                    <w:tl2br w:val="nil"/>
                    <w:tr2bl w:val="nil"/>
                  </w:tcBorders>
                  <w:vAlign w:val="center"/>
                </w:tcPr>
                <w:p>
                  <w:pPr>
                    <w:adjustRightInd w:val="0"/>
                    <w:snapToGrid w:val="0"/>
                    <w:jc w:val="center"/>
                    <w:rPr>
                      <w:szCs w:val="21"/>
                    </w:rPr>
                  </w:pPr>
                  <w:r>
                    <w:rPr>
                      <w:rFonts w:hint="eastAsia"/>
                      <w:szCs w:val="21"/>
                    </w:rPr>
                    <w:t>4000</w:t>
                  </w:r>
                </w:p>
              </w:tc>
              <w:tc>
                <w:tcPr>
                  <w:tcW w:w="615" w:type="pct"/>
                  <w:tcBorders>
                    <w:tl2br w:val="nil"/>
                    <w:tr2bl w:val="nil"/>
                  </w:tcBorders>
                  <w:vAlign w:val="center"/>
                </w:tcPr>
                <w:p>
                  <w:pPr>
                    <w:adjustRightInd w:val="0"/>
                    <w:snapToGrid w:val="0"/>
                    <w:jc w:val="center"/>
                    <w:rPr>
                      <w:szCs w:val="21"/>
                    </w:rPr>
                  </w:pPr>
                  <w:r>
                    <w:rPr>
                      <w:rFonts w:hint="eastAsia"/>
                      <w:szCs w:val="21"/>
                    </w:rPr>
                    <w:t>35.0</w:t>
                  </w:r>
                </w:p>
              </w:tc>
              <w:tc>
                <w:tcPr>
                  <w:tcW w:w="810" w:type="pct"/>
                  <w:tcBorders>
                    <w:tl2br w:val="nil"/>
                    <w:tr2bl w:val="nil"/>
                  </w:tcBorders>
                  <w:vAlign w:val="center"/>
                </w:tcPr>
                <w:p>
                  <w:pPr>
                    <w:adjustRightInd w:val="0"/>
                    <w:snapToGrid w:val="0"/>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45" w:type="pct"/>
                  <w:tcBorders>
                    <w:tl2br w:val="nil"/>
                    <w:tr2bl w:val="nil"/>
                  </w:tcBorders>
                  <w:vAlign w:val="center"/>
                </w:tcPr>
                <w:p>
                  <w:pPr>
                    <w:adjustRightInd w:val="0"/>
                    <w:snapToGrid w:val="0"/>
                    <w:jc w:val="center"/>
                    <w:rPr>
                      <w:szCs w:val="21"/>
                    </w:rPr>
                  </w:pPr>
                  <w:r>
                    <w:rPr>
                      <w:rFonts w:hint="eastAsia"/>
                      <w:szCs w:val="21"/>
                    </w:rPr>
                    <w:t>O</w:t>
                  </w:r>
                  <w:r>
                    <w:rPr>
                      <w:rFonts w:hint="eastAsia"/>
                      <w:szCs w:val="21"/>
                      <w:vertAlign w:val="subscript"/>
                    </w:rPr>
                    <w:t>3</w:t>
                  </w:r>
                </w:p>
              </w:tc>
              <w:tc>
                <w:tcPr>
                  <w:tcW w:w="1483" w:type="pct"/>
                  <w:tcBorders>
                    <w:tl2br w:val="nil"/>
                    <w:tr2bl w:val="nil"/>
                  </w:tcBorders>
                  <w:vAlign w:val="center"/>
                </w:tcPr>
                <w:p>
                  <w:pPr>
                    <w:adjustRightInd w:val="0"/>
                    <w:snapToGrid w:val="0"/>
                    <w:jc w:val="center"/>
                    <w:rPr>
                      <w:szCs w:val="21"/>
                    </w:rPr>
                  </w:pPr>
                  <w:r>
                    <w:rPr>
                      <w:rFonts w:hint="eastAsia"/>
                      <w:szCs w:val="21"/>
                    </w:rPr>
                    <w:t>日最大8小时平均质量浓度</w:t>
                  </w:r>
                </w:p>
              </w:tc>
              <w:tc>
                <w:tcPr>
                  <w:tcW w:w="869" w:type="pct"/>
                  <w:tcBorders>
                    <w:tl2br w:val="nil"/>
                    <w:tr2bl w:val="nil"/>
                  </w:tcBorders>
                  <w:vAlign w:val="center"/>
                </w:tcPr>
                <w:p>
                  <w:pPr>
                    <w:adjustRightInd w:val="0"/>
                    <w:snapToGrid w:val="0"/>
                    <w:jc w:val="center"/>
                    <w:rPr>
                      <w:szCs w:val="21"/>
                    </w:rPr>
                  </w:pPr>
                  <w:r>
                    <w:rPr>
                      <w:rFonts w:hint="eastAsia"/>
                      <w:szCs w:val="21"/>
                    </w:rPr>
                    <w:t>115</w:t>
                  </w:r>
                </w:p>
              </w:tc>
              <w:tc>
                <w:tcPr>
                  <w:tcW w:w="676" w:type="pct"/>
                  <w:tcBorders>
                    <w:tl2br w:val="nil"/>
                    <w:tr2bl w:val="nil"/>
                  </w:tcBorders>
                  <w:vAlign w:val="center"/>
                </w:tcPr>
                <w:p>
                  <w:pPr>
                    <w:adjustRightInd w:val="0"/>
                    <w:snapToGrid w:val="0"/>
                    <w:jc w:val="center"/>
                    <w:rPr>
                      <w:szCs w:val="21"/>
                    </w:rPr>
                  </w:pPr>
                  <w:r>
                    <w:rPr>
                      <w:rFonts w:hint="eastAsia"/>
                      <w:szCs w:val="21"/>
                    </w:rPr>
                    <w:t>160</w:t>
                  </w:r>
                </w:p>
              </w:tc>
              <w:tc>
                <w:tcPr>
                  <w:tcW w:w="615" w:type="pct"/>
                  <w:tcBorders>
                    <w:tl2br w:val="nil"/>
                    <w:tr2bl w:val="nil"/>
                  </w:tcBorders>
                  <w:vAlign w:val="center"/>
                </w:tcPr>
                <w:p>
                  <w:pPr>
                    <w:adjustRightInd w:val="0"/>
                    <w:snapToGrid w:val="0"/>
                    <w:jc w:val="center"/>
                    <w:rPr>
                      <w:szCs w:val="21"/>
                    </w:rPr>
                  </w:pPr>
                  <w:r>
                    <w:rPr>
                      <w:rFonts w:hint="eastAsia"/>
                      <w:szCs w:val="21"/>
                    </w:rPr>
                    <w:t>71.9</w:t>
                  </w:r>
                </w:p>
              </w:tc>
              <w:tc>
                <w:tcPr>
                  <w:tcW w:w="810" w:type="pct"/>
                  <w:tcBorders>
                    <w:tl2br w:val="nil"/>
                    <w:tr2bl w:val="nil"/>
                  </w:tcBorders>
                  <w:vAlign w:val="center"/>
                </w:tcPr>
                <w:p>
                  <w:pPr>
                    <w:adjustRightInd w:val="0"/>
                    <w:snapToGrid w:val="0"/>
                    <w:jc w:val="center"/>
                    <w:rPr>
                      <w:szCs w:val="21"/>
                    </w:rPr>
                  </w:pPr>
                  <w:r>
                    <w:rPr>
                      <w:rFonts w:hint="eastAsia"/>
                      <w:szCs w:val="21"/>
                    </w:rPr>
                    <w:t>达标</w:t>
                  </w:r>
                </w:p>
              </w:tc>
            </w:tr>
          </w:tbl>
          <w:p>
            <w:pPr>
              <w:spacing w:before="156" w:beforeLines="50" w:line="360" w:lineRule="auto"/>
              <w:ind w:firstLine="480" w:firstLineChars="200"/>
              <w:rPr>
                <w:sz w:val="24"/>
              </w:rPr>
            </w:pPr>
            <w:r>
              <w:rPr>
                <w:rFonts w:hint="eastAsia"/>
                <w:sz w:val="24"/>
              </w:rPr>
              <w:t>由上表可知，监控点</w:t>
            </w:r>
            <w:r>
              <w:rPr>
                <w:sz w:val="24"/>
              </w:rPr>
              <w:t>NO</w:t>
            </w:r>
            <w:r>
              <w:rPr>
                <w:sz w:val="24"/>
                <w:vertAlign w:val="subscript"/>
              </w:rPr>
              <w:t>2</w:t>
            </w:r>
            <w:r>
              <w:rPr>
                <w:rFonts w:hint="eastAsia"/>
                <w:sz w:val="24"/>
              </w:rPr>
              <w:t>、</w:t>
            </w:r>
            <w:r>
              <w:rPr>
                <w:sz w:val="24"/>
              </w:rPr>
              <w:t>SO</w:t>
            </w:r>
            <w:r>
              <w:rPr>
                <w:sz w:val="24"/>
                <w:vertAlign w:val="subscript"/>
              </w:rPr>
              <w:t>2</w:t>
            </w:r>
            <w:r>
              <w:rPr>
                <w:rFonts w:hint="eastAsia"/>
                <w:sz w:val="24"/>
              </w:rPr>
              <w:t>、</w:t>
            </w:r>
            <w:r>
              <w:rPr>
                <w:sz w:val="24"/>
              </w:rPr>
              <w:t>PM</w:t>
            </w:r>
            <w:r>
              <w:rPr>
                <w:sz w:val="24"/>
                <w:vertAlign w:val="subscript"/>
              </w:rPr>
              <w:t>10</w:t>
            </w:r>
            <w:r>
              <w:rPr>
                <w:rFonts w:hint="eastAsia"/>
                <w:sz w:val="24"/>
              </w:rPr>
              <w:t>、</w:t>
            </w:r>
            <w:r>
              <w:rPr>
                <w:sz w:val="24"/>
              </w:rPr>
              <w:t>PM</w:t>
            </w:r>
            <w:r>
              <w:rPr>
                <w:sz w:val="24"/>
                <w:vertAlign w:val="subscript"/>
              </w:rPr>
              <w:t>2.5</w:t>
            </w:r>
            <w:r>
              <w:rPr>
                <w:rFonts w:hint="eastAsia"/>
                <w:sz w:val="24"/>
              </w:rPr>
              <w:t>年平均质量浓度、CO的日最大平均质量浓度、O</w:t>
            </w:r>
            <w:r>
              <w:rPr>
                <w:rFonts w:hint="eastAsia"/>
                <w:sz w:val="24"/>
                <w:vertAlign w:val="subscript"/>
              </w:rPr>
              <w:t>3</w:t>
            </w:r>
            <w:r>
              <w:rPr>
                <w:rFonts w:hint="eastAsia"/>
                <w:sz w:val="24"/>
              </w:rPr>
              <w:t>的日最大8小时平均质量浓度均满足《环境空气质量标准》（</w:t>
            </w:r>
            <w:r>
              <w:rPr>
                <w:sz w:val="24"/>
              </w:rPr>
              <w:t>GB3095-2012</w:t>
            </w:r>
            <w:r>
              <w:rPr>
                <w:rFonts w:hint="eastAsia"/>
                <w:sz w:val="24"/>
              </w:rPr>
              <w:t>）二级标准要求，因此，本项目为达标区域。</w:t>
            </w:r>
          </w:p>
          <w:p>
            <w:pPr>
              <w:spacing w:line="360" w:lineRule="auto"/>
              <w:ind w:firstLine="480" w:firstLineChars="200"/>
              <w:jc w:val="left"/>
              <w:rPr>
                <w:sz w:val="24"/>
                <w:szCs w:val="22"/>
              </w:rPr>
            </w:pPr>
            <w:r>
              <w:rPr>
                <w:rFonts w:hint="eastAsia"/>
                <w:sz w:val="24"/>
              </w:rPr>
              <w:t>（2）特征污染物环境质量现状</w:t>
            </w:r>
          </w:p>
          <w:p>
            <w:pPr>
              <w:spacing w:line="360" w:lineRule="auto"/>
              <w:ind w:firstLine="480" w:firstLineChars="200"/>
              <w:rPr>
                <w:sz w:val="24"/>
              </w:rPr>
            </w:pPr>
            <w:r>
              <w:rPr>
                <w:rFonts w:hint="eastAsia"/>
                <w:sz w:val="24"/>
                <w:szCs w:val="22"/>
              </w:rPr>
              <w:t>本项目特征因子为TSP。</w:t>
            </w:r>
            <w:r>
              <w:rPr>
                <w:rFonts w:hint="eastAsia"/>
                <w:sz w:val="24"/>
              </w:rPr>
              <w:t>本项目委托西安普惠环境检测技术有限公司进行特征污染物现状监测，监测时间为</w:t>
            </w:r>
            <w:r>
              <w:rPr>
                <w:sz w:val="24"/>
              </w:rPr>
              <w:t>20</w:t>
            </w:r>
            <w:r>
              <w:rPr>
                <w:rFonts w:hint="eastAsia"/>
                <w:sz w:val="24"/>
              </w:rPr>
              <w:t>20年7月12日—20日（7月14日下雨时间顺延），监测报告见附件，</w:t>
            </w:r>
            <w:r>
              <w:rPr>
                <w:rFonts w:hint="eastAsia"/>
                <w:sz w:val="24"/>
                <w:szCs w:val="22"/>
              </w:rPr>
              <w:t>监测结果见下表。</w:t>
            </w:r>
          </w:p>
          <w:p>
            <w:pPr>
              <w:ind w:firstLine="420" w:firstLineChars="200"/>
              <w:jc w:val="center"/>
              <w:rPr>
                <w:b/>
                <w:bCs/>
                <w:szCs w:val="21"/>
                <w:vertAlign w:val="superscript"/>
              </w:rPr>
            </w:pPr>
            <w:r>
              <w:rPr>
                <w:b/>
                <w:bCs/>
                <w:szCs w:val="21"/>
              </w:rPr>
              <w:t>表</w:t>
            </w:r>
            <w:r>
              <w:rPr>
                <w:rFonts w:hint="eastAsia"/>
                <w:b/>
                <w:bCs/>
                <w:szCs w:val="21"/>
              </w:rPr>
              <w:t>10</w:t>
            </w:r>
            <w:r>
              <w:rPr>
                <w:b/>
                <w:bCs/>
                <w:szCs w:val="21"/>
              </w:rPr>
              <w:t xml:space="preserve">    </w:t>
            </w:r>
            <w:r>
              <w:rPr>
                <w:rFonts w:hint="eastAsia"/>
                <w:b/>
                <w:bCs/>
                <w:szCs w:val="21"/>
              </w:rPr>
              <w:t>TSP</w:t>
            </w:r>
            <w:r>
              <w:rPr>
                <w:b/>
                <w:bCs/>
                <w:szCs w:val="21"/>
              </w:rPr>
              <w:t>环境质量现状监测结果  单位：μg/m</w:t>
            </w:r>
            <w:r>
              <w:rPr>
                <w:b/>
                <w:bCs/>
                <w:szCs w:val="21"/>
                <w:vertAlign w:val="superscript"/>
              </w:rPr>
              <w:t>3</w:t>
            </w:r>
          </w:p>
          <w:tbl>
            <w:tblPr>
              <w:tblStyle w:val="19"/>
              <w:tblW w:w="499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Layout w:type="fixed"/>
              <w:tblCellMar>
                <w:top w:w="0" w:type="dxa"/>
                <w:left w:w="28" w:type="dxa"/>
                <w:bottom w:w="0" w:type="dxa"/>
                <w:right w:w="28" w:type="dxa"/>
              </w:tblCellMar>
            </w:tblPr>
            <w:tblGrid>
              <w:gridCol w:w="1680"/>
              <w:gridCol w:w="937"/>
              <w:gridCol w:w="689"/>
              <w:gridCol w:w="1114"/>
              <w:gridCol w:w="1279"/>
              <w:gridCol w:w="1426"/>
              <w:gridCol w:w="898"/>
              <w:gridCol w:w="10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28" w:type="dxa"/>
                  <w:bottom w:w="0" w:type="dxa"/>
                  <w:right w:w="28" w:type="dxa"/>
                </w:tblCellMar>
              </w:tblPrEx>
              <w:trPr>
                <w:trHeight w:val="870" w:hRule="atLeast"/>
                <w:jc w:val="center"/>
              </w:trPr>
              <w:tc>
                <w:tcPr>
                  <w:tcW w:w="928" w:type="pct"/>
                  <w:tcBorders>
                    <w:tl2br w:val="nil"/>
                    <w:tr2bl w:val="nil"/>
                  </w:tcBorders>
                  <w:vAlign w:val="center"/>
                </w:tcPr>
                <w:p>
                  <w:pPr>
                    <w:snapToGrid w:val="0"/>
                    <w:jc w:val="center"/>
                    <w:rPr>
                      <w:szCs w:val="21"/>
                    </w:rPr>
                  </w:pPr>
                  <w:r>
                    <w:rPr>
                      <w:rFonts w:hint="eastAsia"/>
                      <w:szCs w:val="21"/>
                    </w:rPr>
                    <w:t>监测</w:t>
                  </w:r>
                </w:p>
                <w:p>
                  <w:pPr>
                    <w:snapToGrid w:val="0"/>
                    <w:jc w:val="center"/>
                    <w:rPr>
                      <w:szCs w:val="21"/>
                    </w:rPr>
                  </w:pPr>
                  <w:r>
                    <w:rPr>
                      <w:rFonts w:hint="eastAsia"/>
                      <w:szCs w:val="21"/>
                    </w:rPr>
                    <w:t>点位</w:t>
                  </w:r>
                </w:p>
              </w:tc>
              <w:tc>
                <w:tcPr>
                  <w:tcW w:w="518" w:type="pct"/>
                  <w:tcBorders>
                    <w:tl2br w:val="nil"/>
                    <w:tr2bl w:val="nil"/>
                  </w:tcBorders>
                  <w:vAlign w:val="center"/>
                </w:tcPr>
                <w:p>
                  <w:pPr>
                    <w:snapToGrid w:val="0"/>
                    <w:jc w:val="center"/>
                    <w:rPr>
                      <w:szCs w:val="21"/>
                    </w:rPr>
                  </w:pPr>
                  <w:r>
                    <w:rPr>
                      <w:rFonts w:hint="eastAsia"/>
                      <w:szCs w:val="21"/>
                    </w:rPr>
                    <w:t>监测</w:t>
                  </w:r>
                </w:p>
                <w:p>
                  <w:pPr>
                    <w:snapToGrid w:val="0"/>
                    <w:jc w:val="center"/>
                    <w:rPr>
                      <w:szCs w:val="21"/>
                    </w:rPr>
                  </w:pPr>
                  <w:r>
                    <w:rPr>
                      <w:rFonts w:hint="eastAsia"/>
                      <w:szCs w:val="21"/>
                    </w:rPr>
                    <w:t>项目</w:t>
                  </w:r>
                </w:p>
              </w:tc>
              <w:tc>
                <w:tcPr>
                  <w:tcW w:w="381" w:type="pct"/>
                  <w:tcBorders>
                    <w:tl2br w:val="nil"/>
                    <w:tr2bl w:val="nil"/>
                  </w:tcBorders>
                  <w:vAlign w:val="center"/>
                </w:tcPr>
                <w:p>
                  <w:pPr>
                    <w:snapToGrid w:val="0"/>
                    <w:jc w:val="center"/>
                    <w:rPr>
                      <w:szCs w:val="21"/>
                    </w:rPr>
                  </w:pPr>
                  <w:r>
                    <w:rPr>
                      <w:rFonts w:hint="eastAsia"/>
                      <w:szCs w:val="21"/>
                    </w:rPr>
                    <w:t>平均时间</w:t>
                  </w:r>
                </w:p>
              </w:tc>
              <w:tc>
                <w:tcPr>
                  <w:tcW w:w="616" w:type="pct"/>
                  <w:tcBorders>
                    <w:tl2br w:val="nil"/>
                    <w:tr2bl w:val="nil"/>
                  </w:tcBorders>
                  <w:vAlign w:val="center"/>
                </w:tcPr>
                <w:p>
                  <w:pPr>
                    <w:snapToGrid w:val="0"/>
                    <w:jc w:val="center"/>
                    <w:rPr>
                      <w:szCs w:val="21"/>
                    </w:rPr>
                  </w:pPr>
                  <w:r>
                    <w:rPr>
                      <w:rFonts w:hint="eastAsia"/>
                      <w:szCs w:val="21"/>
                    </w:rPr>
                    <w:t>评价标准</w:t>
                  </w:r>
                  <w:r>
                    <w:rPr>
                      <w:rFonts w:eastAsia="黑体"/>
                      <w:bCs/>
                      <w:szCs w:val="21"/>
                    </w:rPr>
                    <w:t>μg/m</w:t>
                  </w:r>
                  <w:r>
                    <w:rPr>
                      <w:rFonts w:eastAsia="黑体"/>
                      <w:bCs/>
                      <w:szCs w:val="21"/>
                      <w:vertAlign w:val="superscript"/>
                    </w:rPr>
                    <w:t>3</w:t>
                  </w:r>
                </w:p>
              </w:tc>
              <w:tc>
                <w:tcPr>
                  <w:tcW w:w="708" w:type="pct"/>
                  <w:tcBorders>
                    <w:tl2br w:val="nil"/>
                    <w:tr2bl w:val="nil"/>
                  </w:tcBorders>
                  <w:vAlign w:val="center"/>
                </w:tcPr>
                <w:p>
                  <w:pPr>
                    <w:snapToGrid w:val="0"/>
                    <w:jc w:val="center"/>
                    <w:rPr>
                      <w:szCs w:val="21"/>
                    </w:rPr>
                  </w:pPr>
                  <w:r>
                    <w:rPr>
                      <w:rFonts w:hint="eastAsia"/>
                      <w:szCs w:val="21"/>
                    </w:rPr>
                    <w:t>监测浓度范围</w:t>
                  </w:r>
                  <w:r>
                    <w:rPr>
                      <w:rFonts w:eastAsia="黑体"/>
                      <w:bCs/>
                      <w:szCs w:val="21"/>
                    </w:rPr>
                    <w:t>μg/m</w:t>
                  </w:r>
                  <w:r>
                    <w:rPr>
                      <w:rFonts w:eastAsia="黑体"/>
                      <w:bCs/>
                      <w:szCs w:val="21"/>
                      <w:vertAlign w:val="superscript"/>
                    </w:rPr>
                    <w:t>3</w:t>
                  </w:r>
                </w:p>
              </w:tc>
              <w:tc>
                <w:tcPr>
                  <w:tcW w:w="789" w:type="pct"/>
                  <w:tcBorders>
                    <w:tl2br w:val="nil"/>
                    <w:tr2bl w:val="nil"/>
                  </w:tcBorders>
                  <w:vAlign w:val="center"/>
                </w:tcPr>
                <w:p>
                  <w:pPr>
                    <w:snapToGrid w:val="0"/>
                    <w:jc w:val="center"/>
                    <w:rPr>
                      <w:szCs w:val="21"/>
                    </w:rPr>
                  </w:pPr>
                  <w:r>
                    <w:rPr>
                      <w:rFonts w:hint="eastAsia"/>
                      <w:szCs w:val="21"/>
                    </w:rPr>
                    <w:t>最大浓度占标率%</w:t>
                  </w:r>
                </w:p>
              </w:tc>
              <w:tc>
                <w:tcPr>
                  <w:tcW w:w="497" w:type="pct"/>
                  <w:tcBorders>
                    <w:tl2br w:val="nil"/>
                    <w:tr2bl w:val="nil"/>
                  </w:tcBorders>
                  <w:vAlign w:val="center"/>
                </w:tcPr>
                <w:p>
                  <w:pPr>
                    <w:snapToGrid w:val="0"/>
                    <w:jc w:val="center"/>
                    <w:rPr>
                      <w:szCs w:val="21"/>
                    </w:rPr>
                  </w:pPr>
                  <w:r>
                    <w:rPr>
                      <w:rFonts w:hint="eastAsia"/>
                      <w:szCs w:val="21"/>
                    </w:rPr>
                    <w:t>超标率%</w:t>
                  </w:r>
                </w:p>
              </w:tc>
              <w:tc>
                <w:tcPr>
                  <w:tcW w:w="560" w:type="pct"/>
                  <w:tcBorders>
                    <w:tl2br w:val="nil"/>
                    <w:tr2bl w:val="nil"/>
                  </w:tcBorders>
                  <w:vAlign w:val="center"/>
                </w:tcPr>
                <w:p>
                  <w:pPr>
                    <w:snapToGrid w:val="0"/>
                    <w:jc w:val="center"/>
                    <w:rPr>
                      <w:szCs w:val="21"/>
                    </w:rPr>
                  </w:pPr>
                  <w:r>
                    <w:rPr>
                      <w:rFonts w:hint="eastAsia"/>
                      <w:szCs w:val="21"/>
                    </w:rPr>
                    <w:t>达标情况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28" w:type="dxa"/>
                  <w:bottom w:w="0" w:type="dxa"/>
                  <w:right w:w="28" w:type="dxa"/>
                </w:tblCellMar>
              </w:tblPrEx>
              <w:trPr>
                <w:trHeight w:val="646" w:hRule="atLeast"/>
                <w:jc w:val="center"/>
              </w:trPr>
              <w:tc>
                <w:tcPr>
                  <w:tcW w:w="928" w:type="pct"/>
                  <w:tcBorders>
                    <w:tl2br w:val="nil"/>
                    <w:tr2bl w:val="nil"/>
                  </w:tcBorders>
                  <w:vAlign w:val="center"/>
                </w:tcPr>
                <w:p>
                  <w:pPr>
                    <w:widowControl/>
                    <w:jc w:val="center"/>
                    <w:rPr>
                      <w:szCs w:val="21"/>
                    </w:rPr>
                  </w:pPr>
                  <w:r>
                    <w:rPr>
                      <w:rFonts w:hint="eastAsia"/>
                      <w:szCs w:val="21"/>
                    </w:rPr>
                    <w:t>1#项目区</w:t>
                  </w:r>
                </w:p>
              </w:tc>
              <w:tc>
                <w:tcPr>
                  <w:tcW w:w="518" w:type="pct"/>
                  <w:vMerge w:val="restart"/>
                  <w:tcBorders>
                    <w:tl2br w:val="nil"/>
                    <w:tr2bl w:val="nil"/>
                  </w:tcBorders>
                  <w:vAlign w:val="center"/>
                </w:tcPr>
                <w:p>
                  <w:pPr>
                    <w:snapToGrid w:val="0"/>
                    <w:jc w:val="center"/>
                    <w:rPr>
                      <w:szCs w:val="21"/>
                    </w:rPr>
                  </w:pPr>
                  <w:r>
                    <w:rPr>
                      <w:rFonts w:hint="eastAsia"/>
                      <w:szCs w:val="21"/>
                    </w:rPr>
                    <w:t>TSP</w:t>
                  </w:r>
                </w:p>
              </w:tc>
              <w:tc>
                <w:tcPr>
                  <w:tcW w:w="381" w:type="pct"/>
                  <w:vMerge w:val="restart"/>
                  <w:tcBorders>
                    <w:tl2br w:val="nil"/>
                    <w:tr2bl w:val="nil"/>
                  </w:tcBorders>
                  <w:vAlign w:val="center"/>
                </w:tcPr>
                <w:p>
                  <w:pPr>
                    <w:jc w:val="center"/>
                    <w:rPr>
                      <w:szCs w:val="21"/>
                    </w:rPr>
                  </w:pPr>
                  <w:r>
                    <w:rPr>
                      <w:rFonts w:hint="eastAsia"/>
                      <w:szCs w:val="21"/>
                    </w:rPr>
                    <w:t>日平均</w:t>
                  </w:r>
                </w:p>
              </w:tc>
              <w:tc>
                <w:tcPr>
                  <w:tcW w:w="616" w:type="pct"/>
                  <w:vMerge w:val="restart"/>
                  <w:tcBorders>
                    <w:tl2br w:val="nil"/>
                    <w:tr2bl w:val="nil"/>
                  </w:tcBorders>
                  <w:vAlign w:val="center"/>
                </w:tcPr>
                <w:p>
                  <w:pPr>
                    <w:jc w:val="center"/>
                    <w:rPr>
                      <w:szCs w:val="21"/>
                    </w:rPr>
                  </w:pPr>
                  <w:r>
                    <w:rPr>
                      <w:rFonts w:hint="eastAsia"/>
                      <w:szCs w:val="21"/>
                    </w:rPr>
                    <w:t>300</w:t>
                  </w:r>
                </w:p>
              </w:tc>
              <w:tc>
                <w:tcPr>
                  <w:tcW w:w="708" w:type="pct"/>
                  <w:tcBorders>
                    <w:tl2br w:val="nil"/>
                    <w:tr2bl w:val="nil"/>
                  </w:tcBorders>
                  <w:vAlign w:val="center"/>
                </w:tcPr>
                <w:p>
                  <w:pPr>
                    <w:jc w:val="center"/>
                    <w:rPr>
                      <w:szCs w:val="21"/>
                    </w:rPr>
                  </w:pPr>
                  <w:r>
                    <w:rPr>
                      <w:rFonts w:hint="eastAsia"/>
                      <w:szCs w:val="21"/>
                    </w:rPr>
                    <w:t>154-163</w:t>
                  </w:r>
                </w:p>
              </w:tc>
              <w:tc>
                <w:tcPr>
                  <w:tcW w:w="789" w:type="pct"/>
                  <w:tcBorders>
                    <w:tl2br w:val="nil"/>
                    <w:tr2bl w:val="nil"/>
                  </w:tcBorders>
                  <w:vAlign w:val="center"/>
                </w:tcPr>
                <w:p>
                  <w:pPr>
                    <w:jc w:val="center"/>
                    <w:rPr>
                      <w:szCs w:val="21"/>
                    </w:rPr>
                  </w:pPr>
                  <w:r>
                    <w:rPr>
                      <w:rFonts w:hint="eastAsia"/>
                      <w:szCs w:val="21"/>
                    </w:rPr>
                    <w:t>54.4</w:t>
                  </w:r>
                </w:p>
              </w:tc>
              <w:tc>
                <w:tcPr>
                  <w:tcW w:w="497" w:type="pct"/>
                  <w:tcBorders>
                    <w:tl2br w:val="nil"/>
                    <w:tr2bl w:val="nil"/>
                  </w:tcBorders>
                  <w:vAlign w:val="center"/>
                </w:tcPr>
                <w:p>
                  <w:pPr>
                    <w:jc w:val="center"/>
                    <w:rPr>
                      <w:szCs w:val="21"/>
                    </w:rPr>
                  </w:pPr>
                  <w:r>
                    <w:rPr>
                      <w:rFonts w:hint="eastAsia"/>
                      <w:szCs w:val="21"/>
                    </w:rPr>
                    <w:t>0</w:t>
                  </w:r>
                </w:p>
              </w:tc>
              <w:tc>
                <w:tcPr>
                  <w:tcW w:w="560" w:type="pct"/>
                  <w:tcBorders>
                    <w:tl2br w:val="nil"/>
                    <w:tr2bl w:val="nil"/>
                  </w:tcBorders>
                  <w:vAlign w:val="center"/>
                </w:tcPr>
                <w:p>
                  <w:pPr>
                    <w:jc w:val="center"/>
                    <w:rPr>
                      <w:szCs w:val="21"/>
                    </w:rPr>
                  </w:pPr>
                  <w:r>
                    <w:rPr>
                      <w:rFonts w:hint="eastAsia"/>
                      <w:szCs w:val="21"/>
                    </w:rPr>
                    <w:t>达标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6" w:space="0"/>
                </w:tblBorders>
                <w:tblCellMar>
                  <w:top w:w="0" w:type="dxa"/>
                  <w:left w:w="28" w:type="dxa"/>
                  <w:bottom w:w="0" w:type="dxa"/>
                  <w:right w:w="28" w:type="dxa"/>
                </w:tblCellMar>
              </w:tblPrEx>
              <w:trPr>
                <w:trHeight w:val="425" w:hRule="atLeast"/>
                <w:jc w:val="center"/>
              </w:trPr>
              <w:tc>
                <w:tcPr>
                  <w:tcW w:w="928" w:type="pct"/>
                  <w:tcBorders>
                    <w:tl2br w:val="nil"/>
                    <w:tr2bl w:val="nil"/>
                  </w:tcBorders>
                  <w:vAlign w:val="center"/>
                </w:tcPr>
                <w:p>
                  <w:pPr>
                    <w:widowControl/>
                    <w:jc w:val="center"/>
                    <w:rPr>
                      <w:szCs w:val="21"/>
                    </w:rPr>
                  </w:pPr>
                  <w:r>
                    <w:rPr>
                      <w:rFonts w:hint="eastAsia"/>
                      <w:szCs w:val="21"/>
                    </w:rPr>
                    <w:t>2#项目下风向</w:t>
                  </w:r>
                </w:p>
              </w:tc>
              <w:tc>
                <w:tcPr>
                  <w:tcW w:w="518" w:type="pct"/>
                  <w:vMerge w:val="continue"/>
                  <w:tcBorders>
                    <w:tl2br w:val="nil"/>
                    <w:tr2bl w:val="nil"/>
                  </w:tcBorders>
                  <w:vAlign w:val="center"/>
                </w:tcPr>
                <w:p>
                  <w:pPr>
                    <w:snapToGrid w:val="0"/>
                    <w:jc w:val="center"/>
                    <w:rPr>
                      <w:szCs w:val="21"/>
                    </w:rPr>
                  </w:pPr>
                </w:p>
              </w:tc>
              <w:tc>
                <w:tcPr>
                  <w:tcW w:w="381" w:type="pct"/>
                  <w:vMerge w:val="continue"/>
                  <w:tcBorders>
                    <w:tl2br w:val="nil"/>
                    <w:tr2bl w:val="nil"/>
                  </w:tcBorders>
                  <w:vAlign w:val="center"/>
                </w:tcPr>
                <w:p>
                  <w:pPr>
                    <w:jc w:val="center"/>
                    <w:rPr>
                      <w:szCs w:val="21"/>
                    </w:rPr>
                  </w:pPr>
                </w:p>
              </w:tc>
              <w:tc>
                <w:tcPr>
                  <w:tcW w:w="616" w:type="pct"/>
                  <w:vMerge w:val="continue"/>
                  <w:tcBorders>
                    <w:tl2br w:val="nil"/>
                    <w:tr2bl w:val="nil"/>
                  </w:tcBorders>
                  <w:vAlign w:val="center"/>
                </w:tcPr>
                <w:p>
                  <w:pPr>
                    <w:jc w:val="center"/>
                    <w:rPr>
                      <w:szCs w:val="21"/>
                    </w:rPr>
                  </w:pPr>
                </w:p>
              </w:tc>
              <w:tc>
                <w:tcPr>
                  <w:tcW w:w="708" w:type="pct"/>
                  <w:tcBorders>
                    <w:tl2br w:val="nil"/>
                    <w:tr2bl w:val="nil"/>
                  </w:tcBorders>
                  <w:vAlign w:val="center"/>
                </w:tcPr>
                <w:p>
                  <w:pPr>
                    <w:jc w:val="center"/>
                    <w:rPr>
                      <w:szCs w:val="21"/>
                    </w:rPr>
                  </w:pPr>
                  <w:r>
                    <w:rPr>
                      <w:rFonts w:hint="eastAsia"/>
                      <w:szCs w:val="21"/>
                    </w:rPr>
                    <w:t>162-176</w:t>
                  </w:r>
                </w:p>
              </w:tc>
              <w:tc>
                <w:tcPr>
                  <w:tcW w:w="789" w:type="pct"/>
                  <w:tcBorders>
                    <w:tl2br w:val="nil"/>
                    <w:tr2bl w:val="nil"/>
                  </w:tcBorders>
                  <w:vAlign w:val="center"/>
                </w:tcPr>
                <w:p>
                  <w:pPr>
                    <w:jc w:val="center"/>
                    <w:rPr>
                      <w:szCs w:val="21"/>
                    </w:rPr>
                  </w:pPr>
                  <w:r>
                    <w:rPr>
                      <w:rFonts w:hint="eastAsia"/>
                      <w:szCs w:val="21"/>
                    </w:rPr>
                    <w:t>58.7</w:t>
                  </w:r>
                </w:p>
              </w:tc>
              <w:tc>
                <w:tcPr>
                  <w:tcW w:w="497" w:type="pct"/>
                  <w:tcBorders>
                    <w:tl2br w:val="nil"/>
                    <w:tr2bl w:val="nil"/>
                  </w:tcBorders>
                  <w:vAlign w:val="center"/>
                </w:tcPr>
                <w:p>
                  <w:pPr>
                    <w:jc w:val="center"/>
                    <w:rPr>
                      <w:szCs w:val="21"/>
                    </w:rPr>
                  </w:pPr>
                  <w:r>
                    <w:rPr>
                      <w:rFonts w:hint="eastAsia"/>
                      <w:szCs w:val="21"/>
                    </w:rPr>
                    <w:t>0</w:t>
                  </w:r>
                </w:p>
              </w:tc>
              <w:tc>
                <w:tcPr>
                  <w:tcW w:w="560" w:type="pct"/>
                  <w:tcBorders>
                    <w:tl2br w:val="nil"/>
                    <w:tr2bl w:val="nil"/>
                  </w:tcBorders>
                  <w:vAlign w:val="center"/>
                </w:tcPr>
                <w:p>
                  <w:pPr>
                    <w:jc w:val="center"/>
                    <w:rPr>
                      <w:szCs w:val="21"/>
                    </w:rPr>
                  </w:pPr>
                  <w:r>
                    <w:rPr>
                      <w:rFonts w:hint="eastAsia"/>
                      <w:szCs w:val="21"/>
                    </w:rPr>
                    <w:t>达标</w:t>
                  </w:r>
                </w:p>
              </w:tc>
            </w:tr>
          </w:tbl>
          <w:p>
            <w:pPr>
              <w:spacing w:line="360" w:lineRule="auto"/>
              <w:ind w:firstLine="480" w:firstLineChars="200"/>
              <w:rPr>
                <w:sz w:val="24"/>
              </w:rPr>
            </w:pPr>
            <w:r>
              <w:rPr>
                <w:rFonts w:hint="eastAsia"/>
                <w:sz w:val="24"/>
              </w:rPr>
              <w:t>由上表可知，项目区TSP24小时浓度值可满足</w:t>
            </w:r>
            <w:r>
              <w:rPr>
                <w:sz w:val="24"/>
              </w:rPr>
              <w:t>《环境空气质量标准》（GB3095-2012）及其修改单中二级标准</w:t>
            </w:r>
            <w:r>
              <w:rPr>
                <w:rFonts w:hint="eastAsia"/>
                <w:sz w:val="24"/>
              </w:rPr>
              <w:t>。</w:t>
            </w:r>
          </w:p>
          <w:p>
            <w:pPr>
              <w:spacing w:line="360" w:lineRule="auto"/>
              <w:rPr>
                <w:b/>
                <w:sz w:val="24"/>
              </w:rPr>
            </w:pPr>
            <w:r>
              <w:rPr>
                <w:b/>
                <w:sz w:val="24"/>
              </w:rPr>
              <w:t>二、</w:t>
            </w:r>
            <w:r>
              <w:rPr>
                <w:rFonts w:hint="eastAsia"/>
                <w:b/>
                <w:sz w:val="24"/>
              </w:rPr>
              <w:t>土壤</w:t>
            </w:r>
            <w:r>
              <w:rPr>
                <w:b/>
                <w:sz w:val="24"/>
              </w:rPr>
              <w:t>环境质量现状</w:t>
            </w:r>
          </w:p>
          <w:p>
            <w:pPr>
              <w:tabs>
                <w:tab w:val="left" w:pos="5727"/>
              </w:tabs>
              <w:spacing w:line="360" w:lineRule="auto"/>
              <w:ind w:firstLine="480" w:firstLineChars="200"/>
              <w:rPr>
                <w:sz w:val="24"/>
              </w:rPr>
            </w:pPr>
            <w:r>
              <w:rPr>
                <w:sz w:val="24"/>
              </w:rPr>
              <w:t>为了解项目区土壤环境质量现状情况，本次环评委托</w:t>
            </w:r>
            <w:r>
              <w:rPr>
                <w:rFonts w:hint="eastAsia"/>
                <w:sz w:val="24"/>
              </w:rPr>
              <w:t>西安普惠环境检测技术有限公司进行取样</w:t>
            </w:r>
            <w:r>
              <w:rPr>
                <w:sz w:val="24"/>
              </w:rPr>
              <w:t>，采样布点见附图</w:t>
            </w:r>
            <w:r>
              <w:rPr>
                <w:rFonts w:hint="eastAsia"/>
                <w:sz w:val="24"/>
              </w:rPr>
              <w:t>4</w:t>
            </w:r>
            <w:r>
              <w:rPr>
                <w:sz w:val="24"/>
              </w:rPr>
              <w:t>。采样与分析方法见表</w:t>
            </w:r>
            <w:r>
              <w:rPr>
                <w:rFonts w:hint="eastAsia"/>
                <w:sz w:val="24"/>
              </w:rPr>
              <w:t>11</w:t>
            </w:r>
            <w:r>
              <w:rPr>
                <w:sz w:val="24"/>
              </w:rPr>
              <w:t>，监测结果见</w:t>
            </w:r>
            <w:r>
              <w:rPr>
                <w:rFonts w:hint="eastAsia"/>
                <w:sz w:val="24"/>
              </w:rPr>
              <w:t>12</w:t>
            </w:r>
            <w:r>
              <w:rPr>
                <w:sz w:val="24"/>
              </w:rPr>
              <w:t>。</w:t>
            </w:r>
          </w:p>
          <w:p>
            <w:pPr>
              <w:pStyle w:val="43"/>
              <w:adjustRightInd w:val="0"/>
              <w:snapToGrid w:val="0"/>
              <w:spacing w:line="240" w:lineRule="auto"/>
              <w:ind w:firstLine="0" w:firstLineChars="0"/>
              <w:jc w:val="center"/>
              <w:rPr>
                <w:rFonts w:ascii="Times New Roman" w:hAnsi="Times New Roman"/>
                <w:b/>
                <w:bCs/>
                <w:sz w:val="21"/>
                <w:szCs w:val="21"/>
              </w:rPr>
            </w:pPr>
            <w:r>
              <w:rPr>
                <w:rFonts w:ascii="Times New Roman" w:hAnsi="Times New Roman"/>
                <w:b/>
                <w:bCs/>
                <w:sz w:val="21"/>
                <w:szCs w:val="21"/>
              </w:rPr>
              <w:t>表</w:t>
            </w:r>
            <w:r>
              <w:rPr>
                <w:rFonts w:hint="eastAsia" w:ascii="Times New Roman" w:hAnsi="Times New Roman"/>
                <w:b/>
                <w:bCs/>
                <w:sz w:val="21"/>
                <w:szCs w:val="21"/>
              </w:rPr>
              <w:t>11</w:t>
            </w:r>
            <w:r>
              <w:rPr>
                <w:rFonts w:ascii="Times New Roman" w:hAnsi="Times New Roman"/>
                <w:b/>
                <w:bCs/>
                <w:sz w:val="21"/>
                <w:szCs w:val="21"/>
              </w:rPr>
              <w:t xml:space="preserve">   土壤采样及分析方法一览表</w:t>
            </w:r>
          </w:p>
          <w:tbl>
            <w:tblPr>
              <w:tblStyle w:val="19"/>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176"/>
              <w:gridCol w:w="3029"/>
              <w:gridCol w:w="2694"/>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序号</w:t>
                  </w:r>
                </w:p>
              </w:tc>
              <w:tc>
                <w:tcPr>
                  <w:tcW w:w="651" w:type="pct"/>
                  <w:tcBorders>
                    <w:tl2br w:val="nil"/>
                    <w:tr2bl w:val="nil"/>
                  </w:tcBorders>
                  <w:vAlign w:val="center"/>
                </w:tcPr>
                <w:p>
                  <w:pPr>
                    <w:autoSpaceDE w:val="0"/>
                    <w:autoSpaceDN w:val="0"/>
                    <w:adjustRightInd w:val="0"/>
                    <w:snapToGrid w:val="0"/>
                    <w:contextualSpacing/>
                    <w:jc w:val="center"/>
                    <w:rPr>
                      <w:szCs w:val="21"/>
                    </w:rPr>
                  </w:pPr>
                  <w:r>
                    <w:rPr>
                      <w:szCs w:val="21"/>
                    </w:rPr>
                    <w:t>监测项目</w:t>
                  </w:r>
                </w:p>
              </w:tc>
              <w:tc>
                <w:tcPr>
                  <w:tcW w:w="1675" w:type="pct"/>
                  <w:tcBorders>
                    <w:tl2br w:val="nil"/>
                    <w:tr2bl w:val="nil"/>
                  </w:tcBorders>
                  <w:vAlign w:val="center"/>
                </w:tcPr>
                <w:p>
                  <w:pPr>
                    <w:autoSpaceDE w:val="0"/>
                    <w:autoSpaceDN w:val="0"/>
                    <w:adjustRightInd w:val="0"/>
                    <w:snapToGrid w:val="0"/>
                    <w:contextualSpacing/>
                    <w:jc w:val="center"/>
                    <w:rPr>
                      <w:szCs w:val="21"/>
                    </w:rPr>
                  </w:pPr>
                  <w:r>
                    <w:rPr>
                      <w:szCs w:val="21"/>
                    </w:rPr>
                    <w:t>分析方法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方法依据</w:t>
                  </w:r>
                </w:p>
              </w:tc>
              <w:tc>
                <w:tcPr>
                  <w:tcW w:w="794" w:type="pct"/>
                  <w:tcBorders>
                    <w:tl2br w:val="nil"/>
                    <w:tr2bl w:val="nil"/>
                  </w:tcBorders>
                  <w:vAlign w:val="center"/>
                </w:tcPr>
                <w:p>
                  <w:pPr>
                    <w:autoSpaceDE w:val="0"/>
                    <w:autoSpaceDN w:val="0"/>
                    <w:adjustRightInd w:val="0"/>
                    <w:snapToGrid w:val="0"/>
                    <w:contextualSpacing/>
                    <w:jc w:val="center"/>
                    <w:rPr>
                      <w:szCs w:val="21"/>
                    </w:rPr>
                  </w:pPr>
                  <w:r>
                    <w:rPr>
                      <w:szCs w:val="21"/>
                    </w:rPr>
                    <w:t>检出限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1</w:t>
                  </w:r>
                </w:p>
              </w:tc>
              <w:tc>
                <w:tcPr>
                  <w:tcW w:w="651" w:type="pct"/>
                  <w:tcBorders>
                    <w:tl2br w:val="nil"/>
                    <w:tr2bl w:val="nil"/>
                  </w:tcBorders>
                  <w:vAlign w:val="center"/>
                </w:tcPr>
                <w:p>
                  <w:pPr>
                    <w:jc w:val="center"/>
                    <w:rPr>
                      <w:szCs w:val="21"/>
                    </w:rPr>
                  </w:pPr>
                  <w:r>
                    <w:rPr>
                      <w:szCs w:val="21"/>
                    </w:rPr>
                    <w:t>PH</w:t>
                  </w:r>
                </w:p>
              </w:tc>
              <w:tc>
                <w:tcPr>
                  <w:tcW w:w="1675" w:type="pct"/>
                  <w:tcBorders>
                    <w:tl2br w:val="nil"/>
                    <w:tr2bl w:val="nil"/>
                  </w:tcBorders>
                  <w:vAlign w:val="center"/>
                </w:tcPr>
                <w:p>
                  <w:pPr>
                    <w:pStyle w:val="11"/>
                    <w:spacing w:line="264" w:lineRule="auto"/>
                    <w:jc w:val="center"/>
                    <w:rPr>
                      <w:sz w:val="21"/>
                      <w:szCs w:val="21"/>
                    </w:rPr>
                  </w:pPr>
                  <w:r>
                    <w:rPr>
                      <w:sz w:val="21"/>
                      <w:szCs w:val="21"/>
                    </w:rPr>
                    <w:t>电位法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LY/T 1239-1999</w:t>
                  </w:r>
                </w:p>
              </w:tc>
              <w:tc>
                <w:tcPr>
                  <w:tcW w:w="794" w:type="pct"/>
                  <w:tcBorders>
                    <w:tl2br w:val="nil"/>
                    <w:tr2bl w:val="nil"/>
                  </w:tcBorders>
                  <w:vAlign w:val="center"/>
                </w:tcPr>
                <w:p>
                  <w:pPr>
                    <w:jc w:val="center"/>
                    <w:rPr>
                      <w:szCs w:val="21"/>
                    </w:rPr>
                  </w:pPr>
                  <w:r>
                    <w:rPr>
                      <w:szCs w:val="21"/>
                    </w:rPr>
                    <w:t>0.</w:t>
                  </w:r>
                  <w:r>
                    <w:rPr>
                      <w:rFonts w:hint="eastAsia"/>
                      <w:szCs w:val="21"/>
                    </w:rPr>
                    <w:t>1</w:t>
                  </w:r>
                </w:p>
                <w:p>
                  <w:pPr>
                    <w:jc w:val="center"/>
                    <w:rPr>
                      <w:szCs w:val="21"/>
                    </w:rPr>
                  </w:pPr>
                  <w:r>
                    <w:rPr>
                      <w:szCs w:val="21"/>
                    </w:rPr>
                    <w:t>（无量纲）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2</w:t>
                  </w:r>
                </w:p>
              </w:tc>
              <w:tc>
                <w:tcPr>
                  <w:tcW w:w="651" w:type="pct"/>
                  <w:tcBorders>
                    <w:tl2br w:val="nil"/>
                    <w:tr2bl w:val="nil"/>
                  </w:tcBorders>
                  <w:vAlign w:val="center"/>
                </w:tcPr>
                <w:p>
                  <w:pPr>
                    <w:jc w:val="center"/>
                    <w:rPr>
                      <w:szCs w:val="21"/>
                    </w:rPr>
                  </w:pPr>
                  <w:r>
                    <w:rPr>
                      <w:szCs w:val="21"/>
                    </w:rPr>
                    <w:t>砷</w:t>
                  </w:r>
                </w:p>
              </w:tc>
              <w:tc>
                <w:tcPr>
                  <w:tcW w:w="1675" w:type="pct"/>
                  <w:tcBorders>
                    <w:tl2br w:val="nil"/>
                    <w:tr2bl w:val="nil"/>
                  </w:tcBorders>
                  <w:vAlign w:val="center"/>
                </w:tcPr>
                <w:p>
                  <w:pPr>
                    <w:pStyle w:val="11"/>
                    <w:spacing w:line="264" w:lineRule="auto"/>
                    <w:jc w:val="center"/>
                    <w:rPr>
                      <w:sz w:val="21"/>
                      <w:szCs w:val="21"/>
                    </w:rPr>
                  </w:pPr>
                  <w:r>
                    <w:rPr>
                      <w:sz w:val="21"/>
                      <w:szCs w:val="21"/>
                    </w:rPr>
                    <w:t>原子荧光法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 w:val="24"/>
                    </w:rPr>
                    <w:t>GB/T 22105.</w:t>
                  </w:r>
                  <w:r>
                    <w:rPr>
                      <w:rFonts w:hint="eastAsia"/>
                      <w:sz w:val="24"/>
                    </w:rPr>
                    <w:t>2</w:t>
                  </w:r>
                  <w:r>
                    <w:rPr>
                      <w:sz w:val="24"/>
                    </w:rPr>
                    <w:t>-2008</w:t>
                  </w:r>
                </w:p>
              </w:tc>
              <w:tc>
                <w:tcPr>
                  <w:tcW w:w="794" w:type="pct"/>
                  <w:tcBorders>
                    <w:tl2br w:val="nil"/>
                    <w:tr2bl w:val="nil"/>
                  </w:tcBorders>
                  <w:vAlign w:val="center"/>
                </w:tcPr>
                <w:p>
                  <w:pPr>
                    <w:pStyle w:val="11"/>
                    <w:spacing w:line="264" w:lineRule="auto"/>
                    <w:jc w:val="center"/>
                    <w:rPr>
                      <w:sz w:val="21"/>
                      <w:szCs w:val="21"/>
                    </w:rPr>
                  </w:pPr>
                  <w:r>
                    <w:rPr>
                      <w:sz w:val="21"/>
                      <w:szCs w:val="21"/>
                    </w:rPr>
                    <w:t>0.01 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3</w:t>
                  </w:r>
                </w:p>
              </w:tc>
              <w:tc>
                <w:tcPr>
                  <w:tcW w:w="651" w:type="pct"/>
                  <w:tcBorders>
                    <w:tl2br w:val="nil"/>
                    <w:tr2bl w:val="nil"/>
                  </w:tcBorders>
                  <w:vAlign w:val="center"/>
                </w:tcPr>
                <w:p>
                  <w:pPr>
                    <w:jc w:val="center"/>
                    <w:rPr>
                      <w:szCs w:val="21"/>
                    </w:rPr>
                  </w:pPr>
                  <w:r>
                    <w:rPr>
                      <w:szCs w:val="21"/>
                    </w:rPr>
                    <w:t>镉</w:t>
                  </w:r>
                </w:p>
              </w:tc>
              <w:tc>
                <w:tcPr>
                  <w:tcW w:w="1675" w:type="pct"/>
                  <w:tcBorders>
                    <w:tl2br w:val="nil"/>
                    <w:tr2bl w:val="nil"/>
                  </w:tcBorders>
                  <w:vAlign w:val="center"/>
                </w:tcPr>
                <w:p>
                  <w:pPr>
                    <w:pStyle w:val="11"/>
                    <w:spacing w:line="264" w:lineRule="auto"/>
                    <w:jc w:val="center"/>
                    <w:rPr>
                      <w:sz w:val="21"/>
                      <w:szCs w:val="21"/>
                    </w:rPr>
                  </w:pPr>
                  <w:r>
                    <w:rPr>
                      <w:sz w:val="21"/>
                      <w:szCs w:val="21"/>
                    </w:rPr>
                    <w:t>石墨炉原子吸收分光光度法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GB/T 17141-1997</w:t>
                  </w:r>
                </w:p>
              </w:tc>
              <w:tc>
                <w:tcPr>
                  <w:tcW w:w="794" w:type="pct"/>
                  <w:tcBorders>
                    <w:tl2br w:val="nil"/>
                    <w:tr2bl w:val="nil"/>
                  </w:tcBorders>
                  <w:vAlign w:val="center"/>
                </w:tcPr>
                <w:p>
                  <w:pPr>
                    <w:jc w:val="center"/>
                    <w:rPr>
                      <w:szCs w:val="21"/>
                    </w:rPr>
                  </w:pPr>
                  <w:r>
                    <w:rPr>
                      <w:szCs w:val="21"/>
                    </w:rPr>
                    <w:t>0.01 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4</w:t>
                  </w:r>
                </w:p>
              </w:tc>
              <w:tc>
                <w:tcPr>
                  <w:tcW w:w="651" w:type="pct"/>
                  <w:tcBorders>
                    <w:tl2br w:val="nil"/>
                    <w:tr2bl w:val="nil"/>
                  </w:tcBorders>
                  <w:vAlign w:val="center"/>
                </w:tcPr>
                <w:p>
                  <w:pPr>
                    <w:jc w:val="center"/>
                    <w:rPr>
                      <w:szCs w:val="21"/>
                    </w:rPr>
                  </w:pPr>
                  <w:r>
                    <w:rPr>
                      <w:szCs w:val="21"/>
                    </w:rPr>
                    <w:t>六价铬</w:t>
                  </w:r>
                </w:p>
              </w:tc>
              <w:tc>
                <w:tcPr>
                  <w:tcW w:w="1675" w:type="pct"/>
                  <w:tcBorders>
                    <w:tl2br w:val="nil"/>
                    <w:tr2bl w:val="nil"/>
                  </w:tcBorders>
                  <w:vAlign w:val="center"/>
                </w:tcPr>
                <w:p>
                  <w:pPr>
                    <w:jc w:val="center"/>
                    <w:rPr>
                      <w:szCs w:val="21"/>
                    </w:rPr>
                  </w:pPr>
                  <w:r>
                    <w:rPr>
                      <w:rFonts w:hint="eastAsia"/>
                      <w:szCs w:val="21"/>
                    </w:rPr>
                    <w:t>碱消解/</w:t>
                  </w:r>
                  <w:r>
                    <w:rPr>
                      <w:szCs w:val="21"/>
                    </w:rPr>
                    <w:t>火焰原子吸收分光光度法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HJ 687-2014</w:t>
                  </w:r>
                </w:p>
              </w:tc>
              <w:tc>
                <w:tcPr>
                  <w:tcW w:w="794" w:type="pct"/>
                  <w:tcBorders>
                    <w:tl2br w:val="nil"/>
                    <w:tr2bl w:val="nil"/>
                  </w:tcBorders>
                  <w:vAlign w:val="center"/>
                </w:tcPr>
                <w:p>
                  <w:pPr>
                    <w:jc w:val="center"/>
                    <w:rPr>
                      <w:szCs w:val="21"/>
                    </w:rPr>
                  </w:pPr>
                  <w:r>
                    <w:rPr>
                      <w:rFonts w:hint="eastAsia"/>
                      <w:szCs w:val="21"/>
                    </w:rPr>
                    <w:t>2</w:t>
                  </w:r>
                  <w:r>
                    <w:rPr>
                      <w:szCs w:val="21"/>
                    </w:rPr>
                    <w:t xml:space="preserve"> 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5</w:t>
                  </w:r>
                </w:p>
              </w:tc>
              <w:tc>
                <w:tcPr>
                  <w:tcW w:w="651" w:type="pct"/>
                  <w:tcBorders>
                    <w:tl2br w:val="nil"/>
                    <w:tr2bl w:val="nil"/>
                  </w:tcBorders>
                  <w:vAlign w:val="center"/>
                </w:tcPr>
                <w:p>
                  <w:pPr>
                    <w:jc w:val="center"/>
                    <w:rPr>
                      <w:szCs w:val="21"/>
                    </w:rPr>
                  </w:pPr>
                  <w:r>
                    <w:rPr>
                      <w:szCs w:val="21"/>
                    </w:rPr>
                    <w:t>铜</w:t>
                  </w:r>
                </w:p>
              </w:tc>
              <w:tc>
                <w:tcPr>
                  <w:tcW w:w="1675" w:type="pct"/>
                  <w:tcBorders>
                    <w:tl2br w:val="nil"/>
                    <w:tr2bl w:val="nil"/>
                  </w:tcBorders>
                  <w:vAlign w:val="center"/>
                </w:tcPr>
                <w:p>
                  <w:pPr>
                    <w:pStyle w:val="11"/>
                    <w:spacing w:line="264" w:lineRule="auto"/>
                    <w:jc w:val="center"/>
                    <w:rPr>
                      <w:sz w:val="21"/>
                      <w:szCs w:val="21"/>
                    </w:rPr>
                  </w:pPr>
                  <w:r>
                    <w:rPr>
                      <w:sz w:val="21"/>
                      <w:szCs w:val="21"/>
                    </w:rPr>
                    <w:t>火焰原子吸收分光光度法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HJ 491-2019</w:t>
                  </w:r>
                </w:p>
              </w:tc>
              <w:tc>
                <w:tcPr>
                  <w:tcW w:w="794" w:type="pct"/>
                  <w:tcBorders>
                    <w:tl2br w:val="nil"/>
                    <w:tr2bl w:val="nil"/>
                  </w:tcBorders>
                  <w:vAlign w:val="center"/>
                </w:tcPr>
                <w:p>
                  <w:pPr>
                    <w:jc w:val="center"/>
                    <w:rPr>
                      <w:szCs w:val="21"/>
                    </w:rPr>
                  </w:pPr>
                  <w:r>
                    <w:rPr>
                      <w:szCs w:val="21"/>
                    </w:rPr>
                    <w:t>1 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6</w:t>
                  </w:r>
                </w:p>
              </w:tc>
              <w:tc>
                <w:tcPr>
                  <w:tcW w:w="651" w:type="pct"/>
                  <w:tcBorders>
                    <w:tl2br w:val="nil"/>
                    <w:tr2bl w:val="nil"/>
                  </w:tcBorders>
                  <w:vAlign w:val="center"/>
                </w:tcPr>
                <w:p>
                  <w:pPr>
                    <w:jc w:val="center"/>
                    <w:rPr>
                      <w:szCs w:val="21"/>
                    </w:rPr>
                  </w:pPr>
                  <w:r>
                    <w:rPr>
                      <w:szCs w:val="21"/>
                    </w:rPr>
                    <w:t>铅</w:t>
                  </w:r>
                </w:p>
              </w:tc>
              <w:tc>
                <w:tcPr>
                  <w:tcW w:w="1675" w:type="pct"/>
                  <w:tcBorders>
                    <w:tl2br w:val="nil"/>
                    <w:tr2bl w:val="nil"/>
                  </w:tcBorders>
                  <w:vAlign w:val="center"/>
                </w:tcPr>
                <w:p>
                  <w:pPr>
                    <w:pStyle w:val="11"/>
                    <w:spacing w:line="264" w:lineRule="auto"/>
                    <w:jc w:val="center"/>
                    <w:rPr>
                      <w:sz w:val="21"/>
                      <w:szCs w:val="21"/>
                    </w:rPr>
                  </w:pPr>
                  <w:r>
                    <w:rPr>
                      <w:sz w:val="21"/>
                      <w:szCs w:val="21"/>
                    </w:rPr>
                    <w:t>火焰原子吸收分光光度法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HJ 491-2019</w:t>
                  </w:r>
                </w:p>
              </w:tc>
              <w:tc>
                <w:tcPr>
                  <w:tcW w:w="794" w:type="pct"/>
                  <w:tcBorders>
                    <w:tl2br w:val="nil"/>
                    <w:tr2bl w:val="nil"/>
                  </w:tcBorders>
                  <w:vAlign w:val="center"/>
                </w:tcPr>
                <w:p>
                  <w:pPr>
                    <w:jc w:val="center"/>
                    <w:rPr>
                      <w:szCs w:val="21"/>
                    </w:rPr>
                  </w:pPr>
                  <w:r>
                    <w:rPr>
                      <w:rFonts w:hint="eastAsia"/>
                      <w:szCs w:val="21"/>
                    </w:rPr>
                    <w:t>10</w:t>
                  </w:r>
                  <w:r>
                    <w:rPr>
                      <w:szCs w:val="21"/>
                    </w:rPr>
                    <w:t xml:space="preserve"> 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7</w:t>
                  </w:r>
                </w:p>
              </w:tc>
              <w:tc>
                <w:tcPr>
                  <w:tcW w:w="651" w:type="pct"/>
                  <w:tcBorders>
                    <w:tl2br w:val="nil"/>
                    <w:tr2bl w:val="nil"/>
                  </w:tcBorders>
                  <w:vAlign w:val="center"/>
                </w:tcPr>
                <w:p>
                  <w:pPr>
                    <w:jc w:val="center"/>
                    <w:rPr>
                      <w:szCs w:val="21"/>
                    </w:rPr>
                  </w:pPr>
                  <w:r>
                    <w:rPr>
                      <w:szCs w:val="21"/>
                    </w:rPr>
                    <w:t>汞</w:t>
                  </w:r>
                </w:p>
              </w:tc>
              <w:tc>
                <w:tcPr>
                  <w:tcW w:w="1675" w:type="pct"/>
                  <w:tcBorders>
                    <w:tl2br w:val="nil"/>
                    <w:tr2bl w:val="nil"/>
                  </w:tcBorders>
                  <w:vAlign w:val="center"/>
                </w:tcPr>
                <w:p>
                  <w:pPr>
                    <w:pStyle w:val="11"/>
                    <w:spacing w:line="264" w:lineRule="auto"/>
                    <w:jc w:val="center"/>
                    <w:rPr>
                      <w:sz w:val="21"/>
                      <w:szCs w:val="21"/>
                    </w:rPr>
                  </w:pPr>
                  <w:r>
                    <w:rPr>
                      <w:sz w:val="21"/>
                      <w:szCs w:val="21"/>
                    </w:rPr>
                    <w:t>原子荧光法</w:t>
                  </w:r>
                </w:p>
              </w:tc>
              <w:tc>
                <w:tcPr>
                  <w:tcW w:w="1490" w:type="pct"/>
                  <w:tcBorders>
                    <w:tl2br w:val="nil"/>
                    <w:tr2bl w:val="nil"/>
                  </w:tcBorders>
                  <w:vAlign w:val="center"/>
                </w:tcPr>
                <w:p>
                  <w:pPr>
                    <w:autoSpaceDE w:val="0"/>
                    <w:autoSpaceDN w:val="0"/>
                    <w:adjustRightInd w:val="0"/>
                    <w:snapToGrid w:val="0"/>
                    <w:contextualSpacing/>
                    <w:jc w:val="center"/>
                    <w:rPr>
                      <w:szCs w:val="21"/>
                    </w:rPr>
                  </w:pPr>
                  <w:r>
                    <w:rPr>
                      <w:szCs w:val="21"/>
                    </w:rPr>
                    <w:t>GB/T 22105.1-2008</w:t>
                  </w:r>
                </w:p>
              </w:tc>
              <w:tc>
                <w:tcPr>
                  <w:tcW w:w="794" w:type="pct"/>
                  <w:tcBorders>
                    <w:tl2br w:val="nil"/>
                    <w:tr2bl w:val="nil"/>
                  </w:tcBorders>
                  <w:vAlign w:val="center"/>
                </w:tcPr>
                <w:p>
                  <w:pPr>
                    <w:pStyle w:val="11"/>
                    <w:spacing w:line="264" w:lineRule="auto"/>
                    <w:jc w:val="center"/>
                    <w:rPr>
                      <w:sz w:val="21"/>
                      <w:szCs w:val="21"/>
                    </w:rPr>
                  </w:pPr>
                  <w:r>
                    <w:rPr>
                      <w:sz w:val="21"/>
                      <w:szCs w:val="21"/>
                    </w:rPr>
                    <w:t>0.002 mg/kg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388" w:type="pct"/>
                  <w:tcBorders>
                    <w:tl2br w:val="nil"/>
                    <w:tr2bl w:val="nil"/>
                  </w:tcBorders>
                  <w:vAlign w:val="center"/>
                </w:tcPr>
                <w:p>
                  <w:pPr>
                    <w:autoSpaceDE w:val="0"/>
                    <w:autoSpaceDN w:val="0"/>
                    <w:adjustRightInd w:val="0"/>
                    <w:snapToGrid w:val="0"/>
                    <w:contextualSpacing/>
                    <w:jc w:val="center"/>
                    <w:rPr>
                      <w:szCs w:val="21"/>
                    </w:rPr>
                  </w:pPr>
                  <w:r>
                    <w:rPr>
                      <w:szCs w:val="21"/>
                    </w:rPr>
                    <w:t>8</w:t>
                  </w:r>
                </w:p>
              </w:tc>
              <w:tc>
                <w:tcPr>
                  <w:tcW w:w="651" w:type="pct"/>
                  <w:tcBorders>
                    <w:tl2br w:val="nil"/>
                    <w:tr2bl w:val="nil"/>
                  </w:tcBorders>
                  <w:vAlign w:val="center"/>
                </w:tcPr>
                <w:p>
                  <w:pPr>
                    <w:autoSpaceDE w:val="0"/>
                    <w:autoSpaceDN w:val="0"/>
                    <w:adjustRightInd w:val="0"/>
                    <w:snapToGrid w:val="0"/>
                    <w:contextualSpacing/>
                    <w:jc w:val="center"/>
                    <w:rPr>
                      <w:szCs w:val="21"/>
                    </w:rPr>
                  </w:pPr>
                  <w:r>
                    <w:rPr>
                      <w:szCs w:val="21"/>
                    </w:rPr>
                    <w:t>镍</w:t>
                  </w:r>
                </w:p>
              </w:tc>
              <w:tc>
                <w:tcPr>
                  <w:tcW w:w="1675" w:type="pct"/>
                  <w:tcBorders>
                    <w:tl2br w:val="nil"/>
                    <w:tr2bl w:val="nil"/>
                  </w:tcBorders>
                </w:tcPr>
                <w:p>
                  <w:pPr>
                    <w:pStyle w:val="11"/>
                    <w:spacing w:line="264" w:lineRule="auto"/>
                    <w:jc w:val="center"/>
                    <w:rPr>
                      <w:sz w:val="21"/>
                      <w:szCs w:val="21"/>
                    </w:rPr>
                  </w:pPr>
                  <w:r>
                    <w:rPr>
                      <w:rFonts w:hint="eastAsia"/>
                      <w:sz w:val="21"/>
                      <w:szCs w:val="21"/>
                    </w:rPr>
                    <w:t>王水提取-电感耦合等离子体质谱法</w:t>
                  </w:r>
                </w:p>
              </w:tc>
              <w:tc>
                <w:tcPr>
                  <w:tcW w:w="1490" w:type="pct"/>
                  <w:tcBorders>
                    <w:tl2br w:val="nil"/>
                    <w:tr2bl w:val="nil"/>
                  </w:tcBorders>
                  <w:vAlign w:val="center"/>
                </w:tcPr>
                <w:p>
                  <w:pPr>
                    <w:jc w:val="center"/>
                    <w:rPr>
                      <w:szCs w:val="21"/>
                    </w:rPr>
                  </w:pPr>
                  <w:r>
                    <w:rPr>
                      <w:rFonts w:hint="eastAsia"/>
                      <w:szCs w:val="21"/>
                    </w:rPr>
                    <w:t>HJ 803-2016</w:t>
                  </w:r>
                </w:p>
              </w:tc>
              <w:tc>
                <w:tcPr>
                  <w:tcW w:w="794" w:type="pct"/>
                  <w:tcBorders>
                    <w:tl2br w:val="nil"/>
                    <w:tr2bl w:val="nil"/>
                  </w:tcBorders>
                  <w:vAlign w:val="center"/>
                </w:tcPr>
                <w:p>
                  <w:pPr>
                    <w:jc w:val="center"/>
                    <w:rPr>
                      <w:szCs w:val="21"/>
                    </w:rPr>
                  </w:pPr>
                  <w:r>
                    <w:rPr>
                      <w:rFonts w:hint="eastAsia"/>
                      <w:szCs w:val="21"/>
                    </w:rPr>
                    <w:t>1</w:t>
                  </w:r>
                  <w:r>
                    <w:rPr>
                      <w:szCs w:val="21"/>
                    </w:rPr>
                    <w:t xml:space="preserve"> mg/kg</w:t>
                  </w:r>
                </w:p>
              </w:tc>
            </w:tr>
          </w:tbl>
          <w:p>
            <w:pPr>
              <w:pStyle w:val="43"/>
              <w:adjustRightInd w:val="0"/>
              <w:snapToGrid w:val="0"/>
              <w:spacing w:line="240" w:lineRule="auto"/>
              <w:ind w:firstLine="0" w:firstLineChars="0"/>
              <w:jc w:val="center"/>
              <w:rPr>
                <w:rFonts w:ascii="Times New Roman" w:hAnsi="Times New Roman"/>
                <w:b/>
                <w:bCs/>
                <w:sz w:val="21"/>
                <w:szCs w:val="21"/>
              </w:rPr>
            </w:pPr>
          </w:p>
          <w:p>
            <w:pPr>
              <w:pStyle w:val="43"/>
              <w:adjustRightInd w:val="0"/>
              <w:snapToGrid w:val="0"/>
              <w:spacing w:line="240" w:lineRule="auto"/>
              <w:ind w:firstLine="0" w:firstLineChars="0"/>
              <w:jc w:val="center"/>
              <w:rPr>
                <w:rFonts w:ascii="Times New Roman" w:hAnsi="Times New Roman"/>
                <w:b/>
                <w:bCs/>
                <w:sz w:val="21"/>
                <w:szCs w:val="21"/>
              </w:rPr>
            </w:pPr>
            <w:r>
              <w:rPr>
                <w:rFonts w:ascii="Times New Roman" w:hAnsi="Times New Roman"/>
                <w:b/>
                <w:bCs/>
                <w:sz w:val="21"/>
                <w:szCs w:val="21"/>
              </w:rPr>
              <w:t>表</w:t>
            </w:r>
            <w:r>
              <w:rPr>
                <w:rFonts w:hint="eastAsia" w:ascii="Times New Roman" w:hAnsi="Times New Roman"/>
                <w:b/>
                <w:bCs/>
                <w:sz w:val="21"/>
                <w:szCs w:val="21"/>
              </w:rPr>
              <w:t>12</w:t>
            </w:r>
            <w:r>
              <w:rPr>
                <w:rFonts w:ascii="Times New Roman" w:hAnsi="Times New Roman"/>
                <w:b/>
                <w:bCs/>
                <w:sz w:val="21"/>
                <w:szCs w:val="21"/>
              </w:rPr>
              <w:t xml:space="preserve">  土壤监测结果一览表</w:t>
            </w:r>
            <w:r>
              <w:rPr>
                <w:rFonts w:hint="eastAsia" w:ascii="Times New Roman" w:hAnsi="Times New Roman"/>
                <w:b/>
                <w:bCs/>
                <w:sz w:val="21"/>
                <w:szCs w:val="21"/>
              </w:rPr>
              <w:t xml:space="preserve">     (mg/kg，pH无量纲）</w:t>
            </w:r>
          </w:p>
          <w:tbl>
            <w:tblPr>
              <w:tblStyle w:val="19"/>
              <w:tblpPr w:leftFromText="180" w:rightFromText="180" w:vertAnchor="text" w:horzAnchor="page" w:tblpXSpec="center" w:tblpY="260"/>
              <w:tblOverlap w:val="never"/>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1"/>
              <w:gridCol w:w="1391"/>
              <w:gridCol w:w="1710"/>
              <w:gridCol w:w="1909"/>
              <w:gridCol w:w="1147"/>
              <w:gridCol w:w="1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9" w:hRule="exact"/>
                <w:jc w:val="center"/>
              </w:trPr>
              <w:tc>
                <w:tcPr>
                  <w:tcW w:w="891" w:type="pct"/>
                  <w:vMerge w:val="restart"/>
                  <w:tcBorders>
                    <w:tl2br w:val="nil"/>
                    <w:tr2bl w:val="nil"/>
                  </w:tcBorders>
                  <w:vAlign w:val="center"/>
                </w:tcPr>
                <w:p>
                  <w:pPr>
                    <w:adjustRightInd w:val="0"/>
                    <w:snapToGrid w:val="0"/>
                    <w:jc w:val="center"/>
                    <w:rPr>
                      <w:bCs/>
                      <w:szCs w:val="21"/>
                    </w:rPr>
                  </w:pPr>
                  <w:r>
                    <w:rPr>
                      <w:bCs/>
                      <w:szCs w:val="21"/>
                    </w:rPr>
                    <w:t xml:space="preserve">   监测点位</w:t>
                  </w:r>
                </w:p>
                <w:p>
                  <w:pPr>
                    <w:adjustRightInd w:val="0"/>
                    <w:snapToGrid w:val="0"/>
                    <w:jc w:val="center"/>
                    <w:rPr>
                      <w:bCs/>
                      <w:szCs w:val="21"/>
                    </w:rPr>
                  </w:pPr>
                </w:p>
                <w:p>
                  <w:pPr>
                    <w:adjustRightInd w:val="0"/>
                    <w:snapToGrid w:val="0"/>
                    <w:rPr>
                      <w:spacing w:val="-20"/>
                      <w:szCs w:val="21"/>
                    </w:rPr>
                  </w:pPr>
                  <w:r>
                    <w:rPr>
                      <w:bCs/>
                      <w:szCs w:val="21"/>
                    </w:rPr>
                    <w:t>监测项目</w:t>
                  </w:r>
                </w:p>
              </w:tc>
              <w:tc>
                <w:tcPr>
                  <w:tcW w:w="2771" w:type="pct"/>
                  <w:gridSpan w:val="3"/>
                  <w:tcBorders>
                    <w:tl2br w:val="nil"/>
                    <w:tr2bl w:val="nil"/>
                  </w:tcBorders>
                  <w:vAlign w:val="center"/>
                </w:tcPr>
                <w:p>
                  <w:pPr>
                    <w:adjustRightInd w:val="0"/>
                    <w:snapToGrid w:val="0"/>
                    <w:jc w:val="center"/>
                    <w:rPr>
                      <w:szCs w:val="21"/>
                    </w:rPr>
                  </w:pPr>
                  <w:r>
                    <w:rPr>
                      <w:bCs/>
                      <w:szCs w:val="21"/>
                    </w:rPr>
                    <w:t>监测位置</w:t>
                  </w:r>
                </w:p>
              </w:tc>
              <w:tc>
                <w:tcPr>
                  <w:tcW w:w="635" w:type="pct"/>
                  <w:vMerge w:val="restart"/>
                  <w:tcBorders>
                    <w:tl2br w:val="nil"/>
                    <w:tr2bl w:val="nil"/>
                  </w:tcBorders>
                  <w:vAlign w:val="center"/>
                </w:tcPr>
                <w:p>
                  <w:pPr>
                    <w:adjustRightInd w:val="0"/>
                    <w:snapToGrid w:val="0"/>
                    <w:jc w:val="center"/>
                    <w:rPr>
                      <w:szCs w:val="21"/>
                    </w:rPr>
                  </w:pPr>
                  <w:r>
                    <w:rPr>
                      <w:szCs w:val="21"/>
                    </w:rPr>
                    <w:t>标准</w:t>
                  </w:r>
                  <w:r>
                    <w:rPr>
                      <w:rFonts w:hint="eastAsia"/>
                      <w:szCs w:val="21"/>
                    </w:rPr>
                    <w:t>限值</w:t>
                  </w:r>
                </w:p>
              </w:tc>
              <w:tc>
                <w:tcPr>
                  <w:tcW w:w="701" w:type="pct"/>
                  <w:vMerge w:val="restart"/>
                  <w:tcBorders>
                    <w:tl2br w:val="nil"/>
                    <w:tr2bl w:val="nil"/>
                  </w:tcBorders>
                  <w:vAlign w:val="center"/>
                </w:tcPr>
                <w:p>
                  <w:pPr>
                    <w:adjustRightInd w:val="0"/>
                    <w:snapToGrid w:val="0"/>
                    <w:jc w:val="center"/>
                    <w:rPr>
                      <w:szCs w:val="21"/>
                    </w:rPr>
                  </w:pPr>
                  <w:r>
                    <w:rPr>
                      <w:szCs w:val="21"/>
                    </w:rPr>
                    <w:t>检出限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7" w:hRule="exact"/>
                <w:jc w:val="center"/>
              </w:trPr>
              <w:tc>
                <w:tcPr>
                  <w:tcW w:w="891" w:type="pct"/>
                  <w:vMerge w:val="continue"/>
                  <w:tcBorders>
                    <w:tl2br w:val="nil"/>
                    <w:tr2bl w:val="nil"/>
                  </w:tcBorders>
                  <w:vAlign w:val="center"/>
                </w:tcPr>
                <w:p>
                  <w:pPr>
                    <w:widowControl/>
                    <w:jc w:val="left"/>
                    <w:rPr>
                      <w:spacing w:val="-20"/>
                      <w:szCs w:val="21"/>
                    </w:rPr>
                  </w:pPr>
                </w:p>
              </w:tc>
              <w:tc>
                <w:tcPr>
                  <w:tcW w:w="769" w:type="pct"/>
                  <w:tcBorders>
                    <w:tl2br w:val="nil"/>
                    <w:tr2bl w:val="nil"/>
                  </w:tcBorders>
                  <w:vAlign w:val="center"/>
                </w:tcPr>
                <w:p>
                  <w:pPr>
                    <w:adjustRightInd w:val="0"/>
                    <w:snapToGrid w:val="0"/>
                    <w:jc w:val="center"/>
                    <w:rPr>
                      <w:szCs w:val="21"/>
                    </w:rPr>
                  </w:pPr>
                  <w:r>
                    <w:rPr>
                      <w:rFonts w:hint="eastAsia"/>
                      <w:szCs w:val="21"/>
                    </w:rPr>
                    <w:t>1#</w:t>
                  </w:r>
                </w:p>
              </w:tc>
              <w:tc>
                <w:tcPr>
                  <w:tcW w:w="946" w:type="pct"/>
                  <w:tcBorders>
                    <w:tl2br w:val="nil"/>
                    <w:tr2bl w:val="nil"/>
                  </w:tcBorders>
                  <w:vAlign w:val="center"/>
                </w:tcPr>
                <w:p>
                  <w:pPr>
                    <w:adjustRightInd w:val="0"/>
                    <w:snapToGrid w:val="0"/>
                    <w:jc w:val="center"/>
                    <w:rPr>
                      <w:szCs w:val="21"/>
                    </w:rPr>
                  </w:pPr>
                  <w:r>
                    <w:rPr>
                      <w:rFonts w:hint="eastAsia"/>
                      <w:szCs w:val="21"/>
                    </w:rPr>
                    <w:t>2#</w:t>
                  </w:r>
                </w:p>
              </w:tc>
              <w:tc>
                <w:tcPr>
                  <w:tcW w:w="1056" w:type="pct"/>
                  <w:tcBorders>
                    <w:tl2br w:val="nil"/>
                    <w:tr2bl w:val="nil"/>
                  </w:tcBorders>
                  <w:vAlign w:val="center"/>
                </w:tcPr>
                <w:p>
                  <w:pPr>
                    <w:adjustRightInd w:val="0"/>
                    <w:snapToGrid w:val="0"/>
                    <w:jc w:val="center"/>
                    <w:rPr>
                      <w:szCs w:val="21"/>
                    </w:rPr>
                  </w:pPr>
                  <w:r>
                    <w:rPr>
                      <w:rFonts w:hint="eastAsia"/>
                      <w:szCs w:val="21"/>
                    </w:rPr>
                    <w:t>3#</w:t>
                  </w:r>
                </w:p>
              </w:tc>
              <w:tc>
                <w:tcPr>
                  <w:tcW w:w="635" w:type="pct"/>
                  <w:vMerge w:val="continue"/>
                  <w:tcBorders>
                    <w:tl2br w:val="nil"/>
                    <w:tr2bl w:val="nil"/>
                  </w:tcBorders>
                  <w:vAlign w:val="center"/>
                </w:tcPr>
                <w:p>
                  <w:pPr>
                    <w:adjustRightInd w:val="0"/>
                    <w:snapToGrid w:val="0"/>
                    <w:jc w:val="center"/>
                    <w:rPr>
                      <w:szCs w:val="21"/>
                    </w:rPr>
                  </w:pPr>
                </w:p>
              </w:tc>
              <w:tc>
                <w:tcPr>
                  <w:tcW w:w="701" w:type="pct"/>
                  <w:vMerge w:val="continue"/>
                  <w:tcBorders>
                    <w:tl2br w:val="nil"/>
                    <w:tr2bl w:val="nil"/>
                  </w:tcBorders>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jc w:val="center"/>
                    <w:rPr>
                      <w:szCs w:val="21"/>
                    </w:rPr>
                  </w:pPr>
                  <w:r>
                    <w:rPr>
                      <w:szCs w:val="21"/>
                    </w:rPr>
                    <w:t>pH</w:t>
                  </w:r>
                </w:p>
              </w:tc>
              <w:tc>
                <w:tcPr>
                  <w:tcW w:w="1390" w:type="dxa"/>
                  <w:tcBorders>
                    <w:tl2br w:val="nil"/>
                    <w:tr2bl w:val="nil"/>
                  </w:tcBorders>
                  <w:tcMar>
                    <w:top w:w="0" w:type="dxa"/>
                    <w:left w:w="51" w:type="dxa"/>
                    <w:bottom w:w="0" w:type="dxa"/>
                    <w:right w:w="51" w:type="dxa"/>
                  </w:tcMar>
                  <w:vAlign w:val="center"/>
                </w:tcPr>
                <w:p>
                  <w:pPr>
                    <w:widowControl/>
                    <w:jc w:val="center"/>
                    <w:rPr>
                      <w:kern w:val="0"/>
                      <w:szCs w:val="21"/>
                    </w:rPr>
                  </w:pPr>
                  <w:r>
                    <w:rPr>
                      <w:rFonts w:hint="eastAsia"/>
                      <w:kern w:val="0"/>
                      <w:szCs w:val="21"/>
                    </w:rPr>
                    <w:t>7.86</w:t>
                  </w:r>
                </w:p>
              </w:tc>
              <w:tc>
                <w:tcPr>
                  <w:tcW w:w="1710" w:type="dxa"/>
                  <w:tcBorders>
                    <w:tl2br w:val="nil"/>
                    <w:tr2bl w:val="nil"/>
                  </w:tcBorders>
                  <w:vAlign w:val="center"/>
                </w:tcPr>
                <w:p>
                  <w:pPr>
                    <w:widowControl/>
                    <w:jc w:val="center"/>
                    <w:rPr>
                      <w:szCs w:val="21"/>
                    </w:rPr>
                  </w:pPr>
                  <w:r>
                    <w:rPr>
                      <w:rFonts w:hint="eastAsia"/>
                      <w:kern w:val="0"/>
                      <w:szCs w:val="21"/>
                    </w:rPr>
                    <w:t>7.79</w:t>
                  </w:r>
                </w:p>
              </w:tc>
              <w:tc>
                <w:tcPr>
                  <w:tcW w:w="1909" w:type="dxa"/>
                  <w:tcBorders>
                    <w:tl2br w:val="nil"/>
                    <w:tr2bl w:val="nil"/>
                  </w:tcBorders>
                  <w:vAlign w:val="center"/>
                </w:tcPr>
                <w:p>
                  <w:pPr>
                    <w:widowControl/>
                    <w:jc w:val="center"/>
                    <w:rPr>
                      <w:szCs w:val="21"/>
                    </w:rPr>
                  </w:pPr>
                  <w:r>
                    <w:rPr>
                      <w:rFonts w:hint="eastAsia"/>
                      <w:kern w:val="0"/>
                      <w:szCs w:val="21"/>
                    </w:rPr>
                    <w:t>7.73</w:t>
                  </w:r>
                </w:p>
              </w:tc>
              <w:tc>
                <w:tcPr>
                  <w:tcW w:w="635" w:type="pct"/>
                  <w:tcBorders>
                    <w:tl2br w:val="nil"/>
                    <w:tr2bl w:val="nil"/>
                  </w:tcBorders>
                  <w:vAlign w:val="center"/>
                </w:tcPr>
                <w:p>
                  <w:pPr>
                    <w:adjustRightInd w:val="0"/>
                    <w:snapToGrid w:val="0"/>
                    <w:jc w:val="center"/>
                    <w:rPr>
                      <w:szCs w:val="21"/>
                    </w:rPr>
                  </w:pPr>
                  <w:r>
                    <w:rPr>
                      <w:szCs w:val="21"/>
                    </w:rPr>
                    <w:t>--</w:t>
                  </w:r>
                </w:p>
              </w:tc>
              <w:tc>
                <w:tcPr>
                  <w:tcW w:w="701" w:type="pct"/>
                  <w:tcBorders>
                    <w:tl2br w:val="nil"/>
                    <w:tr2bl w:val="nil"/>
                  </w:tcBorders>
                  <w:vAlign w:val="center"/>
                </w:tcPr>
                <w:p>
                  <w:pPr>
                    <w:adjustRightInd w:val="0"/>
                    <w:snapToGrid w:val="0"/>
                    <w:jc w:val="center"/>
                    <w:rPr>
                      <w:szCs w:val="21"/>
                    </w:rPr>
                  </w:pPr>
                  <w:r>
                    <w:rPr>
                      <w:szCs w:val="21"/>
                    </w:rPr>
                    <w:t>0.</w:t>
                  </w:r>
                  <w:r>
                    <w:rPr>
                      <w:rFonts w:hint="eastAsia"/>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ind w:firstLine="105" w:firstLineChars="50"/>
                    <w:jc w:val="center"/>
                    <w:rPr>
                      <w:bCs/>
                      <w:kern w:val="0"/>
                      <w:szCs w:val="21"/>
                    </w:rPr>
                  </w:pPr>
                  <w:r>
                    <w:rPr>
                      <w:szCs w:val="21"/>
                    </w:rPr>
                    <w:t>砷</w:t>
                  </w:r>
                </w:p>
              </w:tc>
              <w:tc>
                <w:tcPr>
                  <w:tcW w:w="1390" w:type="dxa"/>
                  <w:tcBorders>
                    <w:tl2br w:val="nil"/>
                    <w:tr2bl w:val="nil"/>
                  </w:tcBorders>
                  <w:tcMar>
                    <w:top w:w="0" w:type="dxa"/>
                    <w:left w:w="51" w:type="dxa"/>
                    <w:bottom w:w="0" w:type="dxa"/>
                    <w:right w:w="51" w:type="dxa"/>
                  </w:tcMar>
                  <w:vAlign w:val="center"/>
                </w:tcPr>
                <w:p>
                  <w:pPr>
                    <w:widowControl/>
                    <w:jc w:val="center"/>
                    <w:rPr>
                      <w:bCs/>
                      <w:kern w:val="0"/>
                      <w:szCs w:val="21"/>
                    </w:rPr>
                  </w:pPr>
                  <w:r>
                    <w:rPr>
                      <w:rFonts w:hint="eastAsia"/>
                      <w:kern w:val="0"/>
                      <w:szCs w:val="21"/>
                    </w:rPr>
                    <w:t>11.5</w:t>
                  </w:r>
                </w:p>
              </w:tc>
              <w:tc>
                <w:tcPr>
                  <w:tcW w:w="1710" w:type="dxa"/>
                  <w:tcBorders>
                    <w:tl2br w:val="nil"/>
                    <w:tr2bl w:val="nil"/>
                  </w:tcBorders>
                  <w:vAlign w:val="center"/>
                </w:tcPr>
                <w:p>
                  <w:pPr>
                    <w:widowControl/>
                    <w:jc w:val="center"/>
                    <w:rPr>
                      <w:szCs w:val="21"/>
                    </w:rPr>
                  </w:pPr>
                  <w:r>
                    <w:rPr>
                      <w:rFonts w:hint="eastAsia"/>
                      <w:kern w:val="0"/>
                      <w:szCs w:val="21"/>
                    </w:rPr>
                    <w:t>11.3</w:t>
                  </w:r>
                </w:p>
              </w:tc>
              <w:tc>
                <w:tcPr>
                  <w:tcW w:w="1909" w:type="dxa"/>
                  <w:tcBorders>
                    <w:tl2br w:val="nil"/>
                    <w:tr2bl w:val="nil"/>
                  </w:tcBorders>
                  <w:vAlign w:val="center"/>
                </w:tcPr>
                <w:p>
                  <w:pPr>
                    <w:widowControl/>
                    <w:jc w:val="center"/>
                    <w:rPr>
                      <w:szCs w:val="21"/>
                    </w:rPr>
                  </w:pPr>
                  <w:r>
                    <w:rPr>
                      <w:rFonts w:hint="eastAsia"/>
                      <w:kern w:val="0"/>
                      <w:szCs w:val="21"/>
                    </w:rPr>
                    <w:t>11.3</w:t>
                  </w:r>
                </w:p>
              </w:tc>
              <w:tc>
                <w:tcPr>
                  <w:tcW w:w="635" w:type="pct"/>
                  <w:tcBorders>
                    <w:tl2br w:val="nil"/>
                    <w:tr2bl w:val="nil"/>
                  </w:tcBorders>
                  <w:vAlign w:val="center"/>
                </w:tcPr>
                <w:p>
                  <w:pPr>
                    <w:adjustRightInd w:val="0"/>
                    <w:snapToGrid w:val="0"/>
                    <w:jc w:val="center"/>
                    <w:rPr>
                      <w:szCs w:val="21"/>
                    </w:rPr>
                  </w:pPr>
                  <w:r>
                    <w:rPr>
                      <w:szCs w:val="21"/>
                    </w:rPr>
                    <w:t>60</w:t>
                  </w:r>
                </w:p>
              </w:tc>
              <w:tc>
                <w:tcPr>
                  <w:tcW w:w="701" w:type="pct"/>
                  <w:tcBorders>
                    <w:tl2br w:val="nil"/>
                    <w:tr2bl w:val="nil"/>
                  </w:tcBorders>
                  <w:vAlign w:val="center"/>
                </w:tcPr>
                <w:p>
                  <w:pPr>
                    <w:adjustRightInd w:val="0"/>
                    <w:snapToGrid w:val="0"/>
                    <w:jc w:val="center"/>
                    <w:rPr>
                      <w:szCs w:val="21"/>
                    </w:rPr>
                  </w:pPr>
                  <w:r>
                    <w:rPr>
                      <w:szCs w:val="21"/>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ind w:firstLine="105" w:firstLineChars="50"/>
                    <w:jc w:val="center"/>
                    <w:rPr>
                      <w:kern w:val="0"/>
                      <w:szCs w:val="21"/>
                    </w:rPr>
                  </w:pPr>
                  <w:r>
                    <w:rPr>
                      <w:szCs w:val="21"/>
                    </w:rPr>
                    <w:t>镉</w:t>
                  </w:r>
                </w:p>
              </w:tc>
              <w:tc>
                <w:tcPr>
                  <w:tcW w:w="1390" w:type="dxa"/>
                  <w:tcBorders>
                    <w:tl2br w:val="nil"/>
                    <w:tr2bl w:val="nil"/>
                  </w:tcBorders>
                  <w:tcMar>
                    <w:top w:w="0" w:type="dxa"/>
                    <w:left w:w="51" w:type="dxa"/>
                    <w:bottom w:w="0" w:type="dxa"/>
                    <w:right w:w="51" w:type="dxa"/>
                  </w:tcMar>
                  <w:vAlign w:val="center"/>
                </w:tcPr>
                <w:p>
                  <w:pPr>
                    <w:widowControl/>
                    <w:jc w:val="center"/>
                    <w:rPr>
                      <w:kern w:val="0"/>
                      <w:szCs w:val="21"/>
                    </w:rPr>
                  </w:pPr>
                  <w:r>
                    <w:rPr>
                      <w:rFonts w:hint="eastAsia"/>
                      <w:kern w:val="0"/>
                      <w:szCs w:val="21"/>
                    </w:rPr>
                    <w:t>0.25</w:t>
                  </w:r>
                </w:p>
              </w:tc>
              <w:tc>
                <w:tcPr>
                  <w:tcW w:w="1710" w:type="dxa"/>
                  <w:tcBorders>
                    <w:tl2br w:val="nil"/>
                    <w:tr2bl w:val="nil"/>
                  </w:tcBorders>
                  <w:vAlign w:val="center"/>
                </w:tcPr>
                <w:p>
                  <w:pPr>
                    <w:widowControl/>
                    <w:jc w:val="center"/>
                    <w:rPr>
                      <w:szCs w:val="21"/>
                    </w:rPr>
                  </w:pPr>
                  <w:r>
                    <w:rPr>
                      <w:rFonts w:hint="eastAsia"/>
                      <w:kern w:val="0"/>
                      <w:szCs w:val="21"/>
                    </w:rPr>
                    <w:t>0.26</w:t>
                  </w:r>
                </w:p>
              </w:tc>
              <w:tc>
                <w:tcPr>
                  <w:tcW w:w="1909" w:type="dxa"/>
                  <w:tcBorders>
                    <w:tl2br w:val="nil"/>
                    <w:tr2bl w:val="nil"/>
                  </w:tcBorders>
                  <w:vAlign w:val="center"/>
                </w:tcPr>
                <w:p>
                  <w:pPr>
                    <w:widowControl/>
                    <w:jc w:val="center"/>
                    <w:rPr>
                      <w:szCs w:val="21"/>
                    </w:rPr>
                  </w:pPr>
                  <w:r>
                    <w:rPr>
                      <w:rFonts w:hint="eastAsia"/>
                      <w:kern w:val="0"/>
                      <w:szCs w:val="21"/>
                    </w:rPr>
                    <w:t>0.26</w:t>
                  </w:r>
                </w:p>
              </w:tc>
              <w:tc>
                <w:tcPr>
                  <w:tcW w:w="635" w:type="pct"/>
                  <w:tcBorders>
                    <w:tl2br w:val="nil"/>
                    <w:tr2bl w:val="nil"/>
                  </w:tcBorders>
                  <w:vAlign w:val="center"/>
                </w:tcPr>
                <w:p>
                  <w:pPr>
                    <w:adjustRightInd w:val="0"/>
                    <w:snapToGrid w:val="0"/>
                    <w:jc w:val="center"/>
                    <w:rPr>
                      <w:szCs w:val="21"/>
                    </w:rPr>
                  </w:pPr>
                  <w:r>
                    <w:rPr>
                      <w:szCs w:val="21"/>
                    </w:rPr>
                    <w:t>65</w:t>
                  </w:r>
                </w:p>
              </w:tc>
              <w:tc>
                <w:tcPr>
                  <w:tcW w:w="701" w:type="pct"/>
                  <w:tcBorders>
                    <w:tl2br w:val="nil"/>
                    <w:tr2bl w:val="nil"/>
                  </w:tcBorders>
                  <w:vAlign w:val="center"/>
                </w:tcPr>
                <w:p>
                  <w:pPr>
                    <w:adjustRightInd w:val="0"/>
                    <w:snapToGrid w:val="0"/>
                    <w:jc w:val="center"/>
                    <w:rPr>
                      <w:szCs w:val="21"/>
                    </w:rPr>
                  </w:pPr>
                  <w:r>
                    <w:rPr>
                      <w:szCs w:val="21"/>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ind w:firstLine="105" w:firstLineChars="50"/>
                    <w:jc w:val="center"/>
                    <w:rPr>
                      <w:kern w:val="0"/>
                      <w:szCs w:val="21"/>
                    </w:rPr>
                  </w:pPr>
                  <w:r>
                    <w:rPr>
                      <w:szCs w:val="21"/>
                    </w:rPr>
                    <w:t>汞</w:t>
                  </w:r>
                </w:p>
              </w:tc>
              <w:tc>
                <w:tcPr>
                  <w:tcW w:w="1390" w:type="dxa"/>
                  <w:tcBorders>
                    <w:tl2br w:val="nil"/>
                    <w:tr2bl w:val="nil"/>
                  </w:tcBorders>
                  <w:tcMar>
                    <w:top w:w="0" w:type="dxa"/>
                    <w:left w:w="51" w:type="dxa"/>
                    <w:bottom w:w="0" w:type="dxa"/>
                    <w:right w:w="51" w:type="dxa"/>
                  </w:tcMar>
                  <w:vAlign w:val="center"/>
                </w:tcPr>
                <w:p>
                  <w:pPr>
                    <w:widowControl/>
                    <w:jc w:val="center"/>
                    <w:rPr>
                      <w:kern w:val="0"/>
                      <w:szCs w:val="21"/>
                    </w:rPr>
                  </w:pPr>
                  <w:r>
                    <w:rPr>
                      <w:rFonts w:hint="eastAsia"/>
                      <w:kern w:val="0"/>
                      <w:szCs w:val="21"/>
                    </w:rPr>
                    <w:t>0.036</w:t>
                  </w:r>
                </w:p>
              </w:tc>
              <w:tc>
                <w:tcPr>
                  <w:tcW w:w="1710" w:type="dxa"/>
                  <w:tcBorders>
                    <w:tl2br w:val="nil"/>
                    <w:tr2bl w:val="nil"/>
                  </w:tcBorders>
                  <w:vAlign w:val="center"/>
                </w:tcPr>
                <w:p>
                  <w:pPr>
                    <w:widowControl/>
                    <w:jc w:val="center"/>
                    <w:rPr>
                      <w:szCs w:val="21"/>
                    </w:rPr>
                  </w:pPr>
                  <w:r>
                    <w:rPr>
                      <w:rFonts w:hint="eastAsia"/>
                      <w:kern w:val="0"/>
                      <w:szCs w:val="21"/>
                    </w:rPr>
                    <w:t>0.031</w:t>
                  </w:r>
                </w:p>
              </w:tc>
              <w:tc>
                <w:tcPr>
                  <w:tcW w:w="1909" w:type="dxa"/>
                  <w:tcBorders>
                    <w:tl2br w:val="nil"/>
                    <w:tr2bl w:val="nil"/>
                  </w:tcBorders>
                  <w:vAlign w:val="center"/>
                </w:tcPr>
                <w:p>
                  <w:pPr>
                    <w:widowControl/>
                    <w:jc w:val="center"/>
                    <w:rPr>
                      <w:szCs w:val="21"/>
                    </w:rPr>
                  </w:pPr>
                  <w:r>
                    <w:rPr>
                      <w:rFonts w:hint="eastAsia"/>
                      <w:kern w:val="0"/>
                      <w:szCs w:val="21"/>
                    </w:rPr>
                    <w:t>0.032</w:t>
                  </w:r>
                </w:p>
              </w:tc>
              <w:tc>
                <w:tcPr>
                  <w:tcW w:w="635" w:type="pct"/>
                  <w:tcBorders>
                    <w:tl2br w:val="nil"/>
                    <w:tr2bl w:val="nil"/>
                  </w:tcBorders>
                  <w:vAlign w:val="center"/>
                </w:tcPr>
                <w:p>
                  <w:pPr>
                    <w:adjustRightInd w:val="0"/>
                    <w:snapToGrid w:val="0"/>
                    <w:jc w:val="center"/>
                    <w:rPr>
                      <w:szCs w:val="21"/>
                    </w:rPr>
                  </w:pPr>
                  <w:r>
                    <w:rPr>
                      <w:szCs w:val="21"/>
                    </w:rPr>
                    <w:t>38</w:t>
                  </w:r>
                </w:p>
              </w:tc>
              <w:tc>
                <w:tcPr>
                  <w:tcW w:w="701" w:type="pct"/>
                  <w:tcBorders>
                    <w:tl2br w:val="nil"/>
                    <w:tr2bl w:val="nil"/>
                  </w:tcBorders>
                  <w:vAlign w:val="center"/>
                </w:tcPr>
                <w:p>
                  <w:pPr>
                    <w:adjustRightInd w:val="0"/>
                    <w:snapToGrid w:val="0"/>
                    <w:jc w:val="center"/>
                    <w:rPr>
                      <w:szCs w:val="21"/>
                    </w:rPr>
                  </w:pPr>
                  <w:r>
                    <w:rPr>
                      <w:szCs w:val="21"/>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ind w:firstLine="105" w:firstLineChars="50"/>
                    <w:jc w:val="center"/>
                    <w:rPr>
                      <w:bCs/>
                      <w:szCs w:val="21"/>
                    </w:rPr>
                  </w:pPr>
                  <w:r>
                    <w:rPr>
                      <w:szCs w:val="21"/>
                    </w:rPr>
                    <w:t>铅</w:t>
                  </w:r>
                </w:p>
              </w:tc>
              <w:tc>
                <w:tcPr>
                  <w:tcW w:w="1390" w:type="dxa"/>
                  <w:tcBorders>
                    <w:tl2br w:val="nil"/>
                    <w:tr2bl w:val="nil"/>
                  </w:tcBorders>
                  <w:tcMar>
                    <w:top w:w="0" w:type="dxa"/>
                    <w:left w:w="51" w:type="dxa"/>
                    <w:bottom w:w="0" w:type="dxa"/>
                    <w:right w:w="51" w:type="dxa"/>
                  </w:tcMar>
                  <w:vAlign w:val="center"/>
                </w:tcPr>
                <w:p>
                  <w:pPr>
                    <w:widowControl/>
                    <w:jc w:val="center"/>
                    <w:rPr>
                      <w:kern w:val="0"/>
                      <w:szCs w:val="21"/>
                    </w:rPr>
                  </w:pPr>
                  <w:r>
                    <w:rPr>
                      <w:rFonts w:hint="eastAsia"/>
                      <w:kern w:val="0"/>
                      <w:szCs w:val="21"/>
                    </w:rPr>
                    <w:t>23</w:t>
                  </w:r>
                </w:p>
              </w:tc>
              <w:tc>
                <w:tcPr>
                  <w:tcW w:w="1710" w:type="dxa"/>
                  <w:tcBorders>
                    <w:tl2br w:val="nil"/>
                    <w:tr2bl w:val="nil"/>
                  </w:tcBorders>
                  <w:vAlign w:val="center"/>
                </w:tcPr>
                <w:p>
                  <w:pPr>
                    <w:widowControl/>
                    <w:jc w:val="center"/>
                    <w:rPr>
                      <w:szCs w:val="21"/>
                    </w:rPr>
                  </w:pPr>
                  <w:r>
                    <w:rPr>
                      <w:rFonts w:hint="eastAsia"/>
                      <w:kern w:val="0"/>
                      <w:szCs w:val="21"/>
                    </w:rPr>
                    <w:t>23</w:t>
                  </w:r>
                </w:p>
              </w:tc>
              <w:tc>
                <w:tcPr>
                  <w:tcW w:w="1909" w:type="dxa"/>
                  <w:tcBorders>
                    <w:tl2br w:val="nil"/>
                    <w:tr2bl w:val="nil"/>
                  </w:tcBorders>
                  <w:vAlign w:val="center"/>
                </w:tcPr>
                <w:p>
                  <w:pPr>
                    <w:widowControl/>
                    <w:jc w:val="center"/>
                    <w:rPr>
                      <w:szCs w:val="21"/>
                    </w:rPr>
                  </w:pPr>
                  <w:r>
                    <w:rPr>
                      <w:rFonts w:hint="eastAsia"/>
                      <w:kern w:val="0"/>
                      <w:szCs w:val="21"/>
                    </w:rPr>
                    <w:t>24</w:t>
                  </w:r>
                </w:p>
              </w:tc>
              <w:tc>
                <w:tcPr>
                  <w:tcW w:w="635" w:type="pct"/>
                  <w:tcBorders>
                    <w:tl2br w:val="nil"/>
                    <w:tr2bl w:val="nil"/>
                  </w:tcBorders>
                  <w:vAlign w:val="center"/>
                </w:tcPr>
                <w:p>
                  <w:pPr>
                    <w:adjustRightInd w:val="0"/>
                    <w:snapToGrid w:val="0"/>
                    <w:jc w:val="center"/>
                    <w:rPr>
                      <w:szCs w:val="21"/>
                    </w:rPr>
                  </w:pPr>
                  <w:r>
                    <w:rPr>
                      <w:szCs w:val="21"/>
                    </w:rPr>
                    <w:t>800</w:t>
                  </w:r>
                </w:p>
              </w:tc>
              <w:tc>
                <w:tcPr>
                  <w:tcW w:w="701" w:type="pct"/>
                  <w:tcBorders>
                    <w:tl2br w:val="nil"/>
                    <w:tr2bl w:val="nil"/>
                  </w:tcBorders>
                  <w:vAlign w:val="center"/>
                </w:tcPr>
                <w:p>
                  <w:pPr>
                    <w:adjustRightInd w:val="0"/>
                    <w:snapToGrid w:val="0"/>
                    <w:jc w:val="center"/>
                    <w:rPr>
                      <w:szCs w:val="21"/>
                    </w:rPr>
                  </w:pPr>
                  <w:r>
                    <w:rPr>
                      <w:rFonts w:hint="eastAsia"/>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jc w:val="center"/>
                    <w:rPr>
                      <w:szCs w:val="21"/>
                    </w:rPr>
                  </w:pPr>
                  <w:r>
                    <w:rPr>
                      <w:szCs w:val="21"/>
                    </w:rPr>
                    <w:t>铬（六价）</w:t>
                  </w:r>
                </w:p>
              </w:tc>
              <w:tc>
                <w:tcPr>
                  <w:tcW w:w="769" w:type="pct"/>
                  <w:tcBorders>
                    <w:tl2br w:val="nil"/>
                    <w:tr2bl w:val="nil"/>
                  </w:tcBorders>
                  <w:tcMar>
                    <w:top w:w="0" w:type="dxa"/>
                    <w:left w:w="51" w:type="dxa"/>
                    <w:bottom w:w="0" w:type="dxa"/>
                    <w:right w:w="51" w:type="dxa"/>
                  </w:tcMar>
                  <w:vAlign w:val="center"/>
                </w:tcPr>
                <w:p>
                  <w:pPr>
                    <w:widowControl/>
                    <w:adjustRightInd w:val="0"/>
                    <w:snapToGrid w:val="0"/>
                    <w:jc w:val="center"/>
                    <w:rPr>
                      <w:kern w:val="0"/>
                      <w:szCs w:val="21"/>
                    </w:rPr>
                  </w:pPr>
                  <w:r>
                    <w:rPr>
                      <w:rFonts w:hint="eastAsia"/>
                      <w:kern w:val="0"/>
                      <w:szCs w:val="21"/>
                    </w:rPr>
                    <w:t>ND</w:t>
                  </w:r>
                </w:p>
              </w:tc>
              <w:tc>
                <w:tcPr>
                  <w:tcW w:w="946" w:type="pct"/>
                  <w:tcBorders>
                    <w:tl2br w:val="nil"/>
                    <w:tr2bl w:val="nil"/>
                  </w:tcBorders>
                  <w:vAlign w:val="center"/>
                </w:tcPr>
                <w:p>
                  <w:pPr>
                    <w:adjustRightInd w:val="0"/>
                    <w:snapToGrid w:val="0"/>
                    <w:jc w:val="center"/>
                    <w:rPr>
                      <w:szCs w:val="21"/>
                    </w:rPr>
                  </w:pPr>
                  <w:r>
                    <w:rPr>
                      <w:rFonts w:hint="eastAsia"/>
                      <w:szCs w:val="21"/>
                    </w:rPr>
                    <w:t>ND</w:t>
                  </w:r>
                </w:p>
              </w:tc>
              <w:tc>
                <w:tcPr>
                  <w:tcW w:w="1056" w:type="pct"/>
                  <w:tcBorders>
                    <w:tl2br w:val="nil"/>
                    <w:tr2bl w:val="nil"/>
                  </w:tcBorders>
                  <w:vAlign w:val="center"/>
                </w:tcPr>
                <w:p>
                  <w:pPr>
                    <w:adjustRightInd w:val="0"/>
                    <w:snapToGrid w:val="0"/>
                    <w:jc w:val="center"/>
                    <w:rPr>
                      <w:szCs w:val="21"/>
                    </w:rPr>
                  </w:pPr>
                  <w:r>
                    <w:rPr>
                      <w:rFonts w:hint="eastAsia"/>
                      <w:szCs w:val="21"/>
                    </w:rPr>
                    <w:t>ND</w:t>
                  </w:r>
                </w:p>
              </w:tc>
              <w:tc>
                <w:tcPr>
                  <w:tcW w:w="635" w:type="pct"/>
                  <w:tcBorders>
                    <w:tl2br w:val="nil"/>
                    <w:tr2bl w:val="nil"/>
                  </w:tcBorders>
                  <w:vAlign w:val="center"/>
                </w:tcPr>
                <w:p>
                  <w:pPr>
                    <w:adjustRightInd w:val="0"/>
                    <w:snapToGrid w:val="0"/>
                    <w:jc w:val="center"/>
                    <w:rPr>
                      <w:szCs w:val="21"/>
                    </w:rPr>
                  </w:pPr>
                  <w:r>
                    <w:rPr>
                      <w:szCs w:val="21"/>
                    </w:rPr>
                    <w:t>5.7</w:t>
                  </w:r>
                </w:p>
              </w:tc>
              <w:tc>
                <w:tcPr>
                  <w:tcW w:w="701" w:type="pct"/>
                  <w:tcBorders>
                    <w:tl2br w:val="nil"/>
                    <w:tr2bl w:val="nil"/>
                  </w:tcBorders>
                  <w:vAlign w:val="center"/>
                </w:tcPr>
                <w:p>
                  <w:pPr>
                    <w:adjustRightInd w:val="0"/>
                    <w:snapToGrid w:val="0"/>
                    <w:jc w:val="center"/>
                    <w:rPr>
                      <w:szCs w:val="21"/>
                    </w:rPr>
                  </w:pPr>
                  <w:r>
                    <w:rPr>
                      <w:rFonts w:hint="eastAsia"/>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ind w:firstLine="105" w:firstLineChars="50"/>
                    <w:jc w:val="center"/>
                    <w:rPr>
                      <w:szCs w:val="21"/>
                    </w:rPr>
                  </w:pPr>
                  <w:r>
                    <w:rPr>
                      <w:szCs w:val="21"/>
                    </w:rPr>
                    <w:t>镍</w:t>
                  </w:r>
                </w:p>
              </w:tc>
              <w:tc>
                <w:tcPr>
                  <w:tcW w:w="1390" w:type="dxa"/>
                  <w:tcBorders>
                    <w:tl2br w:val="nil"/>
                    <w:tr2bl w:val="nil"/>
                  </w:tcBorders>
                  <w:tcMar>
                    <w:top w:w="0" w:type="dxa"/>
                    <w:left w:w="51" w:type="dxa"/>
                    <w:bottom w:w="0" w:type="dxa"/>
                    <w:right w:w="51" w:type="dxa"/>
                  </w:tcMar>
                  <w:vAlign w:val="center"/>
                </w:tcPr>
                <w:p>
                  <w:pPr>
                    <w:widowControl/>
                    <w:jc w:val="center"/>
                    <w:rPr>
                      <w:kern w:val="0"/>
                      <w:szCs w:val="21"/>
                    </w:rPr>
                  </w:pPr>
                  <w:r>
                    <w:rPr>
                      <w:rFonts w:hint="eastAsia"/>
                      <w:kern w:val="0"/>
                      <w:szCs w:val="21"/>
                    </w:rPr>
                    <w:t>34</w:t>
                  </w:r>
                </w:p>
              </w:tc>
              <w:tc>
                <w:tcPr>
                  <w:tcW w:w="1710" w:type="dxa"/>
                  <w:tcBorders>
                    <w:tl2br w:val="nil"/>
                    <w:tr2bl w:val="nil"/>
                  </w:tcBorders>
                  <w:vAlign w:val="center"/>
                </w:tcPr>
                <w:p>
                  <w:pPr>
                    <w:widowControl/>
                    <w:jc w:val="center"/>
                    <w:rPr>
                      <w:szCs w:val="21"/>
                    </w:rPr>
                  </w:pPr>
                  <w:r>
                    <w:rPr>
                      <w:rFonts w:hint="eastAsia"/>
                      <w:kern w:val="0"/>
                      <w:szCs w:val="21"/>
                    </w:rPr>
                    <w:t>35</w:t>
                  </w:r>
                </w:p>
              </w:tc>
              <w:tc>
                <w:tcPr>
                  <w:tcW w:w="1909" w:type="dxa"/>
                  <w:tcBorders>
                    <w:tl2br w:val="nil"/>
                    <w:tr2bl w:val="nil"/>
                  </w:tcBorders>
                  <w:vAlign w:val="center"/>
                </w:tcPr>
                <w:p>
                  <w:pPr>
                    <w:widowControl/>
                    <w:jc w:val="center"/>
                    <w:rPr>
                      <w:szCs w:val="21"/>
                    </w:rPr>
                  </w:pPr>
                  <w:r>
                    <w:rPr>
                      <w:rFonts w:hint="eastAsia"/>
                      <w:kern w:val="0"/>
                      <w:szCs w:val="21"/>
                    </w:rPr>
                    <w:t>37</w:t>
                  </w:r>
                </w:p>
              </w:tc>
              <w:tc>
                <w:tcPr>
                  <w:tcW w:w="635" w:type="pct"/>
                  <w:tcBorders>
                    <w:tl2br w:val="nil"/>
                    <w:tr2bl w:val="nil"/>
                  </w:tcBorders>
                  <w:vAlign w:val="center"/>
                </w:tcPr>
                <w:p>
                  <w:pPr>
                    <w:adjustRightInd w:val="0"/>
                    <w:snapToGrid w:val="0"/>
                    <w:jc w:val="center"/>
                    <w:rPr>
                      <w:szCs w:val="21"/>
                    </w:rPr>
                  </w:pPr>
                  <w:r>
                    <w:rPr>
                      <w:szCs w:val="21"/>
                    </w:rPr>
                    <w:t>900</w:t>
                  </w:r>
                </w:p>
              </w:tc>
              <w:tc>
                <w:tcPr>
                  <w:tcW w:w="701" w:type="pct"/>
                  <w:tcBorders>
                    <w:tl2br w:val="nil"/>
                    <w:tr2bl w:val="nil"/>
                  </w:tcBorders>
                  <w:vAlign w:val="center"/>
                </w:tcPr>
                <w:p>
                  <w:pPr>
                    <w:adjustRightInd w:val="0"/>
                    <w:snapToGrid w:val="0"/>
                    <w:jc w:val="center"/>
                    <w:rPr>
                      <w:szCs w:val="21"/>
                    </w:rPr>
                  </w:pPr>
                  <w:r>
                    <w:rPr>
                      <w:rFonts w:hint="eastAsia"/>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 w:hRule="exact"/>
                <w:jc w:val="center"/>
              </w:trPr>
              <w:tc>
                <w:tcPr>
                  <w:tcW w:w="891" w:type="pct"/>
                  <w:tcBorders>
                    <w:tl2br w:val="nil"/>
                    <w:tr2bl w:val="nil"/>
                  </w:tcBorders>
                  <w:vAlign w:val="center"/>
                </w:tcPr>
                <w:p>
                  <w:pPr>
                    <w:adjustRightInd w:val="0"/>
                    <w:snapToGrid w:val="0"/>
                    <w:ind w:firstLine="105" w:firstLineChars="50"/>
                    <w:jc w:val="center"/>
                    <w:rPr>
                      <w:szCs w:val="21"/>
                    </w:rPr>
                  </w:pPr>
                  <w:r>
                    <w:rPr>
                      <w:szCs w:val="21"/>
                    </w:rPr>
                    <w:t>铜</w:t>
                  </w:r>
                </w:p>
              </w:tc>
              <w:tc>
                <w:tcPr>
                  <w:tcW w:w="1390" w:type="dxa"/>
                  <w:tcBorders>
                    <w:tl2br w:val="nil"/>
                    <w:tr2bl w:val="nil"/>
                  </w:tcBorders>
                  <w:tcMar>
                    <w:top w:w="0" w:type="dxa"/>
                    <w:left w:w="51" w:type="dxa"/>
                    <w:bottom w:w="0" w:type="dxa"/>
                    <w:right w:w="51" w:type="dxa"/>
                  </w:tcMar>
                  <w:vAlign w:val="center"/>
                </w:tcPr>
                <w:p>
                  <w:pPr>
                    <w:widowControl/>
                    <w:jc w:val="center"/>
                    <w:rPr>
                      <w:kern w:val="0"/>
                      <w:szCs w:val="21"/>
                    </w:rPr>
                  </w:pPr>
                  <w:r>
                    <w:rPr>
                      <w:rFonts w:hint="eastAsia"/>
                      <w:kern w:val="0"/>
                      <w:szCs w:val="21"/>
                    </w:rPr>
                    <w:t>31.4</w:t>
                  </w:r>
                </w:p>
              </w:tc>
              <w:tc>
                <w:tcPr>
                  <w:tcW w:w="1710" w:type="dxa"/>
                  <w:tcBorders>
                    <w:tl2br w:val="nil"/>
                    <w:tr2bl w:val="nil"/>
                  </w:tcBorders>
                  <w:vAlign w:val="center"/>
                </w:tcPr>
                <w:p>
                  <w:pPr>
                    <w:widowControl/>
                    <w:jc w:val="center"/>
                    <w:rPr>
                      <w:szCs w:val="21"/>
                    </w:rPr>
                  </w:pPr>
                  <w:r>
                    <w:rPr>
                      <w:rFonts w:hint="eastAsia"/>
                      <w:kern w:val="0"/>
                      <w:szCs w:val="21"/>
                    </w:rPr>
                    <w:t>32.6</w:t>
                  </w:r>
                </w:p>
              </w:tc>
              <w:tc>
                <w:tcPr>
                  <w:tcW w:w="1909" w:type="dxa"/>
                  <w:tcBorders>
                    <w:tl2br w:val="nil"/>
                    <w:tr2bl w:val="nil"/>
                  </w:tcBorders>
                  <w:vAlign w:val="center"/>
                </w:tcPr>
                <w:p>
                  <w:pPr>
                    <w:widowControl/>
                    <w:jc w:val="center"/>
                    <w:rPr>
                      <w:szCs w:val="21"/>
                    </w:rPr>
                  </w:pPr>
                  <w:r>
                    <w:rPr>
                      <w:rFonts w:hint="eastAsia"/>
                      <w:kern w:val="0"/>
                      <w:szCs w:val="21"/>
                    </w:rPr>
                    <w:t>33.3</w:t>
                  </w:r>
                </w:p>
              </w:tc>
              <w:tc>
                <w:tcPr>
                  <w:tcW w:w="635" w:type="pct"/>
                  <w:tcBorders>
                    <w:tl2br w:val="nil"/>
                    <w:tr2bl w:val="nil"/>
                  </w:tcBorders>
                  <w:vAlign w:val="center"/>
                </w:tcPr>
                <w:p>
                  <w:pPr>
                    <w:adjustRightInd w:val="0"/>
                    <w:snapToGrid w:val="0"/>
                    <w:jc w:val="center"/>
                    <w:rPr>
                      <w:szCs w:val="21"/>
                    </w:rPr>
                  </w:pPr>
                  <w:r>
                    <w:rPr>
                      <w:szCs w:val="21"/>
                    </w:rPr>
                    <w:t>18000</w:t>
                  </w:r>
                </w:p>
              </w:tc>
              <w:tc>
                <w:tcPr>
                  <w:tcW w:w="701" w:type="pct"/>
                  <w:tcBorders>
                    <w:tl2br w:val="nil"/>
                    <w:tr2bl w:val="nil"/>
                  </w:tcBorders>
                  <w:vAlign w:val="center"/>
                </w:tcPr>
                <w:p>
                  <w:pPr>
                    <w:adjustRightInd w:val="0"/>
                    <w:snapToGrid w:val="0"/>
                    <w:jc w:val="center"/>
                    <w:rPr>
                      <w:szCs w:val="21"/>
                    </w:rPr>
                  </w:pPr>
                  <w:r>
                    <w:rPr>
                      <w:rFonts w:hint="eastAsia"/>
                      <w:szCs w:val="21"/>
                    </w:rPr>
                    <w:t>1</w:t>
                  </w:r>
                </w:p>
              </w:tc>
            </w:tr>
          </w:tbl>
          <w:p>
            <w:pPr>
              <w:spacing w:line="360" w:lineRule="auto"/>
              <w:ind w:firstLine="420" w:firstLineChars="200"/>
              <w:rPr>
                <w:b/>
                <w:szCs w:val="21"/>
              </w:rPr>
            </w:pPr>
            <w:r>
              <w:rPr>
                <w:b/>
                <w:szCs w:val="21"/>
              </w:rPr>
              <w:t>注：</w:t>
            </w:r>
            <w:r>
              <w:rPr>
                <w:rFonts w:hint="eastAsia"/>
                <w:b/>
                <w:szCs w:val="21"/>
              </w:rPr>
              <w:t>ND表示未</w:t>
            </w:r>
            <w:r>
              <w:rPr>
                <w:b/>
                <w:szCs w:val="21"/>
              </w:rPr>
              <w:t>检测</w:t>
            </w:r>
            <w:r>
              <w:rPr>
                <w:rFonts w:hint="eastAsia"/>
                <w:b/>
                <w:szCs w:val="21"/>
              </w:rPr>
              <w:t>出。</w:t>
            </w:r>
          </w:p>
          <w:p>
            <w:pPr>
              <w:spacing w:line="360" w:lineRule="auto"/>
              <w:ind w:firstLine="439" w:firstLineChars="183"/>
              <w:rPr>
                <w:sz w:val="24"/>
              </w:rPr>
            </w:pPr>
            <w:r>
              <w:rPr>
                <w:sz w:val="24"/>
              </w:rPr>
              <w:t>监测结果表明各项目监测因子均符合《土壤环境质量标准 建设用地土壤污染风险管控标准（试行）》（GB36600-2018）表1中各项目所对应的标准限值。</w:t>
            </w:r>
          </w:p>
          <w:p>
            <w:pPr>
              <w:spacing w:line="360" w:lineRule="auto"/>
              <w:rPr>
                <w:b/>
                <w:sz w:val="24"/>
              </w:rPr>
            </w:pPr>
            <w:r>
              <w:rPr>
                <w:b/>
                <w:sz w:val="24"/>
              </w:rPr>
              <w:t>三、声环境质量现状</w:t>
            </w:r>
          </w:p>
          <w:p>
            <w:pPr>
              <w:spacing w:line="360" w:lineRule="auto"/>
              <w:ind w:firstLine="439" w:firstLineChars="183"/>
              <w:rPr>
                <w:sz w:val="24"/>
              </w:rPr>
            </w:pPr>
            <w:r>
              <w:rPr>
                <w:sz w:val="24"/>
              </w:rPr>
              <w:t>为了解项目周围声环境现状，本次评价委托</w:t>
            </w:r>
            <w:r>
              <w:rPr>
                <w:rFonts w:hint="eastAsia"/>
                <w:sz w:val="24"/>
              </w:rPr>
              <w:t>西安普惠环境检测技术有限公司</w:t>
            </w:r>
            <w:r>
              <w:rPr>
                <w:sz w:val="24"/>
              </w:rPr>
              <w:t>对本项目的噪声进行监测，在建设项目四周共布设了项目所在地边界东（1#）、南（2#）、西（3#）、北（4#）共4个噪声监测点，以及在项目</w:t>
            </w:r>
            <w:r>
              <w:rPr>
                <w:rFonts w:hint="eastAsia"/>
                <w:sz w:val="24"/>
              </w:rPr>
              <w:t>西</w:t>
            </w:r>
            <w:r>
              <w:rPr>
                <w:sz w:val="24"/>
              </w:rPr>
              <w:t>侧敏感点布设1个噪声监测点，监测依据《环境监测 技术规范》进行，分昼间、夜间两个时段进行监测。监测于</w:t>
            </w:r>
            <w:r>
              <w:rPr>
                <w:rFonts w:hint="eastAsia"/>
                <w:sz w:val="24"/>
              </w:rPr>
              <w:t>2020</w:t>
            </w:r>
            <w:r>
              <w:rPr>
                <w:sz w:val="24"/>
              </w:rPr>
              <w:t>年</w:t>
            </w:r>
            <w:r>
              <w:rPr>
                <w:rFonts w:hint="eastAsia"/>
                <w:sz w:val="24"/>
              </w:rPr>
              <w:t>7</w:t>
            </w:r>
            <w:r>
              <w:rPr>
                <w:sz w:val="24"/>
              </w:rPr>
              <w:t>月</w:t>
            </w:r>
            <w:r>
              <w:rPr>
                <w:rFonts w:hint="eastAsia"/>
                <w:sz w:val="24"/>
              </w:rPr>
              <w:t>12</w:t>
            </w:r>
            <w:r>
              <w:rPr>
                <w:sz w:val="24"/>
              </w:rPr>
              <w:t>日-20</w:t>
            </w:r>
            <w:r>
              <w:rPr>
                <w:rFonts w:hint="eastAsia"/>
                <w:sz w:val="24"/>
              </w:rPr>
              <w:t>20</w:t>
            </w:r>
            <w:r>
              <w:rPr>
                <w:sz w:val="24"/>
              </w:rPr>
              <w:t>年</w:t>
            </w:r>
            <w:r>
              <w:rPr>
                <w:rFonts w:hint="eastAsia"/>
                <w:sz w:val="24"/>
              </w:rPr>
              <w:t>7</w:t>
            </w:r>
            <w:r>
              <w:rPr>
                <w:sz w:val="24"/>
              </w:rPr>
              <w:t>月</w:t>
            </w:r>
            <w:r>
              <w:rPr>
                <w:rFonts w:hint="eastAsia"/>
                <w:sz w:val="24"/>
              </w:rPr>
              <w:t>13</w:t>
            </w:r>
            <w:r>
              <w:rPr>
                <w:sz w:val="24"/>
              </w:rPr>
              <w:t>日进行，连续监测两天，监测点位分布如附图</w:t>
            </w:r>
            <w:r>
              <w:rPr>
                <w:rFonts w:hint="eastAsia"/>
                <w:sz w:val="24"/>
              </w:rPr>
              <w:t>4</w:t>
            </w:r>
            <w:r>
              <w:rPr>
                <w:sz w:val="24"/>
              </w:rPr>
              <w:t>，监测结果见表</w:t>
            </w:r>
            <w:r>
              <w:rPr>
                <w:rFonts w:hint="eastAsia"/>
                <w:sz w:val="24"/>
              </w:rPr>
              <w:t>13</w:t>
            </w:r>
            <w:r>
              <w:rPr>
                <w:sz w:val="24"/>
              </w:rPr>
              <w:t>。</w:t>
            </w:r>
          </w:p>
          <w:p>
            <w:pPr>
              <w:spacing w:line="360" w:lineRule="auto"/>
              <w:jc w:val="center"/>
              <w:rPr>
                <w:b/>
                <w:szCs w:val="21"/>
              </w:rPr>
            </w:pPr>
            <w:r>
              <w:rPr>
                <w:b/>
                <w:szCs w:val="21"/>
              </w:rPr>
              <w:t>表</w:t>
            </w:r>
            <w:r>
              <w:rPr>
                <w:rFonts w:hint="eastAsia"/>
                <w:b/>
                <w:szCs w:val="21"/>
              </w:rPr>
              <w:t>13</w:t>
            </w:r>
            <w:r>
              <w:rPr>
                <w:b/>
                <w:szCs w:val="21"/>
              </w:rPr>
              <w:t xml:space="preserve">  </w:t>
            </w:r>
            <w:r>
              <w:rPr>
                <w:rFonts w:hint="eastAsia"/>
                <w:b/>
                <w:szCs w:val="21"/>
              </w:rPr>
              <w:t xml:space="preserve"> </w:t>
            </w:r>
            <w:r>
              <w:rPr>
                <w:b/>
                <w:szCs w:val="21"/>
              </w:rPr>
              <w:t>声环境质量现状监测结果单位：dB（A）</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1275"/>
              <w:gridCol w:w="1289"/>
              <w:gridCol w:w="1134"/>
              <w:gridCol w:w="1181"/>
              <w:gridCol w:w="1134"/>
              <w:gridCol w:w="10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Merge w:val="restart"/>
                  <w:vAlign w:val="center"/>
                </w:tcPr>
                <w:p>
                  <w:pPr>
                    <w:adjustRightInd w:val="0"/>
                    <w:snapToGrid w:val="0"/>
                    <w:jc w:val="center"/>
                  </w:pPr>
                  <w:r>
                    <w:t>监测点位</w:t>
                  </w:r>
                </w:p>
              </w:tc>
              <w:tc>
                <w:tcPr>
                  <w:tcW w:w="1418" w:type="pct"/>
                  <w:gridSpan w:val="2"/>
                  <w:vAlign w:val="center"/>
                </w:tcPr>
                <w:p>
                  <w:pPr>
                    <w:adjustRightInd w:val="0"/>
                    <w:snapToGrid w:val="0"/>
                    <w:jc w:val="center"/>
                  </w:pPr>
                  <w:r>
                    <w:t>9月11日（Leq）</w:t>
                  </w:r>
                </w:p>
              </w:tc>
              <w:tc>
                <w:tcPr>
                  <w:tcW w:w="1280" w:type="pct"/>
                  <w:gridSpan w:val="2"/>
                  <w:vAlign w:val="center"/>
                </w:tcPr>
                <w:p>
                  <w:pPr>
                    <w:adjustRightInd w:val="0"/>
                    <w:snapToGrid w:val="0"/>
                    <w:jc w:val="center"/>
                  </w:pPr>
                  <w:r>
                    <w:t>9月12日（Leq）</w:t>
                  </w:r>
                </w:p>
              </w:tc>
              <w:tc>
                <w:tcPr>
                  <w:tcW w:w="1200" w:type="pct"/>
                  <w:gridSpan w:val="2"/>
                  <w:vAlign w:val="center"/>
                </w:tcPr>
                <w:p>
                  <w:pPr>
                    <w:adjustRightInd w:val="0"/>
                    <w:snapToGrid w:val="0"/>
                    <w:jc w:val="center"/>
                  </w:pPr>
                  <w:r>
                    <w:t>标准（Leq）</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Merge w:val="continue"/>
                  <w:vAlign w:val="center"/>
                </w:tcPr>
                <w:p>
                  <w:pPr>
                    <w:adjustRightInd w:val="0"/>
                    <w:snapToGrid w:val="0"/>
                    <w:jc w:val="center"/>
                  </w:pPr>
                </w:p>
              </w:tc>
              <w:tc>
                <w:tcPr>
                  <w:tcW w:w="705" w:type="pct"/>
                  <w:vAlign w:val="center"/>
                </w:tcPr>
                <w:p>
                  <w:pPr>
                    <w:adjustRightInd w:val="0"/>
                    <w:snapToGrid w:val="0"/>
                    <w:jc w:val="center"/>
                  </w:pPr>
                  <w:r>
                    <w:t>昼间</w:t>
                  </w:r>
                </w:p>
              </w:tc>
              <w:tc>
                <w:tcPr>
                  <w:tcW w:w="712" w:type="pct"/>
                  <w:vAlign w:val="center"/>
                </w:tcPr>
                <w:p>
                  <w:pPr>
                    <w:adjustRightInd w:val="0"/>
                    <w:snapToGrid w:val="0"/>
                    <w:jc w:val="center"/>
                  </w:pPr>
                  <w:r>
                    <w:t>夜间</w:t>
                  </w:r>
                </w:p>
              </w:tc>
              <w:tc>
                <w:tcPr>
                  <w:tcW w:w="627" w:type="pct"/>
                  <w:vAlign w:val="center"/>
                </w:tcPr>
                <w:p>
                  <w:pPr>
                    <w:adjustRightInd w:val="0"/>
                    <w:snapToGrid w:val="0"/>
                    <w:jc w:val="center"/>
                  </w:pPr>
                  <w:r>
                    <w:t>昼间</w:t>
                  </w:r>
                </w:p>
              </w:tc>
              <w:tc>
                <w:tcPr>
                  <w:tcW w:w="653" w:type="pct"/>
                  <w:vAlign w:val="center"/>
                </w:tcPr>
                <w:p>
                  <w:pPr>
                    <w:adjustRightInd w:val="0"/>
                    <w:snapToGrid w:val="0"/>
                    <w:jc w:val="center"/>
                  </w:pPr>
                  <w:r>
                    <w:t>夜间</w:t>
                  </w:r>
                </w:p>
              </w:tc>
              <w:tc>
                <w:tcPr>
                  <w:tcW w:w="627" w:type="pct"/>
                  <w:vAlign w:val="center"/>
                </w:tcPr>
                <w:p>
                  <w:pPr>
                    <w:adjustRightInd w:val="0"/>
                    <w:snapToGrid w:val="0"/>
                    <w:jc w:val="center"/>
                  </w:pPr>
                  <w:r>
                    <w:t>昼间</w:t>
                  </w:r>
                </w:p>
              </w:tc>
              <w:tc>
                <w:tcPr>
                  <w:tcW w:w="573" w:type="pct"/>
                  <w:vAlign w:val="center"/>
                </w:tcPr>
                <w:p>
                  <w:pPr>
                    <w:adjustRightInd w:val="0"/>
                    <w:snapToGrid w:val="0"/>
                    <w:jc w:val="center"/>
                  </w:pPr>
                  <w: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Align w:val="center"/>
                </w:tcPr>
                <w:p>
                  <w:pPr>
                    <w:adjustRightInd w:val="0"/>
                    <w:snapToGrid w:val="0"/>
                    <w:jc w:val="center"/>
                  </w:pPr>
                  <w:r>
                    <w:t>东厂界</w:t>
                  </w:r>
                </w:p>
              </w:tc>
              <w:tc>
                <w:tcPr>
                  <w:tcW w:w="705" w:type="pct"/>
                  <w:vAlign w:val="center"/>
                </w:tcPr>
                <w:p>
                  <w:pPr>
                    <w:widowControl/>
                    <w:spacing w:before="100" w:beforeAutospacing="1" w:after="100" w:afterAutospacing="1" w:line="288" w:lineRule="auto"/>
                    <w:jc w:val="center"/>
                    <w:rPr>
                      <w:szCs w:val="21"/>
                    </w:rPr>
                  </w:pPr>
                  <w:r>
                    <w:rPr>
                      <w:rFonts w:hint="eastAsia"/>
                      <w:kern w:val="0"/>
                      <w:szCs w:val="21"/>
                    </w:rPr>
                    <w:t>49</w:t>
                  </w:r>
                </w:p>
              </w:tc>
              <w:tc>
                <w:tcPr>
                  <w:tcW w:w="712" w:type="pct"/>
                  <w:vAlign w:val="center"/>
                </w:tcPr>
                <w:p>
                  <w:pPr>
                    <w:widowControl/>
                    <w:spacing w:before="100" w:beforeAutospacing="1" w:after="100" w:afterAutospacing="1" w:line="288" w:lineRule="auto"/>
                    <w:jc w:val="center"/>
                    <w:rPr>
                      <w:szCs w:val="21"/>
                    </w:rPr>
                  </w:pPr>
                  <w:r>
                    <w:rPr>
                      <w:rFonts w:hint="eastAsia"/>
                      <w:kern w:val="0"/>
                      <w:szCs w:val="21"/>
                    </w:rPr>
                    <w:t>43</w:t>
                  </w:r>
                </w:p>
              </w:tc>
              <w:tc>
                <w:tcPr>
                  <w:tcW w:w="627" w:type="pct"/>
                  <w:vAlign w:val="center"/>
                </w:tcPr>
                <w:p>
                  <w:pPr>
                    <w:widowControl/>
                    <w:spacing w:before="100" w:beforeAutospacing="1" w:after="100" w:afterAutospacing="1" w:line="288" w:lineRule="auto"/>
                    <w:jc w:val="center"/>
                    <w:rPr>
                      <w:szCs w:val="21"/>
                    </w:rPr>
                  </w:pPr>
                  <w:r>
                    <w:rPr>
                      <w:rFonts w:hint="eastAsia"/>
                      <w:kern w:val="0"/>
                      <w:szCs w:val="21"/>
                    </w:rPr>
                    <w:t>51</w:t>
                  </w:r>
                </w:p>
              </w:tc>
              <w:tc>
                <w:tcPr>
                  <w:tcW w:w="653" w:type="pct"/>
                  <w:vAlign w:val="center"/>
                </w:tcPr>
                <w:p>
                  <w:pPr>
                    <w:widowControl/>
                    <w:spacing w:before="100" w:beforeAutospacing="1" w:after="100" w:afterAutospacing="1" w:line="288" w:lineRule="auto"/>
                    <w:jc w:val="center"/>
                    <w:rPr>
                      <w:szCs w:val="21"/>
                    </w:rPr>
                  </w:pPr>
                  <w:r>
                    <w:rPr>
                      <w:rFonts w:hint="eastAsia"/>
                      <w:kern w:val="0"/>
                      <w:szCs w:val="21"/>
                    </w:rPr>
                    <w:t>43</w:t>
                  </w:r>
                </w:p>
              </w:tc>
              <w:tc>
                <w:tcPr>
                  <w:tcW w:w="627" w:type="pct"/>
                  <w:vMerge w:val="restart"/>
                  <w:vAlign w:val="center"/>
                </w:tcPr>
                <w:p>
                  <w:pPr>
                    <w:jc w:val="center"/>
                  </w:pPr>
                  <w:r>
                    <w:rPr>
                      <w:rFonts w:hint="eastAsia"/>
                    </w:rPr>
                    <w:t>60</w:t>
                  </w:r>
                </w:p>
              </w:tc>
              <w:tc>
                <w:tcPr>
                  <w:tcW w:w="573" w:type="pct"/>
                  <w:vMerge w:val="restart"/>
                  <w:vAlign w:val="center"/>
                </w:tcPr>
                <w:p>
                  <w:pPr>
                    <w:jc w:val="center"/>
                  </w:pPr>
                  <w:r>
                    <w:rPr>
                      <w:rFonts w:hint="eastAsia"/>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Align w:val="center"/>
                </w:tcPr>
                <w:p>
                  <w:pPr>
                    <w:adjustRightInd w:val="0"/>
                    <w:snapToGrid w:val="0"/>
                    <w:jc w:val="center"/>
                  </w:pPr>
                  <w:r>
                    <w:t>南厂界</w:t>
                  </w:r>
                </w:p>
              </w:tc>
              <w:tc>
                <w:tcPr>
                  <w:tcW w:w="705" w:type="pct"/>
                  <w:vAlign w:val="center"/>
                </w:tcPr>
                <w:p>
                  <w:pPr>
                    <w:widowControl/>
                    <w:spacing w:before="100" w:beforeAutospacing="1" w:after="100" w:afterAutospacing="1" w:line="288" w:lineRule="auto"/>
                    <w:jc w:val="center"/>
                    <w:rPr>
                      <w:szCs w:val="21"/>
                    </w:rPr>
                  </w:pPr>
                  <w:r>
                    <w:rPr>
                      <w:rFonts w:hint="eastAsia"/>
                      <w:kern w:val="0"/>
                      <w:szCs w:val="21"/>
                    </w:rPr>
                    <w:t>47</w:t>
                  </w:r>
                </w:p>
              </w:tc>
              <w:tc>
                <w:tcPr>
                  <w:tcW w:w="712" w:type="pct"/>
                  <w:vAlign w:val="center"/>
                </w:tcPr>
                <w:p>
                  <w:pPr>
                    <w:widowControl/>
                    <w:spacing w:before="100" w:beforeAutospacing="1" w:after="100" w:afterAutospacing="1" w:line="288" w:lineRule="auto"/>
                    <w:jc w:val="center"/>
                    <w:rPr>
                      <w:szCs w:val="21"/>
                    </w:rPr>
                  </w:pPr>
                  <w:r>
                    <w:rPr>
                      <w:rFonts w:hint="eastAsia"/>
                      <w:kern w:val="0"/>
                      <w:szCs w:val="21"/>
                    </w:rPr>
                    <w:t>42</w:t>
                  </w:r>
                </w:p>
              </w:tc>
              <w:tc>
                <w:tcPr>
                  <w:tcW w:w="627" w:type="pct"/>
                  <w:vAlign w:val="center"/>
                </w:tcPr>
                <w:p>
                  <w:pPr>
                    <w:widowControl/>
                    <w:spacing w:before="100" w:beforeAutospacing="1" w:after="100" w:afterAutospacing="1" w:line="288" w:lineRule="auto"/>
                    <w:jc w:val="center"/>
                    <w:rPr>
                      <w:szCs w:val="21"/>
                    </w:rPr>
                  </w:pPr>
                  <w:r>
                    <w:rPr>
                      <w:rFonts w:hint="eastAsia"/>
                      <w:kern w:val="0"/>
                      <w:szCs w:val="21"/>
                    </w:rPr>
                    <w:t>48</w:t>
                  </w:r>
                </w:p>
              </w:tc>
              <w:tc>
                <w:tcPr>
                  <w:tcW w:w="653" w:type="pct"/>
                  <w:vAlign w:val="center"/>
                </w:tcPr>
                <w:p>
                  <w:pPr>
                    <w:widowControl/>
                    <w:spacing w:before="100" w:beforeAutospacing="1" w:after="100" w:afterAutospacing="1" w:line="288" w:lineRule="auto"/>
                    <w:jc w:val="center"/>
                    <w:rPr>
                      <w:szCs w:val="21"/>
                    </w:rPr>
                  </w:pPr>
                  <w:r>
                    <w:rPr>
                      <w:rFonts w:hint="eastAsia"/>
                      <w:kern w:val="0"/>
                      <w:szCs w:val="21"/>
                    </w:rPr>
                    <w:t>42</w:t>
                  </w:r>
                </w:p>
              </w:tc>
              <w:tc>
                <w:tcPr>
                  <w:tcW w:w="627" w:type="pct"/>
                  <w:vMerge w:val="continue"/>
                  <w:vAlign w:val="center"/>
                </w:tcPr>
                <w:p>
                  <w:pPr>
                    <w:jc w:val="center"/>
                  </w:pPr>
                </w:p>
              </w:tc>
              <w:tc>
                <w:tcPr>
                  <w:tcW w:w="573" w:type="pct"/>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Align w:val="center"/>
                </w:tcPr>
                <w:p>
                  <w:pPr>
                    <w:adjustRightInd w:val="0"/>
                    <w:snapToGrid w:val="0"/>
                    <w:jc w:val="center"/>
                  </w:pPr>
                  <w:r>
                    <w:t>西厂界</w:t>
                  </w:r>
                </w:p>
              </w:tc>
              <w:tc>
                <w:tcPr>
                  <w:tcW w:w="705" w:type="pct"/>
                  <w:vAlign w:val="center"/>
                </w:tcPr>
                <w:p>
                  <w:pPr>
                    <w:widowControl/>
                    <w:spacing w:before="100" w:beforeAutospacing="1" w:after="100" w:afterAutospacing="1" w:line="288" w:lineRule="auto"/>
                    <w:jc w:val="center"/>
                    <w:rPr>
                      <w:szCs w:val="21"/>
                    </w:rPr>
                  </w:pPr>
                  <w:r>
                    <w:rPr>
                      <w:rFonts w:hint="eastAsia"/>
                      <w:kern w:val="0"/>
                      <w:szCs w:val="21"/>
                    </w:rPr>
                    <w:t>49</w:t>
                  </w:r>
                </w:p>
              </w:tc>
              <w:tc>
                <w:tcPr>
                  <w:tcW w:w="712" w:type="pct"/>
                  <w:vAlign w:val="center"/>
                </w:tcPr>
                <w:p>
                  <w:pPr>
                    <w:widowControl/>
                    <w:spacing w:before="100" w:beforeAutospacing="1" w:after="100" w:afterAutospacing="1" w:line="288" w:lineRule="auto"/>
                    <w:jc w:val="center"/>
                    <w:rPr>
                      <w:szCs w:val="21"/>
                    </w:rPr>
                  </w:pPr>
                  <w:r>
                    <w:rPr>
                      <w:rFonts w:hint="eastAsia"/>
                      <w:kern w:val="0"/>
                      <w:szCs w:val="21"/>
                    </w:rPr>
                    <w:t>44</w:t>
                  </w:r>
                </w:p>
              </w:tc>
              <w:tc>
                <w:tcPr>
                  <w:tcW w:w="627" w:type="pct"/>
                  <w:vAlign w:val="center"/>
                </w:tcPr>
                <w:p>
                  <w:pPr>
                    <w:widowControl/>
                    <w:spacing w:before="100" w:beforeAutospacing="1" w:after="100" w:afterAutospacing="1" w:line="288" w:lineRule="auto"/>
                    <w:jc w:val="center"/>
                    <w:rPr>
                      <w:szCs w:val="21"/>
                    </w:rPr>
                  </w:pPr>
                  <w:r>
                    <w:rPr>
                      <w:rFonts w:hint="eastAsia"/>
                      <w:kern w:val="0"/>
                      <w:szCs w:val="21"/>
                    </w:rPr>
                    <w:t>50</w:t>
                  </w:r>
                </w:p>
              </w:tc>
              <w:tc>
                <w:tcPr>
                  <w:tcW w:w="653" w:type="pct"/>
                  <w:vAlign w:val="center"/>
                </w:tcPr>
                <w:p>
                  <w:pPr>
                    <w:widowControl/>
                    <w:spacing w:before="100" w:beforeAutospacing="1" w:after="100" w:afterAutospacing="1" w:line="288" w:lineRule="auto"/>
                    <w:jc w:val="center"/>
                    <w:rPr>
                      <w:szCs w:val="21"/>
                    </w:rPr>
                  </w:pPr>
                  <w:r>
                    <w:rPr>
                      <w:rFonts w:hint="eastAsia"/>
                      <w:kern w:val="0"/>
                      <w:szCs w:val="21"/>
                    </w:rPr>
                    <w:t>43</w:t>
                  </w:r>
                </w:p>
              </w:tc>
              <w:tc>
                <w:tcPr>
                  <w:tcW w:w="627" w:type="pct"/>
                  <w:vMerge w:val="continue"/>
                  <w:vAlign w:val="center"/>
                </w:tcPr>
                <w:p>
                  <w:pPr>
                    <w:widowControl/>
                    <w:jc w:val="center"/>
                  </w:pPr>
                </w:p>
              </w:tc>
              <w:tc>
                <w:tcPr>
                  <w:tcW w:w="573" w:type="pct"/>
                  <w:vMerge w:val="continue"/>
                  <w:vAlign w:val="center"/>
                </w:tcPr>
                <w:p>
                  <w:pPr>
                    <w:widowControl/>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Align w:val="center"/>
                </w:tcPr>
                <w:p>
                  <w:pPr>
                    <w:adjustRightInd w:val="0"/>
                    <w:snapToGrid w:val="0"/>
                    <w:jc w:val="center"/>
                  </w:pPr>
                  <w:r>
                    <w:t>北厂界</w:t>
                  </w:r>
                </w:p>
              </w:tc>
              <w:tc>
                <w:tcPr>
                  <w:tcW w:w="705" w:type="pct"/>
                  <w:vAlign w:val="center"/>
                </w:tcPr>
                <w:p>
                  <w:pPr>
                    <w:widowControl/>
                    <w:spacing w:before="100" w:beforeAutospacing="1" w:after="100" w:afterAutospacing="1" w:line="288" w:lineRule="auto"/>
                    <w:jc w:val="center"/>
                    <w:rPr>
                      <w:szCs w:val="21"/>
                    </w:rPr>
                  </w:pPr>
                  <w:r>
                    <w:rPr>
                      <w:rFonts w:hint="eastAsia"/>
                      <w:kern w:val="0"/>
                      <w:szCs w:val="21"/>
                    </w:rPr>
                    <w:t>50</w:t>
                  </w:r>
                </w:p>
              </w:tc>
              <w:tc>
                <w:tcPr>
                  <w:tcW w:w="712" w:type="pct"/>
                  <w:vAlign w:val="center"/>
                </w:tcPr>
                <w:p>
                  <w:pPr>
                    <w:widowControl/>
                    <w:spacing w:before="100" w:beforeAutospacing="1" w:after="100" w:afterAutospacing="1" w:line="288" w:lineRule="auto"/>
                    <w:jc w:val="center"/>
                    <w:rPr>
                      <w:szCs w:val="21"/>
                    </w:rPr>
                  </w:pPr>
                  <w:r>
                    <w:rPr>
                      <w:rFonts w:hint="eastAsia"/>
                      <w:kern w:val="0"/>
                      <w:szCs w:val="21"/>
                    </w:rPr>
                    <w:t>43</w:t>
                  </w:r>
                </w:p>
              </w:tc>
              <w:tc>
                <w:tcPr>
                  <w:tcW w:w="627" w:type="pct"/>
                  <w:vAlign w:val="center"/>
                </w:tcPr>
                <w:p>
                  <w:pPr>
                    <w:widowControl/>
                    <w:spacing w:before="100" w:beforeAutospacing="1" w:after="100" w:afterAutospacing="1" w:line="288" w:lineRule="auto"/>
                    <w:jc w:val="center"/>
                    <w:rPr>
                      <w:szCs w:val="21"/>
                    </w:rPr>
                  </w:pPr>
                  <w:r>
                    <w:rPr>
                      <w:rFonts w:hint="eastAsia"/>
                      <w:kern w:val="0"/>
                      <w:szCs w:val="21"/>
                    </w:rPr>
                    <w:t>50</w:t>
                  </w:r>
                </w:p>
              </w:tc>
              <w:tc>
                <w:tcPr>
                  <w:tcW w:w="653" w:type="pct"/>
                  <w:vAlign w:val="center"/>
                </w:tcPr>
                <w:p>
                  <w:pPr>
                    <w:widowControl/>
                    <w:spacing w:before="100" w:beforeAutospacing="1" w:after="100" w:afterAutospacing="1" w:line="288" w:lineRule="auto"/>
                    <w:jc w:val="center"/>
                    <w:rPr>
                      <w:szCs w:val="21"/>
                    </w:rPr>
                  </w:pPr>
                  <w:r>
                    <w:rPr>
                      <w:rFonts w:hint="eastAsia"/>
                      <w:kern w:val="0"/>
                      <w:szCs w:val="21"/>
                    </w:rPr>
                    <w:t>44</w:t>
                  </w:r>
                </w:p>
              </w:tc>
              <w:tc>
                <w:tcPr>
                  <w:tcW w:w="627" w:type="pct"/>
                  <w:vMerge w:val="continue"/>
                  <w:vAlign w:val="center"/>
                </w:tcPr>
                <w:p>
                  <w:pPr>
                    <w:widowControl/>
                    <w:jc w:val="center"/>
                  </w:pPr>
                </w:p>
              </w:tc>
              <w:tc>
                <w:tcPr>
                  <w:tcW w:w="573" w:type="pct"/>
                  <w:vMerge w:val="continue"/>
                  <w:vAlign w:val="center"/>
                </w:tcPr>
                <w:p>
                  <w:pPr>
                    <w:widowControl/>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1" w:type="pct"/>
                  <w:vAlign w:val="center"/>
                </w:tcPr>
                <w:p>
                  <w:pPr>
                    <w:adjustRightInd w:val="0"/>
                    <w:snapToGrid w:val="0"/>
                    <w:jc w:val="center"/>
                  </w:pPr>
                  <w:r>
                    <w:t>项目区</w:t>
                  </w:r>
                  <w:r>
                    <w:rPr>
                      <w:rFonts w:hint="eastAsia"/>
                    </w:rPr>
                    <w:t>西</w:t>
                  </w:r>
                  <w:r>
                    <w:t>侧</w:t>
                  </w:r>
                  <w:r>
                    <w:rPr>
                      <w:rFonts w:hint="eastAsia"/>
                    </w:rPr>
                    <w:t>居民点</w:t>
                  </w:r>
                </w:p>
              </w:tc>
              <w:tc>
                <w:tcPr>
                  <w:tcW w:w="705" w:type="pct"/>
                  <w:vAlign w:val="center"/>
                </w:tcPr>
                <w:p>
                  <w:pPr>
                    <w:widowControl/>
                    <w:spacing w:before="100" w:beforeAutospacing="1" w:after="100" w:afterAutospacing="1" w:line="288" w:lineRule="auto"/>
                    <w:jc w:val="center"/>
                    <w:rPr>
                      <w:szCs w:val="21"/>
                    </w:rPr>
                  </w:pPr>
                  <w:r>
                    <w:rPr>
                      <w:rFonts w:hint="eastAsia"/>
                      <w:kern w:val="0"/>
                      <w:szCs w:val="21"/>
                    </w:rPr>
                    <w:t>52</w:t>
                  </w:r>
                </w:p>
              </w:tc>
              <w:tc>
                <w:tcPr>
                  <w:tcW w:w="712" w:type="pct"/>
                  <w:vAlign w:val="center"/>
                </w:tcPr>
                <w:p>
                  <w:pPr>
                    <w:widowControl/>
                    <w:spacing w:before="100" w:beforeAutospacing="1" w:after="100" w:afterAutospacing="1" w:line="288" w:lineRule="auto"/>
                    <w:jc w:val="center"/>
                    <w:rPr>
                      <w:szCs w:val="21"/>
                    </w:rPr>
                  </w:pPr>
                  <w:r>
                    <w:rPr>
                      <w:rFonts w:hint="eastAsia"/>
                      <w:kern w:val="0"/>
                      <w:szCs w:val="21"/>
                    </w:rPr>
                    <w:t>43</w:t>
                  </w:r>
                </w:p>
              </w:tc>
              <w:tc>
                <w:tcPr>
                  <w:tcW w:w="627" w:type="pct"/>
                  <w:vAlign w:val="center"/>
                </w:tcPr>
                <w:p>
                  <w:pPr>
                    <w:widowControl/>
                    <w:spacing w:before="100" w:beforeAutospacing="1" w:after="100" w:afterAutospacing="1" w:line="288" w:lineRule="auto"/>
                    <w:jc w:val="center"/>
                    <w:rPr>
                      <w:szCs w:val="21"/>
                    </w:rPr>
                  </w:pPr>
                  <w:r>
                    <w:rPr>
                      <w:rFonts w:hint="eastAsia"/>
                      <w:kern w:val="0"/>
                      <w:szCs w:val="21"/>
                    </w:rPr>
                    <w:t>52</w:t>
                  </w:r>
                </w:p>
              </w:tc>
              <w:tc>
                <w:tcPr>
                  <w:tcW w:w="653" w:type="pct"/>
                  <w:vAlign w:val="center"/>
                </w:tcPr>
                <w:p>
                  <w:pPr>
                    <w:widowControl/>
                    <w:spacing w:before="100" w:beforeAutospacing="1" w:after="100" w:afterAutospacing="1" w:line="288" w:lineRule="auto"/>
                    <w:jc w:val="center"/>
                    <w:rPr>
                      <w:szCs w:val="21"/>
                    </w:rPr>
                  </w:pPr>
                  <w:r>
                    <w:rPr>
                      <w:rFonts w:hint="eastAsia"/>
                      <w:kern w:val="0"/>
                      <w:szCs w:val="21"/>
                    </w:rPr>
                    <w:t>44</w:t>
                  </w:r>
                </w:p>
              </w:tc>
              <w:tc>
                <w:tcPr>
                  <w:tcW w:w="627" w:type="pct"/>
                  <w:vMerge w:val="continue"/>
                  <w:vAlign w:val="center"/>
                </w:tcPr>
                <w:p>
                  <w:pPr>
                    <w:widowControl/>
                    <w:jc w:val="center"/>
                  </w:pPr>
                </w:p>
              </w:tc>
              <w:tc>
                <w:tcPr>
                  <w:tcW w:w="573" w:type="pct"/>
                  <w:vMerge w:val="continue"/>
                  <w:vAlign w:val="center"/>
                </w:tcPr>
                <w:p>
                  <w:pPr>
                    <w:widowControl/>
                    <w:jc w:val="center"/>
                  </w:pPr>
                </w:p>
              </w:tc>
            </w:tr>
          </w:tbl>
          <w:p>
            <w:pPr>
              <w:spacing w:line="360" w:lineRule="auto"/>
              <w:ind w:firstLine="480" w:firstLineChars="200"/>
              <w:rPr>
                <w:sz w:val="24"/>
              </w:rPr>
            </w:pPr>
            <w:r>
              <w:rPr>
                <w:sz w:val="24"/>
              </w:rPr>
              <w:t>由上表监测结果可以看出：项目各厂界噪声及项目区</w:t>
            </w:r>
            <w:r>
              <w:rPr>
                <w:rFonts w:hint="eastAsia"/>
                <w:sz w:val="24"/>
              </w:rPr>
              <w:t>西</w:t>
            </w:r>
            <w:r>
              <w:rPr>
                <w:sz w:val="24"/>
              </w:rPr>
              <w:t>侧敏感点均符合《声环境质量标准》（GB3096-2008）2类标准</w:t>
            </w:r>
            <w:r>
              <w:rPr>
                <w:rFonts w:hint="eastAsia"/>
                <w:sz w:val="24"/>
              </w:rPr>
              <w:t>。</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9" w:hRule="atLeast"/>
        </w:trPr>
        <w:tc>
          <w:tcPr>
            <w:tcW w:w="9286" w:type="dxa"/>
            <w:tcBorders>
              <w:top w:val="single" w:color="auto" w:sz="12" w:space="0"/>
              <w:left w:val="single" w:color="auto" w:sz="12" w:space="0"/>
              <w:bottom w:val="single" w:color="auto" w:sz="12" w:space="0"/>
              <w:right w:val="single" w:color="auto" w:sz="12" w:space="0"/>
            </w:tcBorders>
          </w:tcPr>
          <w:p>
            <w:pPr>
              <w:spacing w:line="360" w:lineRule="auto"/>
              <w:rPr>
                <w:b/>
                <w:sz w:val="28"/>
                <w:szCs w:val="28"/>
              </w:rPr>
            </w:pPr>
            <w:r>
              <w:rPr>
                <w:b/>
                <w:sz w:val="28"/>
                <w:szCs w:val="28"/>
              </w:rPr>
              <w:t>主要环境保护目标（列出，名单及保护级别）：</w:t>
            </w:r>
          </w:p>
          <w:p>
            <w:pPr>
              <w:spacing w:line="360" w:lineRule="auto"/>
              <w:ind w:firstLine="480" w:firstLineChars="200"/>
              <w:rPr>
                <w:sz w:val="24"/>
              </w:rPr>
            </w:pPr>
            <w:r>
              <w:rPr>
                <w:sz w:val="24"/>
              </w:rPr>
              <w:t>根据现场调查，项目周围无自然保护区、文物古迹、景观等环境敏感点，附近区域内无天然分布的珍稀濒危动植物资源。</w:t>
            </w:r>
          </w:p>
          <w:p>
            <w:pPr>
              <w:spacing w:line="360" w:lineRule="auto"/>
              <w:ind w:firstLine="480" w:firstLineChars="200"/>
              <w:rPr>
                <w:sz w:val="24"/>
              </w:rPr>
            </w:pPr>
            <w:r>
              <w:rPr>
                <w:sz w:val="24"/>
              </w:rPr>
              <w:t>主要环境保护目标及保护级别为：</w:t>
            </w:r>
          </w:p>
          <w:p>
            <w:pPr>
              <w:jc w:val="center"/>
              <w:rPr>
                <w:b/>
                <w:szCs w:val="21"/>
              </w:rPr>
            </w:pPr>
            <w:r>
              <w:rPr>
                <w:b/>
                <w:szCs w:val="21"/>
              </w:rPr>
              <w:t>表</w:t>
            </w:r>
            <w:r>
              <w:rPr>
                <w:rFonts w:hint="eastAsia"/>
                <w:b/>
                <w:szCs w:val="21"/>
              </w:rPr>
              <w:t>14</w:t>
            </w:r>
            <w:r>
              <w:rPr>
                <w:b/>
                <w:szCs w:val="21"/>
              </w:rPr>
              <w:t xml:space="preserve"> </w:t>
            </w:r>
            <w:r>
              <w:rPr>
                <w:rFonts w:hint="eastAsia"/>
                <w:b/>
                <w:szCs w:val="21"/>
              </w:rPr>
              <w:t xml:space="preserve">  </w:t>
            </w:r>
            <w:r>
              <w:rPr>
                <w:b/>
                <w:szCs w:val="21"/>
              </w:rPr>
              <w:t>主要环境保护目标</w:t>
            </w:r>
          </w:p>
          <w:tbl>
            <w:tblPr>
              <w:tblStyle w:val="19"/>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95"/>
              <w:gridCol w:w="1161"/>
              <w:gridCol w:w="1381"/>
              <w:gridCol w:w="591"/>
              <w:gridCol w:w="799"/>
              <w:gridCol w:w="1400"/>
              <w:gridCol w:w="1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22" w:type="pct"/>
                  <w:vMerge w:val="restart"/>
                  <w:vAlign w:val="center"/>
                </w:tcPr>
                <w:p>
                  <w:pPr>
                    <w:adjustRightInd w:val="0"/>
                    <w:snapToGrid w:val="0"/>
                    <w:jc w:val="center"/>
                    <w:rPr>
                      <w:bCs/>
                      <w:szCs w:val="21"/>
                    </w:rPr>
                  </w:pPr>
                  <w:r>
                    <w:rPr>
                      <w:bCs/>
                      <w:szCs w:val="21"/>
                    </w:rPr>
                    <w:t>环境要素</w:t>
                  </w:r>
                </w:p>
              </w:tc>
              <w:tc>
                <w:tcPr>
                  <w:tcW w:w="1358" w:type="pct"/>
                  <w:gridSpan w:val="2"/>
                  <w:vAlign w:val="center"/>
                </w:tcPr>
                <w:p>
                  <w:pPr>
                    <w:adjustRightInd w:val="0"/>
                    <w:snapToGrid w:val="0"/>
                    <w:jc w:val="center"/>
                    <w:rPr>
                      <w:bCs/>
                      <w:szCs w:val="21"/>
                    </w:rPr>
                  </w:pPr>
                  <w:r>
                    <w:rPr>
                      <w:rFonts w:hint="eastAsia"/>
                      <w:bCs/>
                      <w:szCs w:val="21"/>
                    </w:rPr>
                    <w:t>坐标</w:t>
                  </w:r>
                </w:p>
              </w:tc>
              <w:tc>
                <w:tcPr>
                  <w:tcW w:w="764" w:type="pct"/>
                  <w:vMerge w:val="restart"/>
                  <w:vAlign w:val="center"/>
                </w:tcPr>
                <w:p>
                  <w:pPr>
                    <w:adjustRightInd w:val="0"/>
                    <w:snapToGrid w:val="0"/>
                    <w:jc w:val="center"/>
                    <w:rPr>
                      <w:bCs/>
                      <w:szCs w:val="21"/>
                    </w:rPr>
                  </w:pPr>
                  <w:r>
                    <w:rPr>
                      <w:bCs/>
                      <w:szCs w:val="21"/>
                    </w:rPr>
                    <w:t>保护对象</w:t>
                  </w:r>
                </w:p>
              </w:tc>
              <w:tc>
                <w:tcPr>
                  <w:tcW w:w="327" w:type="pct"/>
                  <w:vMerge w:val="restart"/>
                  <w:vAlign w:val="center"/>
                </w:tcPr>
                <w:p>
                  <w:pPr>
                    <w:adjustRightInd w:val="0"/>
                    <w:snapToGrid w:val="0"/>
                    <w:jc w:val="center"/>
                    <w:rPr>
                      <w:bCs/>
                      <w:szCs w:val="21"/>
                    </w:rPr>
                  </w:pPr>
                  <w:r>
                    <w:rPr>
                      <w:bCs/>
                      <w:szCs w:val="21"/>
                    </w:rPr>
                    <w:t>方位</w:t>
                  </w:r>
                </w:p>
              </w:tc>
              <w:tc>
                <w:tcPr>
                  <w:tcW w:w="442" w:type="pct"/>
                  <w:vMerge w:val="restart"/>
                  <w:vAlign w:val="center"/>
                </w:tcPr>
                <w:p>
                  <w:pPr>
                    <w:adjustRightInd w:val="0"/>
                    <w:snapToGrid w:val="0"/>
                    <w:jc w:val="center"/>
                    <w:rPr>
                      <w:bCs/>
                      <w:szCs w:val="21"/>
                    </w:rPr>
                  </w:pPr>
                  <w:r>
                    <w:rPr>
                      <w:bCs/>
                      <w:szCs w:val="21"/>
                    </w:rPr>
                    <w:t>最近距离（m）</w:t>
                  </w:r>
                </w:p>
              </w:tc>
              <w:tc>
                <w:tcPr>
                  <w:tcW w:w="774" w:type="pct"/>
                  <w:vMerge w:val="restart"/>
                  <w:vAlign w:val="center"/>
                </w:tcPr>
                <w:p>
                  <w:pPr>
                    <w:adjustRightInd w:val="0"/>
                    <w:snapToGrid w:val="0"/>
                    <w:jc w:val="center"/>
                    <w:rPr>
                      <w:bCs/>
                      <w:szCs w:val="21"/>
                    </w:rPr>
                  </w:pPr>
                  <w:r>
                    <w:rPr>
                      <w:bCs/>
                      <w:szCs w:val="21"/>
                    </w:rPr>
                    <w:t>规模（户数/人数）</w:t>
                  </w:r>
                </w:p>
              </w:tc>
              <w:tc>
                <w:tcPr>
                  <w:tcW w:w="910" w:type="pct"/>
                  <w:vMerge w:val="restart"/>
                  <w:vAlign w:val="center"/>
                </w:tcPr>
                <w:p>
                  <w:pPr>
                    <w:adjustRightInd w:val="0"/>
                    <w:snapToGrid w:val="0"/>
                    <w:jc w:val="center"/>
                    <w:rPr>
                      <w:bCs/>
                      <w:szCs w:val="21"/>
                    </w:rPr>
                  </w:pPr>
                  <w:r>
                    <w:rPr>
                      <w:bCs/>
                      <w:szCs w:val="21"/>
                    </w:rPr>
                    <w:t>保护级别和控制要求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22" w:type="pct"/>
                  <w:vMerge w:val="continue"/>
                  <w:vAlign w:val="center"/>
                </w:tcPr>
                <w:p>
                  <w:pPr>
                    <w:adjustRightInd w:val="0"/>
                    <w:snapToGrid w:val="0"/>
                    <w:jc w:val="center"/>
                  </w:pPr>
                </w:p>
              </w:tc>
              <w:tc>
                <w:tcPr>
                  <w:tcW w:w="716" w:type="pct"/>
                  <w:vAlign w:val="center"/>
                </w:tcPr>
                <w:p>
                  <w:pPr>
                    <w:adjustRightInd w:val="0"/>
                    <w:snapToGrid w:val="0"/>
                    <w:jc w:val="center"/>
                    <w:rPr>
                      <w:bCs/>
                      <w:szCs w:val="21"/>
                    </w:rPr>
                  </w:pPr>
                  <w:r>
                    <w:rPr>
                      <w:rFonts w:hint="eastAsia"/>
                      <w:bCs/>
                      <w:szCs w:val="21"/>
                    </w:rPr>
                    <w:t>X</w:t>
                  </w:r>
                </w:p>
              </w:tc>
              <w:tc>
                <w:tcPr>
                  <w:tcW w:w="641" w:type="pct"/>
                  <w:vAlign w:val="center"/>
                </w:tcPr>
                <w:p>
                  <w:pPr>
                    <w:adjustRightInd w:val="0"/>
                    <w:snapToGrid w:val="0"/>
                    <w:jc w:val="center"/>
                    <w:rPr>
                      <w:bCs/>
                      <w:szCs w:val="21"/>
                    </w:rPr>
                  </w:pPr>
                  <w:r>
                    <w:rPr>
                      <w:rFonts w:hint="eastAsia"/>
                      <w:bCs/>
                      <w:szCs w:val="21"/>
                    </w:rPr>
                    <w:t>Y</w:t>
                  </w:r>
                </w:p>
              </w:tc>
              <w:tc>
                <w:tcPr>
                  <w:tcW w:w="764" w:type="pct"/>
                  <w:vMerge w:val="continue"/>
                  <w:vAlign w:val="center"/>
                </w:tcPr>
                <w:p>
                  <w:pPr>
                    <w:adjustRightInd w:val="0"/>
                    <w:snapToGrid w:val="0"/>
                    <w:jc w:val="center"/>
                    <w:rPr>
                      <w:bCs/>
                      <w:szCs w:val="21"/>
                    </w:rPr>
                  </w:pPr>
                </w:p>
              </w:tc>
              <w:tc>
                <w:tcPr>
                  <w:tcW w:w="327" w:type="pct"/>
                  <w:vMerge w:val="continue"/>
                  <w:vAlign w:val="center"/>
                </w:tcPr>
                <w:p>
                  <w:pPr>
                    <w:adjustRightInd w:val="0"/>
                    <w:snapToGrid w:val="0"/>
                    <w:jc w:val="center"/>
                    <w:rPr>
                      <w:bCs/>
                      <w:szCs w:val="21"/>
                    </w:rPr>
                  </w:pPr>
                </w:p>
              </w:tc>
              <w:tc>
                <w:tcPr>
                  <w:tcW w:w="442" w:type="pct"/>
                  <w:vMerge w:val="continue"/>
                  <w:vAlign w:val="center"/>
                </w:tcPr>
                <w:p>
                  <w:pPr>
                    <w:adjustRightInd w:val="0"/>
                    <w:snapToGrid w:val="0"/>
                    <w:jc w:val="center"/>
                    <w:rPr>
                      <w:bCs/>
                      <w:szCs w:val="21"/>
                    </w:rPr>
                  </w:pPr>
                </w:p>
              </w:tc>
              <w:tc>
                <w:tcPr>
                  <w:tcW w:w="774" w:type="pct"/>
                  <w:vMerge w:val="continue"/>
                  <w:vAlign w:val="center"/>
                </w:tcPr>
                <w:p>
                  <w:pPr>
                    <w:adjustRightInd w:val="0"/>
                    <w:snapToGrid w:val="0"/>
                    <w:jc w:val="center"/>
                    <w:rPr>
                      <w:bCs/>
                      <w:szCs w:val="21"/>
                    </w:rPr>
                  </w:pPr>
                </w:p>
              </w:tc>
              <w:tc>
                <w:tcPr>
                  <w:tcW w:w="910" w:type="pct"/>
                  <w:vMerge w:val="continue"/>
                  <w:vAlign w:val="center"/>
                </w:tcPr>
                <w:p>
                  <w:pPr>
                    <w:adjustRightInd w:val="0"/>
                    <w:snapToGrid w:val="0"/>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restart"/>
                  <w:vAlign w:val="center"/>
                </w:tcPr>
                <w:p>
                  <w:pPr>
                    <w:adjustRightInd w:val="0"/>
                    <w:snapToGrid w:val="0"/>
                    <w:jc w:val="center"/>
                    <w:rPr>
                      <w:bCs/>
                      <w:szCs w:val="21"/>
                    </w:rPr>
                  </w:pPr>
                  <w:r>
                    <w:rPr>
                      <w:bCs/>
                      <w:szCs w:val="21"/>
                    </w:rPr>
                    <w:t>环境空气</w:t>
                  </w:r>
                </w:p>
              </w:tc>
              <w:tc>
                <w:tcPr>
                  <w:tcW w:w="716" w:type="pct"/>
                  <w:vAlign w:val="center"/>
                </w:tcPr>
                <w:p>
                  <w:pPr>
                    <w:adjustRightInd w:val="0"/>
                    <w:snapToGrid w:val="0"/>
                    <w:jc w:val="center"/>
                    <w:rPr>
                      <w:bCs/>
                      <w:szCs w:val="21"/>
                    </w:rPr>
                  </w:pPr>
                  <w:r>
                    <w:rPr>
                      <w:rFonts w:hint="eastAsia"/>
                      <w:szCs w:val="21"/>
                    </w:rPr>
                    <w:t>108.209324</w:t>
                  </w:r>
                </w:p>
              </w:tc>
              <w:tc>
                <w:tcPr>
                  <w:tcW w:w="641" w:type="pct"/>
                  <w:vAlign w:val="center"/>
                </w:tcPr>
                <w:p>
                  <w:pPr>
                    <w:adjustRightInd w:val="0"/>
                    <w:snapToGrid w:val="0"/>
                    <w:jc w:val="center"/>
                    <w:rPr>
                      <w:bCs/>
                      <w:szCs w:val="21"/>
                    </w:rPr>
                  </w:pPr>
                  <w:r>
                    <w:rPr>
                      <w:rFonts w:hint="eastAsia"/>
                      <w:szCs w:val="21"/>
                    </w:rPr>
                    <w:t>33.053039</w:t>
                  </w:r>
                </w:p>
              </w:tc>
              <w:tc>
                <w:tcPr>
                  <w:tcW w:w="764" w:type="pct"/>
                  <w:vAlign w:val="center"/>
                </w:tcPr>
                <w:p>
                  <w:pPr>
                    <w:adjustRightInd w:val="0"/>
                    <w:snapToGrid w:val="0"/>
                    <w:jc w:val="center"/>
                    <w:rPr>
                      <w:bCs/>
                      <w:szCs w:val="21"/>
                    </w:rPr>
                  </w:pPr>
                  <w:r>
                    <w:rPr>
                      <w:rFonts w:hint="eastAsia"/>
                      <w:bCs/>
                      <w:szCs w:val="21"/>
                    </w:rPr>
                    <w:t>零散住户</w:t>
                  </w:r>
                </w:p>
              </w:tc>
              <w:tc>
                <w:tcPr>
                  <w:tcW w:w="327" w:type="pct"/>
                  <w:vAlign w:val="center"/>
                </w:tcPr>
                <w:p>
                  <w:pPr>
                    <w:adjustRightInd w:val="0"/>
                    <w:snapToGrid w:val="0"/>
                    <w:jc w:val="center"/>
                    <w:rPr>
                      <w:bCs/>
                      <w:szCs w:val="21"/>
                    </w:rPr>
                  </w:pPr>
                  <w:r>
                    <w:rPr>
                      <w:bCs/>
                      <w:szCs w:val="21"/>
                    </w:rPr>
                    <w:t>W</w:t>
                  </w:r>
                </w:p>
              </w:tc>
              <w:tc>
                <w:tcPr>
                  <w:tcW w:w="442" w:type="pct"/>
                  <w:vAlign w:val="center"/>
                </w:tcPr>
                <w:p>
                  <w:pPr>
                    <w:adjustRightInd w:val="0"/>
                    <w:snapToGrid w:val="0"/>
                    <w:jc w:val="center"/>
                    <w:rPr>
                      <w:bCs/>
                      <w:szCs w:val="21"/>
                    </w:rPr>
                  </w:pPr>
                  <w:r>
                    <w:rPr>
                      <w:bCs/>
                      <w:szCs w:val="21"/>
                    </w:rPr>
                    <w:t>112</w:t>
                  </w:r>
                </w:p>
              </w:tc>
              <w:tc>
                <w:tcPr>
                  <w:tcW w:w="774" w:type="pct"/>
                  <w:vAlign w:val="center"/>
                </w:tcPr>
                <w:p>
                  <w:pPr>
                    <w:adjustRightInd w:val="0"/>
                    <w:snapToGrid w:val="0"/>
                    <w:jc w:val="center"/>
                    <w:rPr>
                      <w:bCs/>
                      <w:szCs w:val="21"/>
                    </w:rPr>
                  </w:pPr>
                  <w:r>
                    <w:rPr>
                      <w:rFonts w:hint="eastAsia"/>
                      <w:bCs/>
                      <w:szCs w:val="21"/>
                    </w:rPr>
                    <w:t>6人/2户</w:t>
                  </w:r>
                </w:p>
              </w:tc>
              <w:tc>
                <w:tcPr>
                  <w:tcW w:w="910" w:type="pct"/>
                  <w:vMerge w:val="restart"/>
                  <w:vAlign w:val="center"/>
                </w:tcPr>
                <w:p>
                  <w:pPr>
                    <w:adjustRightInd w:val="0"/>
                    <w:snapToGrid w:val="0"/>
                    <w:jc w:val="center"/>
                    <w:rPr>
                      <w:bCs/>
                      <w:szCs w:val="21"/>
                    </w:rPr>
                  </w:pPr>
                  <w:r>
                    <w:rPr>
                      <w:szCs w:val="21"/>
                    </w:rPr>
                    <w:t>《环境空气质量标准》（GB3096-2012）及其修改单中二级标准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108.224044</w:t>
                  </w:r>
                </w:p>
              </w:tc>
              <w:tc>
                <w:tcPr>
                  <w:tcW w:w="641" w:type="pct"/>
                  <w:vAlign w:val="center"/>
                </w:tcPr>
                <w:p>
                  <w:pPr>
                    <w:adjustRightInd w:val="0"/>
                    <w:snapToGrid w:val="0"/>
                    <w:jc w:val="center"/>
                    <w:rPr>
                      <w:bCs/>
                      <w:szCs w:val="21"/>
                    </w:rPr>
                  </w:pPr>
                  <w:r>
                    <w:rPr>
                      <w:rFonts w:hint="eastAsia"/>
                      <w:bCs/>
                      <w:szCs w:val="21"/>
                    </w:rPr>
                    <w:t>33.053565</w:t>
                  </w:r>
                </w:p>
              </w:tc>
              <w:tc>
                <w:tcPr>
                  <w:tcW w:w="764" w:type="pct"/>
                  <w:vAlign w:val="center"/>
                </w:tcPr>
                <w:p>
                  <w:pPr>
                    <w:adjustRightInd w:val="0"/>
                    <w:snapToGrid w:val="0"/>
                    <w:jc w:val="center"/>
                    <w:rPr>
                      <w:bCs/>
                      <w:szCs w:val="21"/>
                    </w:rPr>
                  </w:pPr>
                  <w:r>
                    <w:rPr>
                      <w:rFonts w:hint="eastAsia"/>
                      <w:bCs/>
                      <w:szCs w:val="21"/>
                    </w:rPr>
                    <w:t>杨家院子</w:t>
                  </w:r>
                </w:p>
              </w:tc>
              <w:tc>
                <w:tcPr>
                  <w:tcW w:w="327" w:type="pct"/>
                  <w:vAlign w:val="center"/>
                </w:tcPr>
                <w:p>
                  <w:pPr>
                    <w:adjustRightInd w:val="0"/>
                    <w:snapToGrid w:val="0"/>
                    <w:jc w:val="center"/>
                    <w:rPr>
                      <w:bCs/>
                      <w:szCs w:val="21"/>
                    </w:rPr>
                  </w:pPr>
                  <w:r>
                    <w:rPr>
                      <w:bCs/>
                      <w:szCs w:val="21"/>
                    </w:rPr>
                    <w:t>E</w:t>
                  </w:r>
                </w:p>
              </w:tc>
              <w:tc>
                <w:tcPr>
                  <w:tcW w:w="442" w:type="pct"/>
                  <w:vAlign w:val="center"/>
                </w:tcPr>
                <w:p>
                  <w:pPr>
                    <w:adjustRightInd w:val="0"/>
                    <w:snapToGrid w:val="0"/>
                    <w:jc w:val="center"/>
                    <w:rPr>
                      <w:bCs/>
                      <w:szCs w:val="21"/>
                    </w:rPr>
                  </w:pPr>
                  <w:r>
                    <w:rPr>
                      <w:bCs/>
                      <w:szCs w:val="21"/>
                    </w:rPr>
                    <w:t>1085</w:t>
                  </w:r>
                </w:p>
              </w:tc>
              <w:tc>
                <w:tcPr>
                  <w:tcW w:w="774" w:type="pct"/>
                  <w:vAlign w:val="center"/>
                </w:tcPr>
                <w:p>
                  <w:pPr>
                    <w:adjustRightInd w:val="0"/>
                    <w:snapToGrid w:val="0"/>
                    <w:jc w:val="center"/>
                    <w:rPr>
                      <w:bCs/>
                      <w:szCs w:val="21"/>
                    </w:rPr>
                  </w:pPr>
                  <w:r>
                    <w:rPr>
                      <w:bCs/>
                      <w:szCs w:val="21"/>
                    </w:rPr>
                    <w:t>32人</w:t>
                  </w:r>
                  <w:r>
                    <w:rPr>
                      <w:rFonts w:hint="eastAsia"/>
                      <w:bCs/>
                      <w:szCs w:val="21"/>
                    </w:rPr>
                    <w:t>/9户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108.228207</w:t>
                  </w:r>
                </w:p>
              </w:tc>
              <w:tc>
                <w:tcPr>
                  <w:tcW w:w="641" w:type="pct"/>
                  <w:vAlign w:val="center"/>
                </w:tcPr>
                <w:p>
                  <w:pPr>
                    <w:adjustRightInd w:val="0"/>
                    <w:snapToGrid w:val="0"/>
                    <w:jc w:val="center"/>
                    <w:rPr>
                      <w:bCs/>
                      <w:szCs w:val="21"/>
                    </w:rPr>
                  </w:pPr>
                  <w:r>
                    <w:rPr>
                      <w:rFonts w:hint="eastAsia"/>
                      <w:bCs/>
                      <w:szCs w:val="21"/>
                    </w:rPr>
                    <w:t>33.053062</w:t>
                  </w:r>
                </w:p>
              </w:tc>
              <w:tc>
                <w:tcPr>
                  <w:tcW w:w="764" w:type="pct"/>
                  <w:vAlign w:val="center"/>
                </w:tcPr>
                <w:p>
                  <w:pPr>
                    <w:adjustRightInd w:val="0"/>
                    <w:snapToGrid w:val="0"/>
                    <w:jc w:val="center"/>
                    <w:rPr>
                      <w:bCs/>
                      <w:szCs w:val="21"/>
                    </w:rPr>
                  </w:pPr>
                  <w:r>
                    <w:rPr>
                      <w:rFonts w:hint="eastAsia"/>
                      <w:bCs/>
                      <w:szCs w:val="21"/>
                    </w:rPr>
                    <w:t>中坝</w:t>
                  </w:r>
                </w:p>
              </w:tc>
              <w:tc>
                <w:tcPr>
                  <w:tcW w:w="327" w:type="pct"/>
                  <w:vAlign w:val="center"/>
                </w:tcPr>
                <w:p>
                  <w:pPr>
                    <w:adjustRightInd w:val="0"/>
                    <w:snapToGrid w:val="0"/>
                    <w:jc w:val="center"/>
                    <w:rPr>
                      <w:bCs/>
                      <w:szCs w:val="21"/>
                    </w:rPr>
                  </w:pPr>
                  <w:r>
                    <w:rPr>
                      <w:rFonts w:hint="eastAsia"/>
                      <w:bCs/>
                      <w:szCs w:val="21"/>
                    </w:rPr>
                    <w:t>E</w:t>
                  </w:r>
                </w:p>
              </w:tc>
              <w:tc>
                <w:tcPr>
                  <w:tcW w:w="442" w:type="pct"/>
                  <w:vAlign w:val="center"/>
                </w:tcPr>
                <w:p>
                  <w:pPr>
                    <w:adjustRightInd w:val="0"/>
                    <w:snapToGrid w:val="0"/>
                    <w:jc w:val="center"/>
                    <w:rPr>
                      <w:bCs/>
                      <w:szCs w:val="21"/>
                    </w:rPr>
                  </w:pPr>
                  <w:r>
                    <w:rPr>
                      <w:rFonts w:hint="eastAsia"/>
                      <w:bCs/>
                      <w:szCs w:val="21"/>
                    </w:rPr>
                    <w:t>1</w:t>
                  </w:r>
                  <w:r>
                    <w:rPr>
                      <w:bCs/>
                      <w:szCs w:val="21"/>
                    </w:rPr>
                    <w:t>641</w:t>
                  </w:r>
                </w:p>
              </w:tc>
              <w:tc>
                <w:tcPr>
                  <w:tcW w:w="774" w:type="pct"/>
                  <w:vAlign w:val="center"/>
                </w:tcPr>
                <w:p>
                  <w:pPr>
                    <w:adjustRightInd w:val="0"/>
                    <w:snapToGrid w:val="0"/>
                    <w:jc w:val="center"/>
                    <w:rPr>
                      <w:bCs/>
                      <w:szCs w:val="21"/>
                    </w:rPr>
                  </w:pPr>
                  <w:r>
                    <w:rPr>
                      <w:rFonts w:hint="eastAsia"/>
                      <w:bCs/>
                      <w:szCs w:val="21"/>
                    </w:rPr>
                    <w:t>220人/70户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108.226812</w:t>
                  </w:r>
                </w:p>
              </w:tc>
              <w:tc>
                <w:tcPr>
                  <w:tcW w:w="641" w:type="pct"/>
                  <w:vAlign w:val="center"/>
                </w:tcPr>
                <w:p>
                  <w:pPr>
                    <w:adjustRightInd w:val="0"/>
                    <w:snapToGrid w:val="0"/>
                    <w:jc w:val="center"/>
                    <w:rPr>
                      <w:bCs/>
                      <w:szCs w:val="21"/>
                    </w:rPr>
                  </w:pPr>
                  <w:r>
                    <w:rPr>
                      <w:rFonts w:hint="eastAsia"/>
                      <w:bCs/>
                      <w:szCs w:val="21"/>
                    </w:rPr>
                    <w:t>33.051066</w:t>
                  </w:r>
                </w:p>
              </w:tc>
              <w:tc>
                <w:tcPr>
                  <w:tcW w:w="764" w:type="pct"/>
                  <w:vAlign w:val="center"/>
                </w:tcPr>
                <w:p>
                  <w:pPr>
                    <w:adjustRightInd w:val="0"/>
                    <w:snapToGrid w:val="0"/>
                    <w:jc w:val="center"/>
                    <w:rPr>
                      <w:bCs/>
                      <w:szCs w:val="21"/>
                    </w:rPr>
                  </w:pPr>
                  <w:r>
                    <w:rPr>
                      <w:rFonts w:hint="eastAsia"/>
                      <w:bCs/>
                      <w:szCs w:val="21"/>
                    </w:rPr>
                    <w:t>西沟口</w:t>
                  </w:r>
                </w:p>
              </w:tc>
              <w:tc>
                <w:tcPr>
                  <w:tcW w:w="327" w:type="pct"/>
                  <w:vAlign w:val="center"/>
                </w:tcPr>
                <w:p>
                  <w:pPr>
                    <w:adjustRightInd w:val="0"/>
                    <w:snapToGrid w:val="0"/>
                    <w:jc w:val="center"/>
                    <w:rPr>
                      <w:bCs/>
                      <w:szCs w:val="21"/>
                    </w:rPr>
                  </w:pPr>
                  <w:r>
                    <w:rPr>
                      <w:rFonts w:hint="eastAsia"/>
                      <w:bCs/>
                      <w:szCs w:val="21"/>
                    </w:rPr>
                    <w:t>E</w:t>
                  </w:r>
                  <w:r>
                    <w:rPr>
                      <w:bCs/>
                      <w:szCs w:val="21"/>
                    </w:rPr>
                    <w:t>S</w:t>
                  </w:r>
                </w:p>
              </w:tc>
              <w:tc>
                <w:tcPr>
                  <w:tcW w:w="442" w:type="pct"/>
                  <w:vAlign w:val="center"/>
                </w:tcPr>
                <w:p>
                  <w:pPr>
                    <w:adjustRightInd w:val="0"/>
                    <w:snapToGrid w:val="0"/>
                    <w:jc w:val="center"/>
                    <w:rPr>
                      <w:bCs/>
                      <w:szCs w:val="21"/>
                    </w:rPr>
                  </w:pPr>
                  <w:r>
                    <w:rPr>
                      <w:rFonts w:hint="eastAsia"/>
                      <w:bCs/>
                      <w:szCs w:val="21"/>
                    </w:rPr>
                    <w:t>1</w:t>
                  </w:r>
                  <w:r>
                    <w:rPr>
                      <w:bCs/>
                      <w:szCs w:val="21"/>
                    </w:rPr>
                    <w:t>900</w:t>
                  </w:r>
                </w:p>
              </w:tc>
              <w:tc>
                <w:tcPr>
                  <w:tcW w:w="774" w:type="pct"/>
                  <w:vAlign w:val="center"/>
                </w:tcPr>
                <w:p>
                  <w:pPr>
                    <w:adjustRightInd w:val="0"/>
                    <w:snapToGrid w:val="0"/>
                    <w:jc w:val="center"/>
                    <w:rPr>
                      <w:bCs/>
                      <w:szCs w:val="21"/>
                    </w:rPr>
                  </w:pPr>
                  <w:r>
                    <w:rPr>
                      <w:rFonts w:hint="eastAsia"/>
                      <w:bCs/>
                      <w:szCs w:val="21"/>
                    </w:rPr>
                    <w:t>98人/30户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108.221512</w:t>
                  </w:r>
                </w:p>
              </w:tc>
              <w:tc>
                <w:tcPr>
                  <w:tcW w:w="641" w:type="pct"/>
                  <w:vAlign w:val="center"/>
                </w:tcPr>
                <w:p>
                  <w:pPr>
                    <w:adjustRightInd w:val="0"/>
                    <w:snapToGrid w:val="0"/>
                    <w:jc w:val="center"/>
                    <w:rPr>
                      <w:bCs/>
                      <w:szCs w:val="21"/>
                    </w:rPr>
                  </w:pPr>
                  <w:r>
                    <w:rPr>
                      <w:rFonts w:hint="eastAsia"/>
                      <w:bCs/>
                      <w:szCs w:val="21"/>
                    </w:rPr>
                    <w:t>33.062773</w:t>
                  </w:r>
                </w:p>
              </w:tc>
              <w:tc>
                <w:tcPr>
                  <w:tcW w:w="764" w:type="pct"/>
                  <w:vAlign w:val="center"/>
                </w:tcPr>
                <w:p>
                  <w:pPr>
                    <w:adjustRightInd w:val="0"/>
                    <w:snapToGrid w:val="0"/>
                    <w:jc w:val="center"/>
                    <w:rPr>
                      <w:bCs/>
                      <w:szCs w:val="21"/>
                    </w:rPr>
                  </w:pPr>
                  <w:r>
                    <w:rPr>
                      <w:rFonts w:hint="eastAsia"/>
                      <w:bCs/>
                      <w:szCs w:val="21"/>
                    </w:rPr>
                    <w:t>大柳村</w:t>
                  </w:r>
                </w:p>
              </w:tc>
              <w:tc>
                <w:tcPr>
                  <w:tcW w:w="327" w:type="pct"/>
                  <w:vAlign w:val="center"/>
                </w:tcPr>
                <w:p>
                  <w:pPr>
                    <w:adjustRightInd w:val="0"/>
                    <w:snapToGrid w:val="0"/>
                    <w:jc w:val="center"/>
                    <w:rPr>
                      <w:bCs/>
                      <w:szCs w:val="21"/>
                    </w:rPr>
                  </w:pPr>
                  <w:r>
                    <w:rPr>
                      <w:rFonts w:hint="eastAsia"/>
                      <w:bCs/>
                      <w:szCs w:val="21"/>
                    </w:rPr>
                    <w:t>E</w:t>
                  </w:r>
                  <w:r>
                    <w:rPr>
                      <w:bCs/>
                      <w:szCs w:val="21"/>
                    </w:rPr>
                    <w:t>N</w:t>
                  </w:r>
                </w:p>
              </w:tc>
              <w:tc>
                <w:tcPr>
                  <w:tcW w:w="442" w:type="pct"/>
                  <w:vAlign w:val="center"/>
                </w:tcPr>
                <w:p>
                  <w:pPr>
                    <w:adjustRightInd w:val="0"/>
                    <w:snapToGrid w:val="0"/>
                    <w:jc w:val="center"/>
                    <w:rPr>
                      <w:bCs/>
                      <w:szCs w:val="21"/>
                    </w:rPr>
                  </w:pPr>
                  <w:r>
                    <w:rPr>
                      <w:rFonts w:hint="eastAsia"/>
                      <w:bCs/>
                      <w:szCs w:val="21"/>
                    </w:rPr>
                    <w:t>1</w:t>
                  </w:r>
                  <w:r>
                    <w:rPr>
                      <w:bCs/>
                      <w:szCs w:val="21"/>
                    </w:rPr>
                    <w:t>624</w:t>
                  </w:r>
                </w:p>
              </w:tc>
              <w:tc>
                <w:tcPr>
                  <w:tcW w:w="774" w:type="pct"/>
                  <w:vAlign w:val="center"/>
                </w:tcPr>
                <w:p>
                  <w:pPr>
                    <w:adjustRightInd w:val="0"/>
                    <w:snapToGrid w:val="0"/>
                    <w:jc w:val="center"/>
                    <w:rPr>
                      <w:bCs/>
                      <w:szCs w:val="21"/>
                    </w:rPr>
                  </w:pPr>
                  <w:r>
                    <w:rPr>
                      <w:rFonts w:hint="eastAsia"/>
                      <w:bCs/>
                      <w:szCs w:val="21"/>
                    </w:rPr>
                    <w:t>180人/60户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108.209109</w:t>
                  </w:r>
                </w:p>
              </w:tc>
              <w:tc>
                <w:tcPr>
                  <w:tcW w:w="641" w:type="pct"/>
                  <w:vAlign w:val="center"/>
                </w:tcPr>
                <w:p>
                  <w:pPr>
                    <w:adjustRightInd w:val="0"/>
                    <w:snapToGrid w:val="0"/>
                    <w:jc w:val="center"/>
                    <w:rPr>
                      <w:bCs/>
                      <w:szCs w:val="21"/>
                    </w:rPr>
                  </w:pPr>
                  <w:r>
                    <w:rPr>
                      <w:rFonts w:hint="eastAsia"/>
                      <w:bCs/>
                      <w:szCs w:val="21"/>
                    </w:rPr>
                    <w:t>33.069679</w:t>
                  </w:r>
                </w:p>
              </w:tc>
              <w:tc>
                <w:tcPr>
                  <w:tcW w:w="764" w:type="pct"/>
                  <w:vAlign w:val="center"/>
                </w:tcPr>
                <w:p>
                  <w:pPr>
                    <w:adjustRightInd w:val="0"/>
                    <w:snapToGrid w:val="0"/>
                    <w:jc w:val="center"/>
                    <w:rPr>
                      <w:bCs/>
                      <w:szCs w:val="21"/>
                    </w:rPr>
                  </w:pPr>
                  <w:r>
                    <w:rPr>
                      <w:rFonts w:hint="eastAsia"/>
                      <w:bCs/>
                      <w:szCs w:val="21"/>
                    </w:rPr>
                    <w:t>张家塝</w:t>
                  </w:r>
                </w:p>
              </w:tc>
              <w:tc>
                <w:tcPr>
                  <w:tcW w:w="327" w:type="pct"/>
                  <w:vAlign w:val="center"/>
                </w:tcPr>
                <w:p>
                  <w:pPr>
                    <w:adjustRightInd w:val="0"/>
                    <w:snapToGrid w:val="0"/>
                    <w:jc w:val="center"/>
                    <w:rPr>
                      <w:bCs/>
                      <w:szCs w:val="21"/>
                    </w:rPr>
                  </w:pPr>
                  <w:r>
                    <w:rPr>
                      <w:rFonts w:hint="eastAsia"/>
                      <w:bCs/>
                      <w:szCs w:val="21"/>
                    </w:rPr>
                    <w:t>E</w:t>
                  </w:r>
                  <w:r>
                    <w:rPr>
                      <w:bCs/>
                      <w:szCs w:val="21"/>
                    </w:rPr>
                    <w:t>N</w:t>
                  </w:r>
                </w:p>
              </w:tc>
              <w:tc>
                <w:tcPr>
                  <w:tcW w:w="442" w:type="pct"/>
                  <w:vAlign w:val="center"/>
                </w:tcPr>
                <w:p>
                  <w:pPr>
                    <w:adjustRightInd w:val="0"/>
                    <w:snapToGrid w:val="0"/>
                    <w:jc w:val="center"/>
                    <w:rPr>
                      <w:bCs/>
                      <w:szCs w:val="21"/>
                    </w:rPr>
                  </w:pPr>
                  <w:r>
                    <w:rPr>
                      <w:rFonts w:hint="eastAsia"/>
                      <w:bCs/>
                      <w:szCs w:val="21"/>
                    </w:rPr>
                    <w:t>1</w:t>
                  </w:r>
                  <w:r>
                    <w:rPr>
                      <w:bCs/>
                      <w:szCs w:val="21"/>
                    </w:rPr>
                    <w:t>633</w:t>
                  </w:r>
                </w:p>
              </w:tc>
              <w:tc>
                <w:tcPr>
                  <w:tcW w:w="774" w:type="pct"/>
                  <w:vAlign w:val="center"/>
                </w:tcPr>
                <w:p>
                  <w:pPr>
                    <w:adjustRightInd w:val="0"/>
                    <w:snapToGrid w:val="0"/>
                    <w:jc w:val="center"/>
                    <w:rPr>
                      <w:bCs/>
                      <w:szCs w:val="21"/>
                    </w:rPr>
                  </w:pPr>
                  <w:r>
                    <w:rPr>
                      <w:rFonts w:hint="eastAsia"/>
                      <w:bCs/>
                      <w:szCs w:val="21"/>
                    </w:rPr>
                    <w:t>38人/12户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108.214817</w:t>
                  </w:r>
                </w:p>
              </w:tc>
              <w:tc>
                <w:tcPr>
                  <w:tcW w:w="641" w:type="pct"/>
                  <w:vAlign w:val="center"/>
                </w:tcPr>
                <w:p>
                  <w:pPr>
                    <w:adjustRightInd w:val="0"/>
                    <w:snapToGrid w:val="0"/>
                    <w:jc w:val="center"/>
                    <w:rPr>
                      <w:bCs/>
                      <w:szCs w:val="21"/>
                    </w:rPr>
                  </w:pPr>
                  <w:r>
                    <w:rPr>
                      <w:rFonts w:hint="eastAsia"/>
                      <w:bCs/>
                      <w:szCs w:val="21"/>
                    </w:rPr>
                    <w:t>33.071854</w:t>
                  </w:r>
                </w:p>
              </w:tc>
              <w:tc>
                <w:tcPr>
                  <w:tcW w:w="764" w:type="pct"/>
                  <w:vAlign w:val="center"/>
                </w:tcPr>
                <w:p>
                  <w:pPr>
                    <w:adjustRightInd w:val="0"/>
                    <w:snapToGrid w:val="0"/>
                    <w:jc w:val="center"/>
                    <w:rPr>
                      <w:bCs/>
                      <w:szCs w:val="21"/>
                    </w:rPr>
                  </w:pPr>
                  <w:r>
                    <w:rPr>
                      <w:rFonts w:hint="eastAsia"/>
                      <w:bCs/>
                      <w:szCs w:val="21"/>
                    </w:rPr>
                    <w:t>竹儿湾</w:t>
                  </w:r>
                </w:p>
              </w:tc>
              <w:tc>
                <w:tcPr>
                  <w:tcW w:w="327" w:type="pct"/>
                  <w:vAlign w:val="center"/>
                </w:tcPr>
                <w:p>
                  <w:pPr>
                    <w:adjustRightInd w:val="0"/>
                    <w:snapToGrid w:val="0"/>
                    <w:jc w:val="center"/>
                    <w:rPr>
                      <w:bCs/>
                      <w:szCs w:val="21"/>
                    </w:rPr>
                  </w:pPr>
                  <w:r>
                    <w:rPr>
                      <w:rFonts w:hint="eastAsia"/>
                      <w:bCs/>
                      <w:szCs w:val="21"/>
                    </w:rPr>
                    <w:t>E</w:t>
                  </w:r>
                  <w:r>
                    <w:rPr>
                      <w:bCs/>
                      <w:szCs w:val="21"/>
                    </w:rPr>
                    <w:t>N</w:t>
                  </w:r>
                </w:p>
              </w:tc>
              <w:tc>
                <w:tcPr>
                  <w:tcW w:w="442" w:type="pct"/>
                  <w:vAlign w:val="center"/>
                </w:tcPr>
                <w:p>
                  <w:pPr>
                    <w:adjustRightInd w:val="0"/>
                    <w:snapToGrid w:val="0"/>
                    <w:jc w:val="center"/>
                    <w:rPr>
                      <w:bCs/>
                      <w:szCs w:val="21"/>
                    </w:rPr>
                  </w:pPr>
                  <w:r>
                    <w:rPr>
                      <w:rFonts w:hint="eastAsia"/>
                      <w:bCs/>
                      <w:szCs w:val="21"/>
                    </w:rPr>
                    <w:t>2</w:t>
                  </w:r>
                  <w:r>
                    <w:rPr>
                      <w:bCs/>
                      <w:szCs w:val="21"/>
                    </w:rPr>
                    <w:t>070</w:t>
                  </w:r>
                </w:p>
              </w:tc>
              <w:tc>
                <w:tcPr>
                  <w:tcW w:w="774" w:type="pct"/>
                  <w:vAlign w:val="center"/>
                </w:tcPr>
                <w:p>
                  <w:pPr>
                    <w:adjustRightInd w:val="0"/>
                    <w:snapToGrid w:val="0"/>
                    <w:jc w:val="center"/>
                    <w:rPr>
                      <w:bCs/>
                      <w:szCs w:val="21"/>
                    </w:rPr>
                  </w:pPr>
                  <w:r>
                    <w:rPr>
                      <w:rFonts w:hint="eastAsia"/>
                      <w:bCs/>
                      <w:szCs w:val="21"/>
                    </w:rPr>
                    <w:t>280人/92户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Merge w:val="continue"/>
                  <w:vAlign w:val="center"/>
                </w:tcPr>
                <w:p>
                  <w:pPr>
                    <w:adjustRightInd w:val="0"/>
                    <w:snapToGrid w:val="0"/>
                    <w:jc w:val="center"/>
                    <w:rPr>
                      <w:bCs/>
                      <w:szCs w:val="21"/>
                    </w:rPr>
                  </w:pPr>
                </w:p>
              </w:tc>
              <w:tc>
                <w:tcPr>
                  <w:tcW w:w="716" w:type="pct"/>
                  <w:vAlign w:val="center"/>
                </w:tcPr>
                <w:p>
                  <w:pPr>
                    <w:adjustRightInd w:val="0"/>
                    <w:snapToGrid w:val="0"/>
                    <w:jc w:val="center"/>
                    <w:rPr>
                      <w:bCs/>
                      <w:szCs w:val="21"/>
                    </w:rPr>
                  </w:pPr>
                  <w:r>
                    <w:rPr>
                      <w:rFonts w:hint="eastAsia"/>
                      <w:bCs/>
                      <w:szCs w:val="21"/>
                    </w:rPr>
                    <w:t>108.211684</w:t>
                  </w:r>
                </w:p>
              </w:tc>
              <w:tc>
                <w:tcPr>
                  <w:tcW w:w="641" w:type="pct"/>
                  <w:vAlign w:val="center"/>
                </w:tcPr>
                <w:p>
                  <w:pPr>
                    <w:adjustRightInd w:val="0"/>
                    <w:snapToGrid w:val="0"/>
                    <w:jc w:val="center"/>
                    <w:rPr>
                      <w:bCs/>
                      <w:szCs w:val="21"/>
                    </w:rPr>
                  </w:pPr>
                  <w:r>
                    <w:rPr>
                      <w:rFonts w:hint="eastAsia"/>
                      <w:bCs/>
                      <w:szCs w:val="21"/>
                    </w:rPr>
                    <w:t>33.048655</w:t>
                  </w:r>
                </w:p>
              </w:tc>
              <w:tc>
                <w:tcPr>
                  <w:tcW w:w="764" w:type="pct"/>
                  <w:vAlign w:val="center"/>
                </w:tcPr>
                <w:p>
                  <w:pPr>
                    <w:adjustRightInd w:val="0"/>
                    <w:snapToGrid w:val="0"/>
                    <w:jc w:val="center"/>
                    <w:rPr>
                      <w:bCs/>
                      <w:szCs w:val="21"/>
                    </w:rPr>
                  </w:pPr>
                  <w:r>
                    <w:rPr>
                      <w:rFonts w:hint="eastAsia"/>
                      <w:bCs/>
                      <w:szCs w:val="21"/>
                    </w:rPr>
                    <w:t>红四村</w:t>
                  </w:r>
                </w:p>
              </w:tc>
              <w:tc>
                <w:tcPr>
                  <w:tcW w:w="327" w:type="pct"/>
                  <w:vAlign w:val="center"/>
                </w:tcPr>
                <w:p>
                  <w:pPr>
                    <w:adjustRightInd w:val="0"/>
                    <w:snapToGrid w:val="0"/>
                    <w:jc w:val="center"/>
                    <w:rPr>
                      <w:bCs/>
                      <w:szCs w:val="21"/>
                    </w:rPr>
                  </w:pPr>
                  <w:r>
                    <w:rPr>
                      <w:rFonts w:hint="eastAsia"/>
                      <w:bCs/>
                      <w:szCs w:val="21"/>
                    </w:rPr>
                    <w:t>WS</w:t>
                  </w:r>
                </w:p>
              </w:tc>
              <w:tc>
                <w:tcPr>
                  <w:tcW w:w="442" w:type="pct"/>
                  <w:vAlign w:val="center"/>
                </w:tcPr>
                <w:p>
                  <w:pPr>
                    <w:adjustRightInd w:val="0"/>
                    <w:snapToGrid w:val="0"/>
                    <w:jc w:val="center"/>
                    <w:rPr>
                      <w:bCs/>
                      <w:szCs w:val="21"/>
                    </w:rPr>
                  </w:pPr>
                  <w:r>
                    <w:rPr>
                      <w:rFonts w:hint="eastAsia"/>
                      <w:bCs/>
                      <w:szCs w:val="21"/>
                    </w:rPr>
                    <w:t>561</w:t>
                  </w:r>
                </w:p>
              </w:tc>
              <w:tc>
                <w:tcPr>
                  <w:tcW w:w="774" w:type="pct"/>
                  <w:vAlign w:val="center"/>
                </w:tcPr>
                <w:p>
                  <w:pPr>
                    <w:adjustRightInd w:val="0"/>
                    <w:snapToGrid w:val="0"/>
                    <w:jc w:val="center"/>
                    <w:rPr>
                      <w:bCs/>
                      <w:szCs w:val="21"/>
                    </w:rPr>
                  </w:pPr>
                  <w:r>
                    <w:rPr>
                      <w:rFonts w:hint="eastAsia"/>
                      <w:bCs/>
                      <w:szCs w:val="21"/>
                    </w:rPr>
                    <w:t>24人/8户</w:t>
                  </w:r>
                </w:p>
              </w:tc>
              <w:tc>
                <w:tcPr>
                  <w:tcW w:w="910" w:type="pct"/>
                  <w:vMerge w:val="continue"/>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Align w:val="center"/>
                </w:tcPr>
                <w:p>
                  <w:pPr>
                    <w:adjustRightInd w:val="0"/>
                    <w:snapToGrid w:val="0"/>
                    <w:jc w:val="center"/>
                    <w:rPr>
                      <w:szCs w:val="21"/>
                    </w:rPr>
                  </w:pPr>
                  <w:r>
                    <w:rPr>
                      <w:szCs w:val="21"/>
                    </w:rPr>
                    <w:t>噪声</w:t>
                  </w:r>
                </w:p>
              </w:tc>
              <w:tc>
                <w:tcPr>
                  <w:tcW w:w="716" w:type="pct"/>
                  <w:vAlign w:val="center"/>
                </w:tcPr>
                <w:p>
                  <w:pPr>
                    <w:adjustRightInd w:val="0"/>
                    <w:snapToGrid w:val="0"/>
                    <w:jc w:val="center"/>
                    <w:rPr>
                      <w:szCs w:val="21"/>
                    </w:rPr>
                  </w:pPr>
                  <w:r>
                    <w:rPr>
                      <w:rFonts w:hint="eastAsia"/>
                      <w:szCs w:val="21"/>
                    </w:rPr>
                    <w:t>108.209324</w:t>
                  </w:r>
                </w:p>
              </w:tc>
              <w:tc>
                <w:tcPr>
                  <w:tcW w:w="641" w:type="pct"/>
                  <w:vAlign w:val="center"/>
                </w:tcPr>
                <w:p>
                  <w:pPr>
                    <w:adjustRightInd w:val="0"/>
                    <w:snapToGrid w:val="0"/>
                    <w:jc w:val="center"/>
                    <w:rPr>
                      <w:szCs w:val="21"/>
                    </w:rPr>
                  </w:pPr>
                  <w:r>
                    <w:rPr>
                      <w:rFonts w:hint="eastAsia"/>
                      <w:szCs w:val="21"/>
                    </w:rPr>
                    <w:t>33.053039</w:t>
                  </w:r>
                </w:p>
              </w:tc>
              <w:tc>
                <w:tcPr>
                  <w:tcW w:w="764" w:type="pct"/>
                  <w:vAlign w:val="center"/>
                </w:tcPr>
                <w:p>
                  <w:pPr>
                    <w:adjustRightInd w:val="0"/>
                    <w:snapToGrid w:val="0"/>
                    <w:jc w:val="center"/>
                    <w:rPr>
                      <w:bCs/>
                      <w:szCs w:val="21"/>
                    </w:rPr>
                  </w:pPr>
                  <w:r>
                    <w:rPr>
                      <w:rFonts w:hint="eastAsia"/>
                      <w:bCs/>
                      <w:szCs w:val="21"/>
                    </w:rPr>
                    <w:t>零散住户</w:t>
                  </w:r>
                </w:p>
              </w:tc>
              <w:tc>
                <w:tcPr>
                  <w:tcW w:w="327" w:type="pct"/>
                  <w:vAlign w:val="center"/>
                </w:tcPr>
                <w:p>
                  <w:pPr>
                    <w:adjustRightInd w:val="0"/>
                    <w:snapToGrid w:val="0"/>
                    <w:jc w:val="center"/>
                    <w:rPr>
                      <w:bCs/>
                      <w:szCs w:val="21"/>
                    </w:rPr>
                  </w:pPr>
                  <w:r>
                    <w:rPr>
                      <w:bCs/>
                      <w:szCs w:val="21"/>
                    </w:rPr>
                    <w:t>W</w:t>
                  </w:r>
                </w:p>
              </w:tc>
              <w:tc>
                <w:tcPr>
                  <w:tcW w:w="442" w:type="pct"/>
                  <w:vAlign w:val="center"/>
                </w:tcPr>
                <w:p>
                  <w:pPr>
                    <w:adjustRightInd w:val="0"/>
                    <w:snapToGrid w:val="0"/>
                    <w:jc w:val="center"/>
                    <w:rPr>
                      <w:bCs/>
                      <w:szCs w:val="21"/>
                    </w:rPr>
                  </w:pPr>
                  <w:r>
                    <w:rPr>
                      <w:bCs/>
                      <w:szCs w:val="21"/>
                    </w:rPr>
                    <w:t>112</w:t>
                  </w:r>
                </w:p>
              </w:tc>
              <w:tc>
                <w:tcPr>
                  <w:tcW w:w="774" w:type="pct"/>
                  <w:vAlign w:val="center"/>
                </w:tcPr>
                <w:p>
                  <w:pPr>
                    <w:adjustRightInd w:val="0"/>
                    <w:snapToGrid w:val="0"/>
                    <w:jc w:val="center"/>
                    <w:rPr>
                      <w:bCs/>
                      <w:szCs w:val="21"/>
                    </w:rPr>
                  </w:pPr>
                  <w:r>
                    <w:rPr>
                      <w:rFonts w:hint="eastAsia"/>
                      <w:bCs/>
                      <w:szCs w:val="21"/>
                    </w:rPr>
                    <w:t>6人/2户</w:t>
                  </w:r>
                </w:p>
              </w:tc>
              <w:tc>
                <w:tcPr>
                  <w:tcW w:w="910" w:type="pct"/>
                  <w:vAlign w:val="center"/>
                </w:tcPr>
                <w:p>
                  <w:pPr>
                    <w:adjustRightInd w:val="0"/>
                    <w:snapToGrid w:val="0"/>
                    <w:jc w:val="center"/>
                    <w:rPr>
                      <w:szCs w:val="21"/>
                    </w:rPr>
                  </w:pPr>
                  <w:r>
                    <w:rPr>
                      <w:szCs w:val="21"/>
                    </w:rPr>
                    <w:t>《声环境质量标准》（GB3096-2008）中2类标准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Align w:val="center"/>
                </w:tcPr>
                <w:p>
                  <w:pPr>
                    <w:adjustRightInd w:val="0"/>
                    <w:snapToGrid w:val="0"/>
                    <w:jc w:val="center"/>
                    <w:rPr>
                      <w:szCs w:val="21"/>
                    </w:rPr>
                  </w:pPr>
                  <w:r>
                    <w:rPr>
                      <w:rFonts w:hint="eastAsia"/>
                      <w:szCs w:val="21"/>
                    </w:rPr>
                    <w:t>地表水环境</w:t>
                  </w:r>
                </w:p>
              </w:tc>
              <w:tc>
                <w:tcPr>
                  <w:tcW w:w="2122" w:type="pct"/>
                  <w:gridSpan w:val="3"/>
                  <w:vAlign w:val="center"/>
                </w:tcPr>
                <w:p>
                  <w:pPr>
                    <w:adjustRightInd w:val="0"/>
                    <w:snapToGrid w:val="0"/>
                    <w:jc w:val="center"/>
                    <w:rPr>
                      <w:bCs/>
                      <w:szCs w:val="21"/>
                    </w:rPr>
                  </w:pPr>
                  <w:r>
                    <w:rPr>
                      <w:rFonts w:hint="eastAsia"/>
                      <w:bCs/>
                      <w:color w:val="FF0000"/>
                      <w:szCs w:val="21"/>
                    </w:rPr>
                    <w:t>饶峰河</w:t>
                  </w:r>
                </w:p>
              </w:tc>
              <w:tc>
                <w:tcPr>
                  <w:tcW w:w="327" w:type="pct"/>
                  <w:vAlign w:val="center"/>
                </w:tcPr>
                <w:p>
                  <w:pPr>
                    <w:adjustRightInd w:val="0"/>
                    <w:snapToGrid w:val="0"/>
                    <w:jc w:val="center"/>
                    <w:rPr>
                      <w:bCs/>
                      <w:szCs w:val="21"/>
                    </w:rPr>
                  </w:pPr>
                  <w:r>
                    <w:rPr>
                      <w:rFonts w:hint="eastAsia"/>
                      <w:bCs/>
                      <w:szCs w:val="21"/>
                    </w:rPr>
                    <w:t>E</w:t>
                  </w:r>
                </w:p>
              </w:tc>
              <w:tc>
                <w:tcPr>
                  <w:tcW w:w="442" w:type="pct"/>
                  <w:vAlign w:val="center"/>
                </w:tcPr>
                <w:p>
                  <w:pPr>
                    <w:adjustRightInd w:val="0"/>
                    <w:snapToGrid w:val="0"/>
                    <w:jc w:val="center"/>
                    <w:rPr>
                      <w:bCs/>
                      <w:szCs w:val="21"/>
                    </w:rPr>
                  </w:pPr>
                  <w:r>
                    <w:rPr>
                      <w:rFonts w:hint="eastAsia"/>
                      <w:bCs/>
                      <w:szCs w:val="21"/>
                    </w:rPr>
                    <w:t>2000</w:t>
                  </w:r>
                </w:p>
              </w:tc>
              <w:tc>
                <w:tcPr>
                  <w:tcW w:w="774" w:type="pct"/>
                  <w:vAlign w:val="center"/>
                </w:tcPr>
                <w:p>
                  <w:pPr>
                    <w:adjustRightInd w:val="0"/>
                    <w:snapToGrid w:val="0"/>
                    <w:jc w:val="center"/>
                    <w:rPr>
                      <w:bCs/>
                      <w:szCs w:val="21"/>
                    </w:rPr>
                  </w:pPr>
                  <w:r>
                    <w:rPr>
                      <w:rFonts w:hint="eastAsia"/>
                      <w:bCs/>
                      <w:szCs w:val="21"/>
                    </w:rPr>
                    <w:t>/</w:t>
                  </w:r>
                </w:p>
              </w:tc>
              <w:tc>
                <w:tcPr>
                  <w:tcW w:w="910" w:type="pct"/>
                  <w:vAlign w:val="center"/>
                </w:tcPr>
                <w:p>
                  <w:pPr>
                    <w:adjustRightInd w:val="0"/>
                    <w:snapToGrid w:val="0"/>
                    <w:jc w:val="center"/>
                    <w:rPr>
                      <w:szCs w:val="21"/>
                    </w:rPr>
                  </w:pPr>
                  <w:r>
                    <w:rPr>
                      <w:szCs w:val="21"/>
                    </w:rPr>
                    <w:t>《地表水环境质量标准》(GB3838-2002)中的</w:t>
                  </w:r>
                  <w:r>
                    <w:rPr>
                      <w:rFonts w:hint="eastAsia"/>
                      <w:szCs w:val="21"/>
                    </w:rPr>
                    <w:t>II</w:t>
                  </w:r>
                  <w:r>
                    <w:rPr>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2" w:type="pct"/>
                  <w:vAlign w:val="center"/>
                </w:tcPr>
                <w:p>
                  <w:pPr>
                    <w:adjustRightInd w:val="0"/>
                    <w:snapToGrid w:val="0"/>
                    <w:jc w:val="center"/>
                    <w:rPr>
                      <w:szCs w:val="21"/>
                    </w:rPr>
                  </w:pPr>
                  <w:r>
                    <w:rPr>
                      <w:rFonts w:hint="eastAsia"/>
                      <w:szCs w:val="21"/>
                    </w:rPr>
                    <w:t>土壤</w:t>
                  </w:r>
                </w:p>
              </w:tc>
              <w:tc>
                <w:tcPr>
                  <w:tcW w:w="3666" w:type="pct"/>
                  <w:gridSpan w:val="6"/>
                  <w:vAlign w:val="center"/>
                </w:tcPr>
                <w:p>
                  <w:pPr>
                    <w:adjustRightInd w:val="0"/>
                    <w:snapToGrid w:val="0"/>
                    <w:jc w:val="center"/>
                    <w:rPr>
                      <w:bCs/>
                      <w:szCs w:val="21"/>
                    </w:rPr>
                  </w:pPr>
                  <w:r>
                    <w:rPr>
                      <w:bCs/>
                      <w:szCs w:val="21"/>
                    </w:rPr>
                    <w:t>项目区域</w:t>
                  </w:r>
                </w:p>
              </w:tc>
              <w:tc>
                <w:tcPr>
                  <w:tcW w:w="910" w:type="pct"/>
                  <w:vAlign w:val="center"/>
                </w:tcPr>
                <w:p>
                  <w:pPr>
                    <w:adjustRightInd w:val="0"/>
                    <w:snapToGrid w:val="0"/>
                    <w:jc w:val="center"/>
                    <w:rPr>
                      <w:szCs w:val="21"/>
                    </w:rPr>
                  </w:pPr>
                  <w:r>
                    <w:rPr>
                      <w:rFonts w:hint="eastAsia"/>
                      <w:szCs w:val="21"/>
                    </w:rPr>
                    <w:t>《土壤环境质量 建设用地土壤污染风险管控标准》（GB36600-2018）中的第二类用地标准</w:t>
                  </w:r>
                  <w:r>
                    <w:rPr>
                      <w:szCs w:val="21"/>
                    </w:rPr>
                    <w:t>。</w:t>
                  </w:r>
                </w:p>
              </w:tc>
            </w:tr>
          </w:tbl>
          <w:p>
            <w:pPr>
              <w:spacing w:line="360" w:lineRule="auto"/>
              <w:outlineLvl w:val="1"/>
              <w:rPr>
                <w:b/>
                <w:sz w:val="28"/>
                <w:szCs w:val="28"/>
                <w:highlight w:val="yellow"/>
              </w:rPr>
            </w:pPr>
          </w:p>
          <w:p>
            <w:pPr>
              <w:spacing w:line="360" w:lineRule="auto"/>
              <w:outlineLvl w:val="1"/>
              <w:rPr>
                <w:b/>
                <w:sz w:val="28"/>
                <w:szCs w:val="28"/>
              </w:rPr>
            </w:pPr>
          </w:p>
          <w:p>
            <w:pPr>
              <w:spacing w:line="360" w:lineRule="auto"/>
              <w:outlineLvl w:val="1"/>
              <w:rPr>
                <w:b/>
                <w:sz w:val="28"/>
                <w:szCs w:val="28"/>
              </w:rPr>
            </w:pPr>
          </w:p>
          <w:p>
            <w:pPr>
              <w:spacing w:line="360" w:lineRule="auto"/>
              <w:outlineLvl w:val="1"/>
              <w:rPr>
                <w:b/>
                <w:sz w:val="28"/>
                <w:szCs w:val="28"/>
              </w:rPr>
            </w:pPr>
          </w:p>
          <w:p>
            <w:pPr>
              <w:spacing w:line="360" w:lineRule="auto"/>
              <w:outlineLvl w:val="1"/>
              <w:rPr>
                <w:b/>
                <w:sz w:val="28"/>
                <w:szCs w:val="28"/>
              </w:rPr>
            </w:pPr>
          </w:p>
        </w:tc>
      </w:tr>
    </w:tbl>
    <w:p>
      <w:pPr>
        <w:pStyle w:val="6"/>
        <w:spacing w:after="0" w:line="360" w:lineRule="auto"/>
        <w:rPr>
          <w:b/>
          <w:sz w:val="32"/>
          <w:szCs w:val="32"/>
        </w:rPr>
        <w:sectPr>
          <w:pgSz w:w="11906" w:h="16838"/>
          <w:pgMar w:top="1418" w:right="1418" w:bottom="1418" w:left="1418" w:header="851" w:footer="992" w:gutter="0"/>
          <w:cols w:space="720" w:num="1"/>
          <w:docGrid w:type="linesAndChars" w:linePitch="312" w:charSpace="0"/>
        </w:sectPr>
      </w:pPr>
    </w:p>
    <w:p>
      <w:pPr>
        <w:pStyle w:val="15"/>
        <w:spacing w:before="0" w:after="0" w:line="360" w:lineRule="auto"/>
        <w:jc w:val="left"/>
        <w:rPr>
          <w:rFonts w:ascii="Times New Roman" w:hAnsi="Times New Roman"/>
        </w:rPr>
      </w:pPr>
      <w:r>
        <w:rPr>
          <w:rFonts w:ascii="Times New Roman" w:hAnsi="Times New Roman"/>
        </w:rPr>
        <w:t>评价适用标准</w:t>
      </w:r>
    </w:p>
    <w:tbl>
      <w:tblPr>
        <w:tblStyle w:val="19"/>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817"/>
        <w:gridCol w:w="84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2586" w:hRule="atLeast"/>
        </w:trPr>
        <w:tc>
          <w:tcPr>
            <w:tcW w:w="817" w:type="dxa"/>
            <w:vAlign w:val="center"/>
          </w:tcPr>
          <w:p>
            <w:pPr>
              <w:spacing w:line="192" w:lineRule="auto"/>
              <w:jc w:val="center"/>
              <w:rPr>
                <w:sz w:val="24"/>
              </w:rPr>
            </w:pPr>
            <w:r>
              <w:rPr>
                <w:sz w:val="24"/>
              </w:rPr>
              <w:t>环</w:t>
            </w:r>
          </w:p>
          <w:p>
            <w:pPr>
              <w:spacing w:line="192" w:lineRule="auto"/>
              <w:jc w:val="center"/>
              <w:rPr>
                <w:sz w:val="24"/>
              </w:rPr>
            </w:pPr>
            <w:r>
              <w:rPr>
                <w:sz w:val="24"/>
              </w:rPr>
              <w:t>境</w:t>
            </w:r>
          </w:p>
          <w:p>
            <w:pPr>
              <w:spacing w:line="192" w:lineRule="auto"/>
              <w:jc w:val="center"/>
              <w:rPr>
                <w:sz w:val="24"/>
              </w:rPr>
            </w:pPr>
            <w:r>
              <w:rPr>
                <w:sz w:val="24"/>
              </w:rPr>
              <w:t>质</w:t>
            </w:r>
          </w:p>
          <w:p>
            <w:pPr>
              <w:spacing w:line="192" w:lineRule="auto"/>
              <w:jc w:val="center"/>
              <w:rPr>
                <w:sz w:val="24"/>
              </w:rPr>
            </w:pPr>
            <w:r>
              <w:rPr>
                <w:sz w:val="24"/>
              </w:rPr>
              <w:t>量</w:t>
            </w:r>
          </w:p>
          <w:p>
            <w:pPr>
              <w:spacing w:line="192" w:lineRule="auto"/>
              <w:jc w:val="center"/>
              <w:rPr>
                <w:sz w:val="24"/>
              </w:rPr>
            </w:pPr>
            <w:r>
              <w:rPr>
                <w:sz w:val="24"/>
              </w:rPr>
              <w:t>标</w:t>
            </w:r>
          </w:p>
          <w:p>
            <w:pPr>
              <w:spacing w:line="192" w:lineRule="auto"/>
              <w:jc w:val="center"/>
              <w:rPr>
                <w:sz w:val="24"/>
              </w:rPr>
            </w:pPr>
            <w:r>
              <w:rPr>
                <w:sz w:val="24"/>
              </w:rPr>
              <w:t>准</w:t>
            </w:r>
          </w:p>
        </w:tc>
        <w:tc>
          <w:tcPr>
            <w:tcW w:w="8469" w:type="dxa"/>
            <w:vAlign w:val="center"/>
          </w:tcPr>
          <w:p>
            <w:pPr>
              <w:spacing w:line="360" w:lineRule="auto"/>
              <w:rPr>
                <w:sz w:val="24"/>
              </w:rPr>
            </w:pPr>
            <w:r>
              <w:rPr>
                <w:sz w:val="24"/>
              </w:rPr>
              <w:t>1、环境空气质量标准执行《环境空气质量标准》（GB3095-2012）中二级标准；</w:t>
            </w:r>
          </w:p>
          <w:p>
            <w:pPr>
              <w:spacing w:line="360" w:lineRule="auto"/>
              <w:rPr>
                <w:sz w:val="24"/>
              </w:rPr>
            </w:pPr>
            <w:r>
              <w:rPr>
                <w:rFonts w:hint="eastAsia"/>
                <w:sz w:val="24"/>
              </w:rPr>
              <w:t>2</w:t>
            </w:r>
            <w:r>
              <w:rPr>
                <w:sz w:val="24"/>
              </w:rPr>
              <w:t>、声环境执行《声环境质量标准》（GB3096-2008）中2类标准；</w:t>
            </w:r>
          </w:p>
          <w:p>
            <w:pPr>
              <w:spacing w:line="360" w:lineRule="auto"/>
              <w:rPr>
                <w:sz w:val="24"/>
              </w:rPr>
            </w:pPr>
            <w:r>
              <w:rPr>
                <w:rFonts w:hint="eastAsia"/>
                <w:sz w:val="24"/>
              </w:rPr>
              <w:t>3</w:t>
            </w:r>
            <w:r>
              <w:rPr>
                <w:sz w:val="24"/>
              </w:rPr>
              <w:t>、</w:t>
            </w:r>
            <w:r>
              <w:rPr>
                <w:rFonts w:hint="eastAsia"/>
                <w:sz w:val="24"/>
              </w:rPr>
              <w:t>土壤</w:t>
            </w:r>
            <w:r>
              <w:rPr>
                <w:sz w:val="24"/>
              </w:rPr>
              <w:t>环境执行</w:t>
            </w:r>
            <w:r>
              <w:rPr>
                <w:rFonts w:hint="eastAsia"/>
                <w:sz w:val="24"/>
              </w:rPr>
              <w:t>《土壤环境质量 建设用地土壤污染风险管控标准》（GB36600-2018）中的第二类用地标准</w:t>
            </w:r>
            <w:r>
              <w:rPr>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6770" w:hRule="atLeast"/>
        </w:trPr>
        <w:tc>
          <w:tcPr>
            <w:tcW w:w="817" w:type="dxa"/>
            <w:vAlign w:val="center"/>
          </w:tcPr>
          <w:p>
            <w:pPr>
              <w:spacing w:line="192" w:lineRule="auto"/>
              <w:jc w:val="center"/>
              <w:rPr>
                <w:sz w:val="24"/>
              </w:rPr>
            </w:pPr>
            <w:r>
              <w:rPr>
                <w:sz w:val="24"/>
              </w:rPr>
              <w:t>污</w:t>
            </w:r>
          </w:p>
          <w:p>
            <w:pPr>
              <w:spacing w:line="192" w:lineRule="auto"/>
              <w:jc w:val="center"/>
              <w:rPr>
                <w:sz w:val="24"/>
              </w:rPr>
            </w:pPr>
            <w:r>
              <w:rPr>
                <w:sz w:val="24"/>
              </w:rPr>
              <w:t>染</w:t>
            </w:r>
          </w:p>
          <w:p>
            <w:pPr>
              <w:spacing w:line="192" w:lineRule="auto"/>
              <w:jc w:val="center"/>
              <w:rPr>
                <w:sz w:val="24"/>
              </w:rPr>
            </w:pPr>
            <w:r>
              <w:rPr>
                <w:sz w:val="24"/>
              </w:rPr>
              <w:t>物</w:t>
            </w:r>
          </w:p>
          <w:p>
            <w:pPr>
              <w:spacing w:line="192" w:lineRule="auto"/>
              <w:jc w:val="center"/>
              <w:rPr>
                <w:sz w:val="24"/>
              </w:rPr>
            </w:pPr>
            <w:r>
              <w:rPr>
                <w:sz w:val="24"/>
              </w:rPr>
              <w:t>排</w:t>
            </w:r>
          </w:p>
          <w:p>
            <w:pPr>
              <w:spacing w:line="192" w:lineRule="auto"/>
              <w:jc w:val="center"/>
              <w:rPr>
                <w:sz w:val="24"/>
              </w:rPr>
            </w:pPr>
            <w:r>
              <w:rPr>
                <w:sz w:val="24"/>
              </w:rPr>
              <w:t>放</w:t>
            </w:r>
          </w:p>
          <w:p>
            <w:pPr>
              <w:spacing w:line="192" w:lineRule="auto"/>
              <w:jc w:val="center"/>
              <w:rPr>
                <w:sz w:val="24"/>
              </w:rPr>
            </w:pPr>
            <w:r>
              <w:rPr>
                <w:sz w:val="24"/>
              </w:rPr>
              <w:t>标</w:t>
            </w:r>
          </w:p>
          <w:p>
            <w:pPr>
              <w:spacing w:line="192" w:lineRule="auto"/>
              <w:jc w:val="center"/>
              <w:rPr>
                <w:sz w:val="24"/>
              </w:rPr>
            </w:pPr>
            <w:r>
              <w:rPr>
                <w:sz w:val="24"/>
              </w:rPr>
              <w:t>准</w:t>
            </w:r>
          </w:p>
        </w:tc>
        <w:tc>
          <w:tcPr>
            <w:tcW w:w="8469" w:type="dxa"/>
          </w:tcPr>
          <w:p>
            <w:pPr>
              <w:spacing w:line="360" w:lineRule="auto"/>
              <w:jc w:val="left"/>
              <w:rPr>
                <w:sz w:val="24"/>
              </w:rPr>
            </w:pPr>
          </w:p>
          <w:p>
            <w:pPr>
              <w:spacing w:line="360" w:lineRule="auto"/>
              <w:jc w:val="left"/>
              <w:rPr>
                <w:bCs/>
                <w:sz w:val="24"/>
              </w:rPr>
            </w:pPr>
            <w:r>
              <w:rPr>
                <w:sz w:val="24"/>
              </w:rPr>
              <w:t>1、施工期大气污染物排放执行《大气污染物综合排放标准》（GB16297-1996）表2中二级标准；</w:t>
            </w:r>
            <w:r>
              <w:rPr>
                <w:kern w:val="18"/>
                <w:sz w:val="24"/>
              </w:rPr>
              <w:t>施工扬尘执行《施工场界扬尘排放限值》（DB61/1078-2017）相关限值；运营期废气执行</w:t>
            </w:r>
            <w:r>
              <w:rPr>
                <w:sz w:val="24"/>
              </w:rPr>
              <w:t>《大气污染物综合排放标准》（GB16297-1996）表2中二级标准；</w:t>
            </w:r>
          </w:p>
          <w:p>
            <w:pPr>
              <w:spacing w:line="360" w:lineRule="auto"/>
              <w:jc w:val="left"/>
              <w:rPr>
                <w:sz w:val="24"/>
              </w:rPr>
            </w:pPr>
            <w:r>
              <w:rPr>
                <w:sz w:val="24"/>
              </w:rPr>
              <w:t>2、废水不外排；</w:t>
            </w:r>
          </w:p>
          <w:p>
            <w:pPr>
              <w:spacing w:line="360" w:lineRule="auto"/>
              <w:rPr>
                <w:sz w:val="24"/>
              </w:rPr>
            </w:pPr>
            <w:r>
              <w:rPr>
                <w:sz w:val="24"/>
              </w:rPr>
              <w:t>3、施工噪声执行《建筑施工场界环境噪声排放标准》（GB12523-2011）中的相应规定；运营期厂界噪声执行《工业企业厂界环境噪声排放标准》（GB12348-2008）中2类标准；</w:t>
            </w:r>
          </w:p>
          <w:p>
            <w:pPr>
              <w:spacing w:line="360" w:lineRule="auto"/>
              <w:jc w:val="left"/>
              <w:rPr>
                <w:sz w:val="24"/>
              </w:rPr>
            </w:pPr>
            <w:r>
              <w:rPr>
                <w:sz w:val="24"/>
              </w:rPr>
              <w:t>4、一般工业固废排放执行《一般工业固体废物贮存、处置场所污染控制标准》（GB18599-2001）及2013修改清单中有关要求；危险废物执行《危险废物贮存污染控制标准》（GB18597-2001）及2013修改清单中有关要求；</w:t>
            </w:r>
          </w:p>
          <w:p>
            <w:pPr>
              <w:spacing w:line="360" w:lineRule="auto"/>
              <w:jc w:val="left"/>
              <w:rPr>
                <w:sz w:val="24"/>
              </w:rPr>
            </w:pPr>
            <w:r>
              <w:rPr>
                <w:sz w:val="24"/>
              </w:rPr>
              <w:t>5、其他按照国家有关规定执行。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3700" w:hRule="atLeast"/>
        </w:trPr>
        <w:tc>
          <w:tcPr>
            <w:tcW w:w="817" w:type="dxa"/>
            <w:vAlign w:val="center"/>
          </w:tcPr>
          <w:p>
            <w:pPr>
              <w:spacing w:line="192" w:lineRule="auto"/>
              <w:jc w:val="center"/>
              <w:rPr>
                <w:sz w:val="24"/>
              </w:rPr>
            </w:pPr>
            <w:r>
              <w:rPr>
                <w:sz w:val="24"/>
              </w:rPr>
              <w:t>总</w:t>
            </w:r>
          </w:p>
          <w:p>
            <w:pPr>
              <w:spacing w:line="192" w:lineRule="auto"/>
              <w:jc w:val="center"/>
              <w:rPr>
                <w:sz w:val="24"/>
              </w:rPr>
            </w:pPr>
            <w:r>
              <w:rPr>
                <w:sz w:val="24"/>
              </w:rPr>
              <w:t>量</w:t>
            </w:r>
          </w:p>
          <w:p>
            <w:pPr>
              <w:spacing w:line="192" w:lineRule="auto"/>
              <w:jc w:val="center"/>
              <w:rPr>
                <w:sz w:val="24"/>
              </w:rPr>
            </w:pPr>
            <w:r>
              <w:rPr>
                <w:sz w:val="24"/>
              </w:rPr>
              <w:t>控</w:t>
            </w:r>
          </w:p>
          <w:p>
            <w:pPr>
              <w:spacing w:line="192" w:lineRule="auto"/>
              <w:jc w:val="center"/>
              <w:rPr>
                <w:sz w:val="24"/>
              </w:rPr>
            </w:pPr>
            <w:r>
              <w:rPr>
                <w:sz w:val="24"/>
              </w:rPr>
              <w:t>制</w:t>
            </w:r>
          </w:p>
          <w:p>
            <w:pPr>
              <w:spacing w:line="192" w:lineRule="auto"/>
              <w:jc w:val="center"/>
              <w:rPr>
                <w:sz w:val="24"/>
              </w:rPr>
            </w:pPr>
            <w:r>
              <w:rPr>
                <w:sz w:val="24"/>
              </w:rPr>
              <w:t>指</w:t>
            </w:r>
          </w:p>
          <w:p>
            <w:pPr>
              <w:spacing w:line="192" w:lineRule="auto"/>
              <w:jc w:val="center"/>
              <w:rPr>
                <w:sz w:val="24"/>
              </w:rPr>
            </w:pPr>
            <w:r>
              <w:rPr>
                <w:sz w:val="24"/>
              </w:rPr>
              <w:t>标</w:t>
            </w:r>
          </w:p>
        </w:tc>
        <w:tc>
          <w:tcPr>
            <w:tcW w:w="8469" w:type="dxa"/>
            <w:vAlign w:val="center"/>
          </w:tcPr>
          <w:p>
            <w:pPr>
              <w:spacing w:line="360" w:lineRule="auto"/>
              <w:jc w:val="center"/>
              <w:rPr>
                <w:sz w:val="24"/>
              </w:rPr>
            </w:pPr>
          </w:p>
          <w:p>
            <w:pPr>
              <w:spacing w:line="360" w:lineRule="auto"/>
              <w:jc w:val="center"/>
              <w:rPr>
                <w:sz w:val="24"/>
              </w:rPr>
            </w:pPr>
          </w:p>
          <w:p>
            <w:pPr>
              <w:spacing w:line="360" w:lineRule="auto"/>
              <w:jc w:val="center"/>
              <w:rPr>
                <w:sz w:val="24"/>
              </w:rPr>
            </w:pPr>
            <w:r>
              <w:rPr>
                <w:sz w:val="24"/>
              </w:rPr>
              <w:t>本项目不申请总量。</w:t>
            </w:r>
          </w:p>
          <w:p>
            <w:pPr>
              <w:spacing w:line="360" w:lineRule="auto"/>
              <w:jc w:val="center"/>
              <w:rPr>
                <w:sz w:val="24"/>
              </w:rPr>
            </w:pPr>
          </w:p>
          <w:p>
            <w:pPr>
              <w:spacing w:line="360" w:lineRule="auto"/>
              <w:jc w:val="center"/>
              <w:rPr>
                <w:sz w:val="24"/>
              </w:rPr>
            </w:pPr>
          </w:p>
          <w:p>
            <w:pPr>
              <w:spacing w:line="360" w:lineRule="auto"/>
              <w:rPr>
                <w:snapToGrid w:val="0"/>
                <w:sz w:val="24"/>
              </w:rPr>
            </w:pPr>
          </w:p>
        </w:tc>
      </w:tr>
    </w:tbl>
    <w:p>
      <w:pPr>
        <w:pStyle w:val="15"/>
        <w:spacing w:before="0" w:after="0" w:line="360" w:lineRule="auto"/>
        <w:jc w:val="left"/>
        <w:rPr>
          <w:rFonts w:ascii="Times New Roman" w:hAnsi="Times New Roman"/>
        </w:rPr>
      </w:pPr>
      <w:r>
        <w:rPr>
          <w:rFonts w:ascii="Times New Roman" w:hAnsi="Times New Roman"/>
        </w:rPr>
        <w:t>建设项目工程分析</w:t>
      </w:r>
    </w:p>
    <w:tbl>
      <w:tblPr>
        <w:tblStyle w:val="19"/>
        <w:tblW w:w="928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09" w:hRule="atLeast"/>
        </w:trPr>
        <w:tc>
          <w:tcPr>
            <w:tcW w:w="9286" w:type="dxa"/>
          </w:tcPr>
          <w:p>
            <w:pPr>
              <w:spacing w:line="360" w:lineRule="auto"/>
              <w:rPr>
                <w:b/>
                <w:bCs/>
                <w:sz w:val="28"/>
                <w:szCs w:val="28"/>
              </w:rPr>
            </w:pPr>
            <w:r>
              <w:rPr>
                <w:b/>
                <w:bCs/>
                <w:sz w:val="28"/>
                <w:szCs w:val="28"/>
              </w:rPr>
              <w:t>主要工程概况</w:t>
            </w:r>
          </w:p>
          <w:p>
            <w:pPr>
              <w:pStyle w:val="32"/>
              <w:spacing w:line="360" w:lineRule="auto"/>
              <w:ind w:firstLineChars="0"/>
              <w:rPr>
                <w:b/>
                <w:sz w:val="24"/>
              </w:rPr>
            </w:pPr>
            <w:r>
              <w:rPr>
                <w:rFonts w:hint="eastAsia"/>
                <w:b/>
                <w:sz w:val="24"/>
              </w:rPr>
              <w:t>一</w:t>
            </w:r>
            <w:r>
              <w:rPr>
                <w:b/>
                <w:sz w:val="24"/>
              </w:rPr>
              <w:t>、施工期</w:t>
            </w:r>
            <w:r>
              <w:rPr>
                <w:rFonts w:hint="eastAsia"/>
                <w:b/>
                <w:sz w:val="24"/>
              </w:rPr>
              <w:t>工艺流程及产物环节分析</w:t>
            </w:r>
          </w:p>
          <w:p>
            <w:pPr>
              <w:pStyle w:val="2"/>
              <w:jc w:val="center"/>
              <w:rPr>
                <w:rFonts w:ascii="Times New Roman" w:hAnsi="Times New Roman" w:eastAsia="宋体"/>
                <w:sz w:val="24"/>
                <w:szCs w:val="24"/>
                <w14:shadow w14:blurRad="50800" w14:dist="50800" w14:dir="5400000" w14:sx="1000" w14:sy="1000" w14:kx="0" w14:ky="0" w14:algn="ctr">
                  <w14:schemeClr w14:val="bg1"/>
                </w14:shadow>
              </w:rPr>
            </w:pPr>
            <w:r>
              <w:drawing>
                <wp:inline distT="0" distB="0" distL="114300" distR="114300">
                  <wp:extent cx="5756910" cy="1398905"/>
                  <wp:effectExtent l="0" t="0" r="15240" b="10795"/>
                  <wp:docPr id="10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
                          <pic:cNvPicPr>
                            <a:picLocks noChangeAspect="1"/>
                          </pic:cNvPicPr>
                        </pic:nvPicPr>
                        <pic:blipFill>
                          <a:blip r:embed="rId7"/>
                          <a:stretch>
                            <a:fillRect/>
                          </a:stretch>
                        </pic:blipFill>
                        <pic:spPr>
                          <a:xfrm>
                            <a:off x="0" y="0"/>
                            <a:ext cx="5756910" cy="1398905"/>
                          </a:xfrm>
                          <a:prstGeom prst="rect">
                            <a:avLst/>
                          </a:prstGeom>
                          <a:noFill/>
                          <a:ln>
                            <a:noFill/>
                          </a:ln>
                        </pic:spPr>
                      </pic:pic>
                    </a:graphicData>
                  </a:graphic>
                </wp:inline>
              </w:drawing>
            </w:r>
          </w:p>
          <w:p>
            <w:pPr>
              <w:jc w:val="center"/>
              <w:rPr>
                <w:b/>
                <w:sz w:val="24"/>
              </w:rPr>
            </w:pPr>
            <w:r>
              <w:rPr>
                <w:b/>
                <w:sz w:val="24"/>
              </w:rPr>
              <w:t>图</w:t>
            </w:r>
            <w:r>
              <w:rPr>
                <w:rFonts w:hint="eastAsia"/>
                <w:b/>
                <w:sz w:val="24"/>
              </w:rPr>
              <w:t>2</w:t>
            </w:r>
            <w:r>
              <w:rPr>
                <w:b/>
                <w:sz w:val="24"/>
              </w:rPr>
              <w:t xml:space="preserve">   施工期工艺流程及产污环节图</w:t>
            </w:r>
          </w:p>
          <w:p>
            <w:pPr>
              <w:pStyle w:val="32"/>
              <w:spacing w:after="312" w:afterLines="100" w:line="360" w:lineRule="auto"/>
              <w:ind w:firstLineChars="0"/>
              <w:rPr>
                <w:b/>
                <w:sz w:val="24"/>
              </w:rPr>
            </w:pPr>
            <w:r>
              <w:rPr>
                <w:rFonts w:hint="eastAsia"/>
                <w:b/>
                <w:sz w:val="24"/>
              </w:rPr>
              <w:t>二、运营期工艺流程及产物环节分析</w:t>
            </w:r>
          </w:p>
          <w:p>
            <w:pPr>
              <w:spacing w:line="360" w:lineRule="auto"/>
              <w:jc w:val="center"/>
              <w:rPr>
                <w:b/>
                <w:bCs/>
                <w:sz w:val="24"/>
              </w:rPr>
            </w:pPr>
            <w:r>
              <w:rPr>
                <w:b/>
                <w:bCs/>
              </w:rPr>
              <mc:AlternateContent>
                <mc:Choice Requires="wpc">
                  <w:drawing>
                    <wp:inline distT="0" distB="0" distL="114300" distR="114300">
                      <wp:extent cx="3160395" cy="2720340"/>
                      <wp:effectExtent l="0" t="5080" r="0" b="0"/>
                      <wp:docPr id="99" name="画布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矩形 49"/>
                              <wps:cNvSpPr/>
                              <wps:spPr>
                                <a:xfrm>
                                  <a:off x="735965" y="97790"/>
                                  <a:ext cx="805180" cy="266065"/>
                                </a:xfrm>
                                <a:prstGeom prst="rect">
                                  <a:avLst/>
                                </a:prstGeom>
                                <a:solidFill>
                                  <a:srgbClr val="FFFFFF"/>
                                </a:solidFill>
                                <a:ln>
                                  <a:noFill/>
                                </a:ln>
                              </wps:spPr>
                              <wps:bodyPr upright="1"/>
                            </wps:wsp>
                            <wps:wsp>
                              <wps:cNvPr id="8" name="矩形 50"/>
                              <wps:cNvSpPr/>
                              <wps:spPr>
                                <a:xfrm>
                                  <a:off x="827405" y="0"/>
                                  <a:ext cx="664845" cy="266065"/>
                                </a:xfrm>
                                <a:prstGeom prst="rect">
                                  <a:avLst/>
                                </a:prstGeom>
                                <a:noFill/>
                                <a:ln w="7620" cap="rnd" cmpd="sng">
                                  <a:solidFill>
                                    <a:srgbClr val="000000"/>
                                  </a:solidFill>
                                  <a:prstDash val="solid"/>
                                  <a:round/>
                                  <a:headEnd type="none" w="med" len="med"/>
                                  <a:tailEnd type="none" w="med" len="med"/>
                                </a:ln>
                              </wps:spPr>
                              <wps:bodyPr upright="1"/>
                            </wps:wsp>
                            <wps:wsp>
                              <wps:cNvPr id="9" name="矩形 51"/>
                              <wps:cNvSpPr/>
                              <wps:spPr>
                                <a:xfrm>
                                  <a:off x="991870" y="49530"/>
                                  <a:ext cx="469265" cy="186690"/>
                                </a:xfrm>
                                <a:prstGeom prst="rect">
                                  <a:avLst/>
                                </a:prstGeom>
                                <a:noFill/>
                                <a:ln>
                                  <a:noFill/>
                                </a:ln>
                              </wps:spPr>
                              <wps:txbx>
                                <w:txbxContent>
                                  <w:p>
                                    <w:r>
                                      <w:rPr>
                                        <w:rFonts w:hint="eastAsia" w:ascii="宋体" w:cs="宋体"/>
                                        <w:color w:val="000000"/>
                                        <w:kern w:val="0"/>
                                        <w:sz w:val="22"/>
                                      </w:rPr>
                                      <w:t>原料</w:t>
                                    </w:r>
                                  </w:p>
                                </w:txbxContent>
                              </wps:txbx>
                              <wps:bodyPr wrap="square" lIns="0" tIns="0" rIns="0" bIns="0">
                                <a:noAutofit/>
                              </wps:bodyPr>
                            </wps:wsp>
                            <wps:wsp>
                              <wps:cNvPr id="10" name="矩形 52"/>
                              <wps:cNvSpPr/>
                              <wps:spPr>
                                <a:xfrm>
                                  <a:off x="876300" y="610235"/>
                                  <a:ext cx="514985" cy="266065"/>
                                </a:xfrm>
                                <a:prstGeom prst="rect">
                                  <a:avLst/>
                                </a:prstGeom>
                                <a:solidFill>
                                  <a:srgbClr val="FFFFFF"/>
                                </a:solidFill>
                                <a:ln>
                                  <a:noFill/>
                                </a:ln>
                              </wps:spPr>
                              <wps:bodyPr upright="1"/>
                            </wps:wsp>
                            <wps:wsp>
                              <wps:cNvPr id="11" name="矩形 53"/>
                              <wps:cNvSpPr/>
                              <wps:spPr>
                                <a:xfrm>
                                  <a:off x="876300" y="610235"/>
                                  <a:ext cx="514985" cy="266065"/>
                                </a:xfrm>
                                <a:prstGeom prst="rect">
                                  <a:avLst/>
                                </a:prstGeom>
                                <a:noFill/>
                                <a:ln w="7620" cap="rnd" cmpd="sng">
                                  <a:solidFill>
                                    <a:srgbClr val="000000"/>
                                  </a:solidFill>
                                  <a:prstDash val="solid"/>
                                  <a:round/>
                                  <a:headEnd type="none" w="med" len="med"/>
                                  <a:tailEnd type="none" w="med" len="med"/>
                                </a:ln>
                              </wps:spPr>
                              <wps:bodyPr upright="1"/>
                            </wps:wsp>
                            <wps:wsp>
                              <wps:cNvPr id="12" name="矩形 54"/>
                              <wps:cNvSpPr/>
                              <wps:spPr>
                                <a:xfrm>
                                  <a:off x="835025" y="653415"/>
                                  <a:ext cx="1038860" cy="210820"/>
                                </a:xfrm>
                                <a:prstGeom prst="rect">
                                  <a:avLst/>
                                </a:prstGeom>
                                <a:noFill/>
                                <a:ln>
                                  <a:noFill/>
                                </a:ln>
                              </wps:spPr>
                              <wps:txbx>
                                <w:txbxContent>
                                  <w:p>
                                    <w:r>
                                      <w:rPr>
                                        <w:rFonts w:hint="eastAsia" w:ascii="宋体" w:cs="宋体"/>
                                        <w:color w:val="000000"/>
                                        <w:kern w:val="0"/>
                                        <w:sz w:val="22"/>
                                      </w:rPr>
                                      <w:t>一次破碎</w:t>
                                    </w:r>
                                  </w:p>
                                </w:txbxContent>
                              </wps:txbx>
                              <wps:bodyPr wrap="square" lIns="0" tIns="0" rIns="0" bIns="0">
                                <a:noAutofit/>
                              </wps:bodyPr>
                            </wps:wsp>
                            <wps:wsp>
                              <wps:cNvPr id="13" name="矩形 55"/>
                              <wps:cNvSpPr/>
                              <wps:spPr>
                                <a:xfrm>
                                  <a:off x="876300" y="1242060"/>
                                  <a:ext cx="514985" cy="266065"/>
                                </a:xfrm>
                                <a:prstGeom prst="rect">
                                  <a:avLst/>
                                </a:prstGeom>
                                <a:solidFill>
                                  <a:srgbClr val="FFFFFF"/>
                                </a:solidFill>
                                <a:ln>
                                  <a:noFill/>
                                </a:ln>
                              </wps:spPr>
                              <wps:bodyPr upright="1"/>
                            </wps:wsp>
                            <wps:wsp>
                              <wps:cNvPr id="14" name="矩形 56"/>
                              <wps:cNvSpPr/>
                              <wps:spPr>
                                <a:xfrm>
                                  <a:off x="876300" y="1242060"/>
                                  <a:ext cx="514985" cy="266065"/>
                                </a:xfrm>
                                <a:prstGeom prst="rect">
                                  <a:avLst/>
                                </a:prstGeom>
                                <a:noFill/>
                                <a:ln w="7620" cap="rnd" cmpd="sng">
                                  <a:solidFill>
                                    <a:srgbClr val="000000"/>
                                  </a:solidFill>
                                  <a:prstDash val="solid"/>
                                  <a:round/>
                                  <a:headEnd type="none" w="med" len="med"/>
                                  <a:tailEnd type="none" w="med" len="med"/>
                                </a:ln>
                              </wps:spPr>
                              <wps:bodyPr upright="1"/>
                            </wps:wsp>
                            <wps:wsp>
                              <wps:cNvPr id="15" name="矩形 57"/>
                              <wps:cNvSpPr/>
                              <wps:spPr>
                                <a:xfrm>
                                  <a:off x="762000" y="1266825"/>
                                  <a:ext cx="722630" cy="207645"/>
                                </a:xfrm>
                                <a:prstGeom prst="rect">
                                  <a:avLst/>
                                </a:prstGeom>
                                <a:noFill/>
                                <a:ln>
                                  <a:noFill/>
                                </a:ln>
                              </wps:spPr>
                              <wps:txbx>
                                <w:txbxContent>
                                  <w:p>
                                    <w:pPr>
                                      <w:jc w:val="center"/>
                                    </w:pPr>
                                    <w:r>
                                      <w:rPr>
                                        <w:rFonts w:hint="eastAsia" w:ascii="宋体" w:cs="宋体"/>
                                        <w:color w:val="000000"/>
                                        <w:kern w:val="0"/>
                                        <w:sz w:val="22"/>
                                      </w:rPr>
                                      <w:t>二次破碎</w:t>
                                    </w:r>
                                  </w:p>
                                </w:txbxContent>
                              </wps:txbx>
                              <wps:bodyPr wrap="square" lIns="0" tIns="0" rIns="0" bIns="0">
                                <a:noAutofit/>
                              </wps:bodyPr>
                            </wps:wsp>
                            <wps:wsp>
                              <wps:cNvPr id="16" name="矩形 58"/>
                              <wps:cNvSpPr/>
                              <wps:spPr>
                                <a:xfrm>
                                  <a:off x="1774825" y="1809750"/>
                                  <a:ext cx="594360" cy="266065"/>
                                </a:xfrm>
                                <a:prstGeom prst="rect">
                                  <a:avLst/>
                                </a:prstGeom>
                                <a:solidFill>
                                  <a:srgbClr val="FFFFFF"/>
                                </a:solidFill>
                                <a:ln>
                                  <a:noFill/>
                                </a:ln>
                              </wps:spPr>
                              <wps:bodyPr upright="1"/>
                            </wps:wsp>
                            <wps:wsp>
                              <wps:cNvPr id="17" name="矩形 59"/>
                              <wps:cNvSpPr/>
                              <wps:spPr>
                                <a:xfrm>
                                  <a:off x="841375" y="1781175"/>
                                  <a:ext cx="594360" cy="266065"/>
                                </a:xfrm>
                                <a:prstGeom prst="rect">
                                  <a:avLst/>
                                </a:prstGeom>
                                <a:noFill/>
                                <a:ln w="7620" cap="rnd" cmpd="sng">
                                  <a:solidFill>
                                    <a:srgbClr val="000000"/>
                                  </a:solidFill>
                                  <a:prstDash val="solid"/>
                                  <a:round/>
                                  <a:headEnd type="none" w="med" len="med"/>
                                  <a:tailEnd type="none" w="med" len="med"/>
                                </a:ln>
                              </wps:spPr>
                              <wps:bodyPr upright="1"/>
                            </wps:wsp>
                            <wps:wsp>
                              <wps:cNvPr id="18" name="矩形 60"/>
                              <wps:cNvSpPr/>
                              <wps:spPr>
                                <a:xfrm>
                                  <a:off x="995045" y="1808480"/>
                                  <a:ext cx="279400" cy="198120"/>
                                </a:xfrm>
                                <a:prstGeom prst="rect">
                                  <a:avLst/>
                                </a:prstGeom>
                                <a:noFill/>
                                <a:ln>
                                  <a:noFill/>
                                </a:ln>
                              </wps:spPr>
                              <wps:txbx>
                                <w:txbxContent>
                                  <w:p>
                                    <w:pPr>
                                      <w:jc w:val="center"/>
                                    </w:pPr>
                                    <w:r>
                                      <w:rPr>
                                        <w:rFonts w:hint="eastAsia" w:ascii="宋体" w:cs="宋体"/>
                                        <w:color w:val="000000"/>
                                        <w:kern w:val="0"/>
                                        <w:sz w:val="22"/>
                                      </w:rPr>
                                      <w:t>筛分</w:t>
                                    </w:r>
                                  </w:p>
                                </w:txbxContent>
                              </wps:txbx>
                              <wps:bodyPr wrap="none" lIns="0" tIns="0" rIns="0" bIns="0">
                                <a:spAutoFit/>
                              </wps:bodyPr>
                            </wps:wsp>
                            <wpg:wgp>
                              <wpg:cNvPr id="19" name="组合 153"/>
                              <wpg:cNvGrpSpPr/>
                              <wpg:grpSpPr>
                                <a:xfrm>
                                  <a:off x="1107440" y="277495"/>
                                  <a:ext cx="55880" cy="332740"/>
                                  <a:chOff x="1744" y="437"/>
                                  <a:chExt cx="88" cy="524"/>
                                </a:xfrm>
                              </wpg:grpSpPr>
                              <wps:wsp>
                                <wps:cNvPr id="20" name="直接连接符 64"/>
                                <wps:cNvCnPr/>
                                <wps:spPr>
                                  <a:xfrm flipH="1">
                                    <a:off x="1788" y="437"/>
                                    <a:ext cx="9" cy="384"/>
                                  </a:xfrm>
                                  <a:prstGeom prst="line">
                                    <a:avLst/>
                                  </a:prstGeom>
                                  <a:ln w="7620" cap="rnd" cmpd="sng">
                                    <a:solidFill>
                                      <a:srgbClr val="000000"/>
                                    </a:solidFill>
                                    <a:prstDash val="solid"/>
                                    <a:headEnd type="none" w="med" len="med"/>
                                    <a:tailEnd type="none" w="med" len="med"/>
                                  </a:ln>
                                </wps:spPr>
                                <wps:bodyPr/>
                              </wps:wsp>
                              <wps:wsp>
                                <wps:cNvPr id="21" name="任意多边形 65"/>
                                <wps:cNvSpPr/>
                                <wps:spPr>
                                  <a:xfrm>
                                    <a:off x="1744" y="807"/>
                                    <a:ext cx="88" cy="154"/>
                                  </a:xfrm>
                                  <a:custGeom>
                                    <a:avLst/>
                                    <a:gdLst/>
                                    <a:ahLst/>
                                    <a:cxnLst/>
                                    <a:rect l="0" t="0" r="0" b="0"/>
                                    <a:pathLst>
                                      <a:path w="88" h="154">
                                        <a:moveTo>
                                          <a:pt x="88" y="2"/>
                                        </a:moveTo>
                                        <a:lnTo>
                                          <a:pt x="41" y="154"/>
                                        </a:lnTo>
                                        <a:lnTo>
                                          <a:pt x="0" y="0"/>
                                        </a:lnTo>
                                        <a:lnTo>
                                          <a:pt x="88" y="2"/>
                                        </a:lnTo>
                                        <a:close/>
                                      </a:path>
                                    </a:pathLst>
                                  </a:custGeom>
                                  <a:solidFill>
                                    <a:srgbClr val="000000"/>
                                  </a:solidFill>
                                  <a:ln>
                                    <a:noFill/>
                                  </a:ln>
                                </wps:spPr>
                                <wps:bodyPr upright="1"/>
                              </wps:wsp>
                            </wpg:wgp>
                            <wps:wsp>
                              <wps:cNvPr id="22" name="直接连接符 66"/>
                              <wps:cNvCnPr/>
                              <wps:spPr>
                                <a:xfrm>
                                  <a:off x="1133475" y="876300"/>
                                  <a:ext cx="0" cy="276225"/>
                                </a:xfrm>
                                <a:prstGeom prst="line">
                                  <a:avLst/>
                                </a:prstGeom>
                                <a:ln w="7620" cap="rnd" cmpd="sng">
                                  <a:solidFill>
                                    <a:srgbClr val="000000"/>
                                  </a:solidFill>
                                  <a:prstDash val="solid"/>
                                  <a:headEnd type="none" w="med" len="med"/>
                                  <a:tailEnd type="none" w="med" len="med"/>
                                </a:ln>
                              </wps:spPr>
                              <wps:bodyPr/>
                            </wps:wsp>
                            <wps:wsp>
                              <wps:cNvPr id="23" name="任意多边形 67"/>
                              <wps:cNvSpPr/>
                              <wps:spPr>
                                <a:xfrm>
                                  <a:off x="1105535" y="1144270"/>
                                  <a:ext cx="55880" cy="97790"/>
                                </a:xfrm>
                                <a:custGeom>
                                  <a:avLst/>
                                  <a:gdLst/>
                                  <a:ahLst/>
                                  <a:cxnLst/>
                                  <a:rect l="0" t="0" r="0" b="0"/>
                                  <a:pathLst>
                                    <a:path w="88" h="154">
                                      <a:moveTo>
                                        <a:pt x="88" y="0"/>
                                      </a:moveTo>
                                      <a:lnTo>
                                        <a:pt x="44" y="154"/>
                                      </a:lnTo>
                                      <a:lnTo>
                                        <a:pt x="0" y="0"/>
                                      </a:lnTo>
                                      <a:lnTo>
                                        <a:pt x="88" y="0"/>
                                      </a:lnTo>
                                      <a:close/>
                                    </a:path>
                                  </a:pathLst>
                                </a:custGeom>
                                <a:solidFill>
                                  <a:srgbClr val="000000"/>
                                </a:solidFill>
                                <a:ln>
                                  <a:noFill/>
                                </a:ln>
                              </wps:spPr>
                              <wps:bodyPr upright="1"/>
                            </wps:wsp>
                            <wps:wsp>
                              <wps:cNvPr id="24" name="任意多边形 77"/>
                              <wps:cNvSpPr/>
                              <wps:spPr>
                                <a:xfrm>
                                  <a:off x="636905" y="738505"/>
                                  <a:ext cx="243205" cy="8890"/>
                                </a:xfrm>
                                <a:custGeom>
                                  <a:avLst/>
                                  <a:gdLst/>
                                  <a:ahLst/>
                                  <a:cxnLst/>
                                  <a:rect l="0" t="0" r="0" b="0"/>
                                  <a:pathLst>
                                    <a:path w="513" h="16">
                                      <a:moveTo>
                                        <a:pt x="505" y="16"/>
                                      </a:moveTo>
                                      <a:lnTo>
                                        <a:pt x="392" y="16"/>
                                      </a:lnTo>
                                      <a:cubicBezTo>
                                        <a:pt x="388" y="16"/>
                                        <a:pt x="384" y="12"/>
                                        <a:pt x="384" y="8"/>
                                      </a:cubicBezTo>
                                      <a:cubicBezTo>
                                        <a:pt x="384" y="4"/>
                                        <a:pt x="388" y="0"/>
                                        <a:pt x="392" y="0"/>
                                      </a:cubicBezTo>
                                      <a:lnTo>
                                        <a:pt x="505" y="0"/>
                                      </a:lnTo>
                                      <a:cubicBezTo>
                                        <a:pt x="509" y="0"/>
                                        <a:pt x="513" y="4"/>
                                        <a:pt x="513" y="8"/>
                                      </a:cubicBezTo>
                                      <a:cubicBezTo>
                                        <a:pt x="513" y="12"/>
                                        <a:pt x="509" y="16"/>
                                        <a:pt x="505" y="16"/>
                                      </a:cubicBezTo>
                                      <a:close/>
                                      <a:moveTo>
                                        <a:pt x="312" y="16"/>
                                      </a:moveTo>
                                      <a:lnTo>
                                        <a:pt x="200" y="16"/>
                                      </a:lnTo>
                                      <a:cubicBezTo>
                                        <a:pt x="196" y="16"/>
                                        <a:pt x="192" y="12"/>
                                        <a:pt x="192" y="8"/>
                                      </a:cubicBezTo>
                                      <a:cubicBezTo>
                                        <a:pt x="192" y="4"/>
                                        <a:pt x="196" y="0"/>
                                        <a:pt x="200" y="0"/>
                                      </a:cubicBezTo>
                                      <a:lnTo>
                                        <a:pt x="312" y="0"/>
                                      </a:lnTo>
                                      <a:cubicBezTo>
                                        <a:pt x="317" y="0"/>
                                        <a:pt x="320" y="4"/>
                                        <a:pt x="320" y="8"/>
                                      </a:cubicBezTo>
                                      <a:cubicBezTo>
                                        <a:pt x="320" y="12"/>
                                        <a:pt x="317" y="16"/>
                                        <a:pt x="312" y="16"/>
                                      </a:cubicBezTo>
                                      <a:close/>
                                      <a:moveTo>
                                        <a:pt x="120" y="16"/>
                                      </a:moveTo>
                                      <a:lnTo>
                                        <a:pt x="8" y="16"/>
                                      </a:lnTo>
                                      <a:cubicBezTo>
                                        <a:pt x="4" y="16"/>
                                        <a:pt x="0" y="12"/>
                                        <a:pt x="0" y="8"/>
                                      </a:cubicBezTo>
                                      <a:cubicBezTo>
                                        <a:pt x="0" y="4"/>
                                        <a:pt x="4" y="0"/>
                                        <a:pt x="8" y="0"/>
                                      </a:cubicBezTo>
                                      <a:lnTo>
                                        <a:pt x="120" y="0"/>
                                      </a:lnTo>
                                      <a:cubicBezTo>
                                        <a:pt x="125" y="0"/>
                                        <a:pt x="128" y="4"/>
                                        <a:pt x="128" y="8"/>
                                      </a:cubicBezTo>
                                      <a:cubicBezTo>
                                        <a:pt x="128" y="12"/>
                                        <a:pt x="125" y="16"/>
                                        <a:pt x="120" y="16"/>
                                      </a:cubicBezTo>
                                      <a:close/>
                                    </a:path>
                                  </a:pathLst>
                                </a:custGeom>
                                <a:solidFill>
                                  <a:srgbClr val="000000"/>
                                </a:solidFill>
                                <a:ln w="635" cap="flat" cmpd="sng">
                                  <a:solidFill>
                                    <a:srgbClr val="000000"/>
                                  </a:solidFill>
                                  <a:prstDash val="solid"/>
                                  <a:headEnd type="none" w="med" len="med"/>
                                  <a:tailEnd type="none" w="med" len="med"/>
                                </a:ln>
                              </wps:spPr>
                              <wps:bodyPr upright="1"/>
                            </wps:wsp>
                            <wps:wsp>
                              <wps:cNvPr id="25" name="任意多边形 78"/>
                              <wps:cNvSpPr/>
                              <wps:spPr>
                                <a:xfrm>
                                  <a:off x="560705" y="710565"/>
                                  <a:ext cx="83820" cy="64770"/>
                                </a:xfrm>
                                <a:custGeom>
                                  <a:avLst/>
                                  <a:gdLst/>
                                  <a:ahLst/>
                                  <a:cxnLst/>
                                  <a:rect l="0" t="0" r="0" b="0"/>
                                  <a:pathLst>
                                    <a:path w="132" h="102">
                                      <a:moveTo>
                                        <a:pt x="132" y="102"/>
                                      </a:moveTo>
                                      <a:lnTo>
                                        <a:pt x="0" y="51"/>
                                      </a:lnTo>
                                      <a:lnTo>
                                        <a:pt x="132" y="0"/>
                                      </a:lnTo>
                                      <a:lnTo>
                                        <a:pt x="132" y="102"/>
                                      </a:lnTo>
                                      <a:close/>
                                    </a:path>
                                  </a:pathLst>
                                </a:custGeom>
                                <a:solidFill>
                                  <a:srgbClr val="000000"/>
                                </a:solidFill>
                                <a:ln>
                                  <a:noFill/>
                                </a:ln>
                              </wps:spPr>
                              <wps:bodyPr upright="1"/>
                            </wps:wsp>
                            <wps:wsp>
                              <wps:cNvPr id="26" name="任意多边形 82"/>
                              <wps:cNvSpPr/>
                              <wps:spPr>
                                <a:xfrm>
                                  <a:off x="636905" y="1370330"/>
                                  <a:ext cx="243205" cy="8890"/>
                                </a:xfrm>
                                <a:custGeom>
                                  <a:avLst/>
                                  <a:gdLst/>
                                  <a:ahLst/>
                                  <a:cxnLst/>
                                  <a:rect l="0" t="0" r="0" b="0"/>
                                  <a:pathLst>
                                    <a:path w="513" h="16">
                                      <a:moveTo>
                                        <a:pt x="505" y="16"/>
                                      </a:moveTo>
                                      <a:lnTo>
                                        <a:pt x="392" y="16"/>
                                      </a:lnTo>
                                      <a:cubicBezTo>
                                        <a:pt x="388" y="16"/>
                                        <a:pt x="384" y="12"/>
                                        <a:pt x="384" y="8"/>
                                      </a:cubicBezTo>
                                      <a:cubicBezTo>
                                        <a:pt x="384" y="4"/>
                                        <a:pt x="388" y="0"/>
                                        <a:pt x="392" y="0"/>
                                      </a:cubicBezTo>
                                      <a:lnTo>
                                        <a:pt x="505" y="0"/>
                                      </a:lnTo>
                                      <a:cubicBezTo>
                                        <a:pt x="509" y="0"/>
                                        <a:pt x="513" y="4"/>
                                        <a:pt x="513" y="8"/>
                                      </a:cubicBezTo>
                                      <a:cubicBezTo>
                                        <a:pt x="513" y="12"/>
                                        <a:pt x="509" y="16"/>
                                        <a:pt x="505" y="16"/>
                                      </a:cubicBezTo>
                                      <a:close/>
                                      <a:moveTo>
                                        <a:pt x="312" y="16"/>
                                      </a:moveTo>
                                      <a:lnTo>
                                        <a:pt x="200" y="16"/>
                                      </a:lnTo>
                                      <a:cubicBezTo>
                                        <a:pt x="196" y="16"/>
                                        <a:pt x="192" y="12"/>
                                        <a:pt x="192" y="8"/>
                                      </a:cubicBezTo>
                                      <a:cubicBezTo>
                                        <a:pt x="192" y="4"/>
                                        <a:pt x="196" y="0"/>
                                        <a:pt x="200" y="0"/>
                                      </a:cubicBezTo>
                                      <a:lnTo>
                                        <a:pt x="312" y="0"/>
                                      </a:lnTo>
                                      <a:cubicBezTo>
                                        <a:pt x="317" y="0"/>
                                        <a:pt x="320" y="4"/>
                                        <a:pt x="320" y="8"/>
                                      </a:cubicBezTo>
                                      <a:cubicBezTo>
                                        <a:pt x="320" y="12"/>
                                        <a:pt x="317" y="16"/>
                                        <a:pt x="312" y="16"/>
                                      </a:cubicBezTo>
                                      <a:close/>
                                      <a:moveTo>
                                        <a:pt x="120" y="16"/>
                                      </a:moveTo>
                                      <a:lnTo>
                                        <a:pt x="8" y="16"/>
                                      </a:lnTo>
                                      <a:cubicBezTo>
                                        <a:pt x="4" y="16"/>
                                        <a:pt x="0" y="12"/>
                                        <a:pt x="0" y="8"/>
                                      </a:cubicBezTo>
                                      <a:cubicBezTo>
                                        <a:pt x="0" y="4"/>
                                        <a:pt x="4" y="0"/>
                                        <a:pt x="8" y="0"/>
                                      </a:cubicBezTo>
                                      <a:lnTo>
                                        <a:pt x="120" y="0"/>
                                      </a:lnTo>
                                      <a:cubicBezTo>
                                        <a:pt x="125" y="0"/>
                                        <a:pt x="128" y="4"/>
                                        <a:pt x="128" y="8"/>
                                      </a:cubicBezTo>
                                      <a:cubicBezTo>
                                        <a:pt x="128" y="12"/>
                                        <a:pt x="125" y="16"/>
                                        <a:pt x="120" y="16"/>
                                      </a:cubicBezTo>
                                      <a:close/>
                                    </a:path>
                                  </a:pathLst>
                                </a:custGeom>
                                <a:solidFill>
                                  <a:srgbClr val="000000"/>
                                </a:solidFill>
                                <a:ln w="635" cap="flat" cmpd="sng">
                                  <a:solidFill>
                                    <a:srgbClr val="000000"/>
                                  </a:solidFill>
                                  <a:prstDash val="solid"/>
                                  <a:headEnd type="none" w="med" len="med"/>
                                  <a:tailEnd type="none" w="med" len="med"/>
                                </a:ln>
                              </wps:spPr>
                              <wps:bodyPr upright="1"/>
                            </wps:wsp>
                            <wps:wsp>
                              <wps:cNvPr id="27" name="任意多边形 83"/>
                              <wps:cNvSpPr/>
                              <wps:spPr>
                                <a:xfrm>
                                  <a:off x="560705" y="1342390"/>
                                  <a:ext cx="83820" cy="64770"/>
                                </a:xfrm>
                                <a:custGeom>
                                  <a:avLst/>
                                  <a:gdLst/>
                                  <a:ahLst/>
                                  <a:cxnLst/>
                                  <a:rect l="0" t="0" r="0" b="0"/>
                                  <a:pathLst>
                                    <a:path w="132" h="102">
                                      <a:moveTo>
                                        <a:pt x="132" y="102"/>
                                      </a:moveTo>
                                      <a:lnTo>
                                        <a:pt x="0" y="51"/>
                                      </a:lnTo>
                                      <a:lnTo>
                                        <a:pt x="132" y="0"/>
                                      </a:lnTo>
                                      <a:lnTo>
                                        <a:pt x="132" y="102"/>
                                      </a:lnTo>
                                      <a:close/>
                                    </a:path>
                                  </a:pathLst>
                                </a:custGeom>
                                <a:solidFill>
                                  <a:srgbClr val="000000"/>
                                </a:solidFill>
                                <a:ln>
                                  <a:noFill/>
                                </a:ln>
                              </wps:spPr>
                              <wps:bodyPr upright="1"/>
                            </wps:wsp>
                            <wps:wsp>
                              <wps:cNvPr id="28" name="矩形 91"/>
                              <wps:cNvSpPr/>
                              <wps:spPr>
                                <a:xfrm>
                                  <a:off x="1897380" y="2374900"/>
                                  <a:ext cx="514985" cy="266065"/>
                                </a:xfrm>
                                <a:prstGeom prst="rect">
                                  <a:avLst/>
                                </a:prstGeom>
                                <a:solidFill>
                                  <a:srgbClr val="FFFFFF"/>
                                </a:solidFill>
                                <a:ln>
                                  <a:noFill/>
                                </a:ln>
                              </wps:spPr>
                              <wps:bodyPr upright="1"/>
                            </wps:wsp>
                            <wps:wsp>
                              <wps:cNvPr id="29" name="矩形 92"/>
                              <wps:cNvSpPr/>
                              <wps:spPr>
                                <a:xfrm>
                                  <a:off x="897255" y="2346325"/>
                                  <a:ext cx="514985" cy="266065"/>
                                </a:xfrm>
                                <a:prstGeom prst="rect">
                                  <a:avLst/>
                                </a:prstGeom>
                                <a:noFill/>
                                <a:ln w="7620" cap="rnd" cmpd="sng">
                                  <a:solidFill>
                                    <a:srgbClr val="000000"/>
                                  </a:solidFill>
                                  <a:prstDash val="solid"/>
                                  <a:round/>
                                  <a:headEnd type="none" w="med" len="med"/>
                                  <a:tailEnd type="none" w="med" len="med"/>
                                </a:ln>
                              </wps:spPr>
                              <wps:bodyPr upright="1"/>
                            </wps:wsp>
                            <wps:wsp>
                              <wps:cNvPr id="30" name="矩形 93"/>
                              <wps:cNvSpPr/>
                              <wps:spPr>
                                <a:xfrm>
                                  <a:off x="960755" y="2364105"/>
                                  <a:ext cx="366395" cy="217170"/>
                                </a:xfrm>
                                <a:prstGeom prst="rect">
                                  <a:avLst/>
                                </a:prstGeom>
                                <a:noFill/>
                                <a:ln>
                                  <a:noFill/>
                                </a:ln>
                              </wps:spPr>
                              <wps:txbx>
                                <w:txbxContent>
                                  <w:p>
                                    <w:pPr>
                                      <w:rPr>
                                        <w:sz w:val="22"/>
                                        <w:szCs w:val="22"/>
                                      </w:rPr>
                                    </w:pPr>
                                    <w:r>
                                      <w:rPr>
                                        <w:rFonts w:hint="eastAsia"/>
                                        <w:sz w:val="22"/>
                                        <w:szCs w:val="22"/>
                                      </w:rPr>
                                      <w:t>成品</w:t>
                                    </w:r>
                                  </w:p>
                                </w:txbxContent>
                              </wps:txbx>
                              <wps:bodyPr wrap="square" lIns="0" tIns="0" rIns="0" bIns="0">
                                <a:noAutofit/>
                              </wps:bodyPr>
                            </wps:wsp>
                            <wpg:wgp>
                              <wpg:cNvPr id="31" name="组合 157"/>
                              <wpg:cNvGrpSpPr/>
                              <wpg:grpSpPr>
                                <a:xfrm>
                                  <a:off x="1450975" y="1911985"/>
                                  <a:ext cx="304800" cy="64770"/>
                                  <a:chOff x="3725" y="3011"/>
                                  <a:chExt cx="480" cy="102"/>
                                </a:xfrm>
                              </wpg:grpSpPr>
                              <wps:wsp>
                                <wps:cNvPr id="32" name="任意多边形 94"/>
                                <wps:cNvSpPr/>
                                <wps:spPr>
                                  <a:xfrm>
                                    <a:off x="3725" y="3055"/>
                                    <a:ext cx="365" cy="14"/>
                                  </a:xfrm>
                                  <a:custGeom>
                                    <a:avLst/>
                                    <a:gdLst/>
                                    <a:ahLst/>
                                    <a:cxnLst/>
                                    <a:rect l="0" t="0" r="0" b="0"/>
                                    <a:pathLst>
                                      <a:path w="489" h="16">
                                        <a:moveTo>
                                          <a:pt x="8" y="0"/>
                                        </a:moveTo>
                                        <a:lnTo>
                                          <a:pt x="121" y="0"/>
                                        </a:lnTo>
                                        <a:cubicBezTo>
                                          <a:pt x="125" y="0"/>
                                          <a:pt x="129" y="4"/>
                                          <a:pt x="129" y="8"/>
                                        </a:cubicBezTo>
                                        <a:cubicBezTo>
                                          <a:pt x="129" y="13"/>
                                          <a:pt x="125" y="16"/>
                                          <a:pt x="121" y="16"/>
                                        </a:cubicBezTo>
                                        <a:lnTo>
                                          <a:pt x="8" y="16"/>
                                        </a:lnTo>
                                        <a:cubicBezTo>
                                          <a:pt x="4" y="16"/>
                                          <a:pt x="0" y="13"/>
                                          <a:pt x="0" y="8"/>
                                        </a:cubicBezTo>
                                        <a:cubicBezTo>
                                          <a:pt x="0" y="4"/>
                                          <a:pt x="4" y="0"/>
                                          <a:pt x="8" y="0"/>
                                        </a:cubicBezTo>
                                        <a:close/>
                                        <a:moveTo>
                                          <a:pt x="201" y="0"/>
                                        </a:moveTo>
                                        <a:lnTo>
                                          <a:pt x="313" y="0"/>
                                        </a:lnTo>
                                        <a:cubicBezTo>
                                          <a:pt x="317" y="0"/>
                                          <a:pt x="321" y="4"/>
                                          <a:pt x="321" y="8"/>
                                        </a:cubicBezTo>
                                        <a:cubicBezTo>
                                          <a:pt x="321" y="13"/>
                                          <a:pt x="317" y="16"/>
                                          <a:pt x="313" y="16"/>
                                        </a:cubicBezTo>
                                        <a:lnTo>
                                          <a:pt x="201" y="16"/>
                                        </a:lnTo>
                                        <a:cubicBezTo>
                                          <a:pt x="196" y="16"/>
                                          <a:pt x="193" y="13"/>
                                          <a:pt x="193" y="8"/>
                                        </a:cubicBezTo>
                                        <a:cubicBezTo>
                                          <a:pt x="193" y="4"/>
                                          <a:pt x="196" y="0"/>
                                          <a:pt x="201" y="0"/>
                                        </a:cubicBezTo>
                                        <a:close/>
                                        <a:moveTo>
                                          <a:pt x="393" y="0"/>
                                        </a:moveTo>
                                        <a:lnTo>
                                          <a:pt x="481" y="0"/>
                                        </a:lnTo>
                                        <a:cubicBezTo>
                                          <a:pt x="486" y="0"/>
                                          <a:pt x="489" y="4"/>
                                          <a:pt x="489" y="8"/>
                                        </a:cubicBezTo>
                                        <a:cubicBezTo>
                                          <a:pt x="489" y="13"/>
                                          <a:pt x="486" y="16"/>
                                          <a:pt x="481" y="16"/>
                                        </a:cubicBezTo>
                                        <a:lnTo>
                                          <a:pt x="393" y="16"/>
                                        </a:lnTo>
                                        <a:cubicBezTo>
                                          <a:pt x="388" y="16"/>
                                          <a:pt x="385" y="13"/>
                                          <a:pt x="385" y="8"/>
                                        </a:cubicBezTo>
                                        <a:cubicBezTo>
                                          <a:pt x="385" y="4"/>
                                          <a:pt x="388" y="0"/>
                                          <a:pt x="393" y="0"/>
                                        </a:cubicBezTo>
                                        <a:close/>
                                      </a:path>
                                    </a:pathLst>
                                  </a:custGeom>
                                  <a:solidFill>
                                    <a:srgbClr val="000000"/>
                                  </a:solidFill>
                                  <a:ln w="635" cap="flat" cmpd="sng">
                                    <a:solidFill>
                                      <a:srgbClr val="000000"/>
                                    </a:solidFill>
                                    <a:prstDash val="solid"/>
                                    <a:headEnd type="none" w="med" len="med"/>
                                    <a:tailEnd type="none" w="med" len="med"/>
                                  </a:ln>
                                </wps:spPr>
                                <wps:bodyPr upright="1"/>
                              </wps:wsp>
                              <wps:wsp>
                                <wps:cNvPr id="33" name="任意多边形 95"/>
                                <wps:cNvSpPr/>
                                <wps:spPr>
                                  <a:xfrm>
                                    <a:off x="4073" y="3011"/>
                                    <a:ext cx="132" cy="102"/>
                                  </a:xfrm>
                                  <a:custGeom>
                                    <a:avLst/>
                                    <a:gdLst/>
                                    <a:ahLst/>
                                    <a:cxnLst/>
                                    <a:rect l="0" t="0" r="0" b="0"/>
                                    <a:pathLst>
                                      <a:path w="132" h="102">
                                        <a:moveTo>
                                          <a:pt x="0" y="0"/>
                                        </a:moveTo>
                                        <a:lnTo>
                                          <a:pt x="132" y="51"/>
                                        </a:lnTo>
                                        <a:lnTo>
                                          <a:pt x="0" y="102"/>
                                        </a:lnTo>
                                        <a:lnTo>
                                          <a:pt x="0" y="0"/>
                                        </a:lnTo>
                                        <a:close/>
                                      </a:path>
                                    </a:pathLst>
                                  </a:custGeom>
                                  <a:solidFill>
                                    <a:srgbClr val="000000"/>
                                  </a:solidFill>
                                  <a:ln>
                                    <a:noFill/>
                                  </a:ln>
                                </wps:spPr>
                                <wps:bodyPr upright="1"/>
                              </wps:wsp>
                            </wpg:wgp>
                            <wps:wsp>
                              <wps:cNvPr id="34" name="矩形 96"/>
                              <wps:cNvSpPr/>
                              <wps:spPr>
                                <a:xfrm>
                                  <a:off x="1786255" y="1848485"/>
                                  <a:ext cx="556895" cy="207010"/>
                                </a:xfrm>
                                <a:prstGeom prst="rect">
                                  <a:avLst/>
                                </a:prstGeom>
                                <a:noFill/>
                                <a:ln>
                                  <a:noFill/>
                                </a:ln>
                              </wps:spPr>
                              <wps:txbx>
                                <w:txbxContent>
                                  <w:p>
                                    <w:r>
                                      <w:rPr>
                                        <w:rFonts w:hint="eastAsia" w:ascii="宋体" w:cs="宋体"/>
                                        <w:color w:val="000000"/>
                                        <w:kern w:val="0"/>
                                        <w:sz w:val="16"/>
                                        <w:szCs w:val="16"/>
                                      </w:rPr>
                                      <w:t xml:space="preserve">粉尘、噪声 </w:t>
                                    </w:r>
                                  </w:p>
                                </w:txbxContent>
                              </wps:txbx>
                              <wps:bodyPr wrap="square" lIns="0" tIns="0" rIns="0" bIns="0">
                                <a:noAutofit/>
                              </wps:bodyPr>
                            </wps:wsp>
                            <wps:wsp>
                              <wps:cNvPr id="35" name="直接连接符 64"/>
                              <wps:cNvCnPr/>
                              <wps:spPr>
                                <a:xfrm flipH="1">
                                  <a:off x="1151255" y="1513205"/>
                                  <a:ext cx="5715" cy="243840"/>
                                </a:xfrm>
                                <a:prstGeom prst="line">
                                  <a:avLst/>
                                </a:prstGeom>
                                <a:ln w="7620" cap="rnd" cmpd="sng">
                                  <a:solidFill>
                                    <a:srgbClr val="000000"/>
                                  </a:solidFill>
                                  <a:prstDash val="solid"/>
                                  <a:headEnd type="none" w="med" len="med"/>
                                  <a:tailEnd type="none" w="med" len="med"/>
                                </a:ln>
                              </wps:spPr>
                              <wps:bodyPr/>
                            </wps:wsp>
                            <wps:wsp>
                              <wps:cNvPr id="36" name="任意多边形 65"/>
                              <wps:cNvSpPr/>
                              <wps:spPr>
                                <a:xfrm>
                                  <a:off x="1122680" y="1703705"/>
                                  <a:ext cx="55880" cy="97790"/>
                                </a:xfrm>
                                <a:custGeom>
                                  <a:avLst/>
                                  <a:gdLst/>
                                  <a:ahLst/>
                                  <a:cxnLst/>
                                  <a:rect l="0" t="0" r="0" b="0"/>
                                  <a:pathLst>
                                    <a:path w="88" h="154">
                                      <a:moveTo>
                                        <a:pt x="88" y="2"/>
                                      </a:moveTo>
                                      <a:lnTo>
                                        <a:pt x="41" y="154"/>
                                      </a:lnTo>
                                      <a:lnTo>
                                        <a:pt x="0" y="0"/>
                                      </a:lnTo>
                                      <a:lnTo>
                                        <a:pt x="88" y="2"/>
                                      </a:lnTo>
                                      <a:close/>
                                    </a:path>
                                  </a:pathLst>
                                </a:custGeom>
                                <a:solidFill>
                                  <a:srgbClr val="000000"/>
                                </a:solidFill>
                                <a:ln>
                                  <a:noFill/>
                                </a:ln>
                              </wps:spPr>
                              <wps:bodyPr upright="1"/>
                            </wps:wsp>
                            <wpg:wgp>
                              <wpg:cNvPr id="37" name="组合 154"/>
                              <wpg:cNvGrpSpPr/>
                              <wpg:grpSpPr>
                                <a:xfrm>
                                  <a:off x="1132205" y="2056130"/>
                                  <a:ext cx="55880" cy="332740"/>
                                  <a:chOff x="1744" y="437"/>
                                  <a:chExt cx="88" cy="524"/>
                                </a:xfrm>
                              </wpg:grpSpPr>
                              <wps:wsp>
                                <wps:cNvPr id="38" name="直接连接符 64"/>
                                <wps:cNvCnPr/>
                                <wps:spPr>
                                  <a:xfrm flipH="1">
                                    <a:off x="1788" y="437"/>
                                    <a:ext cx="9" cy="384"/>
                                  </a:xfrm>
                                  <a:prstGeom prst="line">
                                    <a:avLst/>
                                  </a:prstGeom>
                                  <a:ln w="7620" cap="rnd" cmpd="sng">
                                    <a:solidFill>
                                      <a:srgbClr val="000000"/>
                                    </a:solidFill>
                                    <a:prstDash val="solid"/>
                                    <a:headEnd type="none" w="med" len="med"/>
                                    <a:tailEnd type="none" w="med" len="med"/>
                                  </a:ln>
                                </wps:spPr>
                                <wps:bodyPr/>
                              </wps:wsp>
                              <wps:wsp>
                                <wps:cNvPr id="39" name="任意多边形 65"/>
                                <wps:cNvSpPr/>
                                <wps:spPr>
                                  <a:xfrm>
                                    <a:off x="1744" y="807"/>
                                    <a:ext cx="88" cy="154"/>
                                  </a:xfrm>
                                  <a:custGeom>
                                    <a:avLst/>
                                    <a:gdLst/>
                                    <a:ahLst/>
                                    <a:cxnLst/>
                                    <a:rect l="0" t="0" r="0" b="0"/>
                                    <a:pathLst>
                                      <a:path w="88" h="154">
                                        <a:moveTo>
                                          <a:pt x="88" y="2"/>
                                        </a:moveTo>
                                        <a:lnTo>
                                          <a:pt x="41" y="154"/>
                                        </a:lnTo>
                                        <a:lnTo>
                                          <a:pt x="0" y="0"/>
                                        </a:lnTo>
                                        <a:lnTo>
                                          <a:pt x="88" y="2"/>
                                        </a:lnTo>
                                        <a:close/>
                                      </a:path>
                                    </a:pathLst>
                                  </a:custGeom>
                                  <a:solidFill>
                                    <a:srgbClr val="000000"/>
                                  </a:solidFill>
                                  <a:ln>
                                    <a:noFill/>
                                  </a:ln>
                                </wps:spPr>
                                <wps:bodyPr upright="1"/>
                              </wps:wsp>
                            </wpg:wgp>
                            <wps:wsp>
                              <wps:cNvPr id="40" name="矩形 96"/>
                              <wps:cNvSpPr/>
                              <wps:spPr>
                                <a:xfrm>
                                  <a:off x="27305" y="1284605"/>
                                  <a:ext cx="556895" cy="207010"/>
                                </a:xfrm>
                                <a:prstGeom prst="rect">
                                  <a:avLst/>
                                </a:prstGeom>
                                <a:noFill/>
                                <a:ln>
                                  <a:noFill/>
                                </a:ln>
                              </wps:spPr>
                              <wps:txbx>
                                <w:txbxContent>
                                  <w:p>
                                    <w:r>
                                      <w:rPr>
                                        <w:rFonts w:hint="eastAsia" w:ascii="宋体" w:cs="宋体"/>
                                        <w:color w:val="000000"/>
                                        <w:kern w:val="0"/>
                                        <w:sz w:val="16"/>
                                        <w:szCs w:val="16"/>
                                      </w:rPr>
                                      <w:t xml:space="preserve">粉尘、噪声 </w:t>
                                    </w:r>
                                  </w:p>
                                </w:txbxContent>
                              </wps:txbx>
                              <wps:bodyPr wrap="square" lIns="0" tIns="0" rIns="0" bIns="0">
                                <a:noAutofit/>
                              </wps:bodyPr>
                            </wps:wsp>
                            <wps:wsp>
                              <wps:cNvPr id="41" name="矩形 96"/>
                              <wps:cNvSpPr/>
                              <wps:spPr>
                                <a:xfrm>
                                  <a:off x="0" y="646430"/>
                                  <a:ext cx="556895" cy="207010"/>
                                </a:xfrm>
                                <a:prstGeom prst="rect">
                                  <a:avLst/>
                                </a:prstGeom>
                                <a:noFill/>
                                <a:ln>
                                  <a:noFill/>
                                </a:ln>
                              </wps:spPr>
                              <wps:txbx>
                                <w:txbxContent>
                                  <w:p>
                                    <w:r>
                                      <w:rPr>
                                        <w:rFonts w:hint="eastAsia" w:ascii="宋体" w:cs="宋体"/>
                                        <w:color w:val="000000"/>
                                        <w:kern w:val="0"/>
                                        <w:sz w:val="16"/>
                                        <w:szCs w:val="16"/>
                                      </w:rPr>
                                      <w:t xml:space="preserve">粉尘、噪声 </w:t>
                                    </w:r>
                                  </w:p>
                                </w:txbxContent>
                              </wps:txbx>
                              <wps:bodyPr wrap="square" lIns="0" tIns="0" rIns="0" bIns="0">
                                <a:noAutofit/>
                              </wps:bodyPr>
                            </wps:wsp>
                          </wpc:wpc>
                        </a:graphicData>
                      </a:graphic>
                    </wp:inline>
                  </w:drawing>
                </mc:Choice>
                <mc:Fallback>
                  <w:pict>
                    <v:group id="_x0000_s1026" o:spid="_x0000_s1026" o:spt="203" style="height:214.2pt;width:248.85pt;" coordsize="3160395,2720340" editas="canvas" o:gfxdata="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AAAAAGRycy9QSwECFAAUAAAACACHTuJAEzfjHNcA&#10;AAAFAQAADwAAAAAAAAABACAAAAAiAAAAZHJzL2Rvd25yZXYueG1sUEsBAhQAFAAAAAgAh07iQJdO&#10;B4GzCwAAqFoAAA4AAAAAAAAAAQAgAAAAJgEAAGRycy9lMm9Eb2MueG1sUEsFBgAAAAAGAAYAWQEA&#10;AEsPAAAAAA==&#10;">
                      <o:lock v:ext="edit" aspectratio="f"/>
                      <v:shape id="_x0000_s1026" o:spid="_x0000_s1026" style="position:absolute;left:0;top:0;height:2720340;width:3160395;" filled="f" stroked="f" coordsize="21600,21600" o:gfxdata="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">
                        <v:fill on="f" focussize="0,0"/>
                        <v:stroke on="f"/>
                        <v:imagedata o:title=""/>
                        <o:lock v:ext="edit" aspectratio="t"/>
                      </v:shape>
                      <v:rect id="矩形 49" o:spid="_x0000_s1026" o:spt="1" style="position:absolute;left:735965;top:97790;height:266065;width:805180;" fillcolor="#FFFFFF" filled="t" stroked="f" coordsize="21600,21600" o:gfxdata="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K42l9UAAAAFAQAADwAAAAAAAAABACAAAAAiAAAAZHJzL2Rvd25yZXYueG1sUEsBAhQA&#10;FAAAAAgAh07iQHX+a3O8AQAAaAMAAA4AAAAAAAAAAQAgAAAAJAEAAGRycy9lMm9Eb2MueG1sUEsF&#10;BgAAAAAGAAYAWQEAAFIFAAAAAA==&#10;">
                        <v:fill on="t" focussize="0,0"/>
                        <v:stroke on="f"/>
                        <v:imagedata o:title=""/>
                        <o:lock v:ext="edit" aspectratio="f"/>
                      </v:rect>
                      <v:rect id="矩形 50" o:spid="_x0000_s1026" o:spt="1" style="position:absolute;left:827405;top:0;height:266065;width:664845;" filled="f" stroked="t" coordsize="21600,21600" o:gfxdata="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9+UF/UAAAABQEAAA8AAAAAAAAAAQAgAAAAIgAAAGRycy9kb3ducmV2LnhtbFBLAQIU&#10;ABQAAAAIAIdO4kCP8Col9wEAAPkDAAAOAAAAAAAAAAEAIAAAACMBAABkcnMvZTJvRG9jLnhtbFBL&#10;BQYAAAAABgAGAFkBAACMBQAAAAA=&#10;">
                        <v:fill on="f" focussize="0,0"/>
                        <v:stroke weight="0.6pt" color="#000000" joinstyle="round" endcap="round"/>
                        <v:imagedata o:title=""/>
                        <o:lock v:ext="edit" aspectratio="f"/>
                      </v:rect>
                      <v:rect id="矩形 51" o:spid="_x0000_s1026" o:spt="1" style="position:absolute;left:991870;top:49530;height:186690;width:469265;"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ly06tcAAAAFAQAADwAAAAAAAAABACAAAAAiAAAAZHJzL2Rv&#10;d25yZXYueG1sUEsBAhQAFAAAAAgAh07iQCpCnFHJAQAAigMAAA4AAAAAAAAAAQAgAAAAJgEAAGRy&#10;cy9lMm9Eb2MueG1sUEsFBgAAAAAGAAYAWQEAAGEFAAAAAA==&#10;">
                        <v:fill on="f" focussize="0,0"/>
                        <v:stroke on="f"/>
                        <v:imagedata o:title=""/>
                        <o:lock v:ext="edit" aspectratio="f"/>
                        <v:textbox inset="0mm,0mm,0mm,0mm">
                          <w:txbxContent>
                            <w:p>
                              <w:r>
                                <w:rPr>
                                  <w:rFonts w:hint="eastAsia" w:ascii="宋体" w:cs="宋体"/>
                                  <w:color w:val="000000"/>
                                  <w:kern w:val="0"/>
                                  <w:sz w:val="22"/>
                                </w:rPr>
                                <w:t>原料</w:t>
                              </w:r>
                            </w:p>
                          </w:txbxContent>
                        </v:textbox>
                      </v:rect>
                      <v:rect id="矩形 52" o:spid="_x0000_s1026" o:spt="1" style="position:absolute;left:876300;top:610235;height:266065;width:514985;" fillcolor="#FFFFFF" filled="t" stroked="f" coordsize="21600,21600" o:gfxdata="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K42l9UAAAAFAQAADwAAAAAAAAABACAAAAAiAAAAZHJzL2Rvd25yZXYueG1sUEsB&#10;AhQAFAAAAAgAh07iQKpypO+/AQAAagMAAA4AAAAAAAAAAQAgAAAAJAEAAGRycy9lMm9Eb2MueG1s&#10;UEsFBgAAAAAGAAYAWQEAAFUFAAAAAA==&#10;">
                        <v:fill on="t" focussize="0,0"/>
                        <v:stroke on="f"/>
                        <v:imagedata o:title=""/>
                        <o:lock v:ext="edit" aspectratio="f"/>
                      </v:rect>
                      <v:rect id="矩形 53" o:spid="_x0000_s1026" o:spt="1" style="position:absolute;left:876300;top:610235;height:266065;width:514985;" filled="f" stroked="t" coordsize="21600,21600" o:gfxdata="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35QX9QAAAAFAQAADwAAAAAAAAABACAAAAAiAAAAZHJzL2Rvd25y&#10;ZXYueG1sUEsBAhQAFAAAAAgAh07iQJoWjjkCAgAA/wMAAA4AAAAAAAAAAQAgAAAAIwEAAGRycy9l&#10;Mm9Eb2MueG1sUEsFBgAAAAAGAAYAWQEAAJcFAAAAAA==&#10;">
                        <v:fill on="f" focussize="0,0"/>
                        <v:stroke weight="0.6pt" color="#000000" joinstyle="round" endcap="round"/>
                        <v:imagedata o:title=""/>
                        <o:lock v:ext="edit" aspectratio="f"/>
                      </v:rect>
                      <v:rect id="矩形 54" o:spid="_x0000_s1026" o:spt="1" style="position:absolute;left:835025;top:653415;height:210820;width:1038860;"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ly06tcAAAAFAQAADwAAAAAAAAABACAAAAAiAAAAZHJz&#10;L2Rvd25yZXYueG1sUEsBAhQAFAAAAAgAh07iQIfJZdjMAQAAjQMAAA4AAAAAAAAAAQAgAAAAJgEA&#10;AGRycy9lMm9Eb2MueG1sUEsFBgAAAAAGAAYAWQEAAGQFAAAAAA==&#10;">
                        <v:fill on="f" focussize="0,0"/>
                        <v:stroke on="f"/>
                        <v:imagedata o:title=""/>
                        <o:lock v:ext="edit" aspectratio="f"/>
                        <v:textbox inset="0mm,0mm,0mm,0mm">
                          <w:txbxContent>
                            <w:p>
                              <w:r>
                                <w:rPr>
                                  <w:rFonts w:hint="eastAsia" w:ascii="宋体" w:cs="宋体"/>
                                  <w:color w:val="000000"/>
                                  <w:kern w:val="0"/>
                                  <w:sz w:val="22"/>
                                </w:rPr>
                                <w:t>一次破碎</w:t>
                              </w:r>
                            </w:p>
                          </w:txbxContent>
                        </v:textbox>
                      </v:rect>
                      <v:rect id="矩形 55" o:spid="_x0000_s1026" o:spt="1" style="position:absolute;left:876300;top:1242060;height:266065;width:514985;" fillcolor="#FFFFFF" filled="t" stroked="f" coordsize="21600,21600" o:gfxdata="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yuNpfVAAAABQEAAA8AAAAAAAAAAQAgAAAAIgAAAGRycy9kb3ducmV2LnhtbFBL&#10;AQIUABQAAAAIAIdO4kD3N1LAwAEAAGsDAAAOAAAAAAAAAAEAIAAAACQBAABkcnMvZTJvRG9jLnht&#10;bFBLBQYAAAAABgAGAFkBAABWBQAAAAA=&#10;">
                        <v:fill on="t" focussize="0,0"/>
                        <v:stroke on="f"/>
                        <v:imagedata o:title=""/>
                        <o:lock v:ext="edit" aspectratio="f"/>
                      </v:rect>
                      <v:rect id="矩形 56" o:spid="_x0000_s1026" o:spt="1" style="position:absolute;left:876300;top:1242060;height:266065;width:514985;" filled="f" stroked="t" coordsize="21600,21600" o:gfxdata="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flBf1AAAAAUBAAAPAAAAAAAAAAEAIAAAACIAAABkcnMvZG93bnJl&#10;di54bWxQSwECFAAUAAAACACHTuJAw9XgfgECAAAABAAADgAAAAAAAAABACAAAAAjAQAAZHJzL2Uy&#10;b0RvYy54bWxQSwUGAAAAAAYABgBZAQAAlgUAAAAA&#10;">
                        <v:fill on="f" focussize="0,0"/>
                        <v:stroke weight="0.6pt" color="#000000" joinstyle="round" endcap="round"/>
                        <v:imagedata o:title=""/>
                        <o:lock v:ext="edit" aspectratio="f"/>
                      </v:rect>
                      <v:rect id="矩形 57" o:spid="_x0000_s1026" o:spt="1" style="position:absolute;left:762000;top:1266825;height:207645;width:722630;"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ly06tcAAAAFAQAADwAAAAAAAAABACAAAAAiAAAAZHJzL2Rv&#10;d25yZXYueG1sUEsBAhQAFAAAAAgAh07iQCgq8AjJAQAAjQMAAA4AAAAAAAAAAQAgAAAAJgEAAGRy&#10;cy9lMm9Eb2MueG1sUEsFBgAAAAAGAAYAWQEAAGEFAAAAAA==&#10;">
                        <v:fill on="f" focussize="0,0"/>
                        <v:stroke on="f"/>
                        <v:imagedata o:title=""/>
                        <o:lock v:ext="edit" aspectratio="f"/>
                        <v:textbox inset="0mm,0mm,0mm,0mm">
                          <w:txbxContent>
                            <w:p>
                              <w:pPr>
                                <w:jc w:val="center"/>
                              </w:pPr>
                              <w:r>
                                <w:rPr>
                                  <w:rFonts w:hint="eastAsia" w:ascii="宋体" w:cs="宋体"/>
                                  <w:color w:val="000000"/>
                                  <w:kern w:val="0"/>
                                  <w:sz w:val="22"/>
                                </w:rPr>
                                <w:t>二次破碎</w:t>
                              </w:r>
                            </w:p>
                          </w:txbxContent>
                        </v:textbox>
                      </v:rect>
                      <v:rect id="矩形 58" o:spid="_x0000_s1026" o:spt="1" style="position:absolute;left:1774825;top:1809750;height:266065;width:594360;" fillcolor="#FFFFFF" filled="t" stroked="f" coordsize="21600,21600" o:gfxdata="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rjaX1QAAAAUBAAAPAAAAAAAAAAEAIAAAACIAAABkcnMvZG93bnJldi54bWxQSwEC&#10;FAAUAAAACACHTuJAOGatEL4BAABsAwAADgAAAAAAAAABACAAAAAkAQAAZHJzL2Uyb0RvYy54bWxQ&#10;SwUGAAAAAAYABgBZAQAAVAUAAAAA&#10;">
                        <v:fill on="t" focussize="0,0"/>
                        <v:stroke on="f"/>
                        <v:imagedata o:title=""/>
                        <o:lock v:ext="edit" aspectratio="f"/>
                      </v:rect>
                      <v:rect id="矩形 59" o:spid="_x0000_s1026" o:spt="1" style="position:absolute;left:841375;top:1781175;height:266065;width:594360;" filled="f" stroked="t" coordsize="21600,21600" o:gfxdata="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flBf1AAAAAUBAAAPAAAAAAAAAAEAIAAAACIAAABkcnMvZG93bnJl&#10;di54bWxQSwECFAAUAAAACACHTuJAIfCyCQECAAAABAAADgAAAAAAAAABACAAAAAjAQAAZHJzL2Uy&#10;b0RvYy54bWxQSwUGAAAAAAYABgBZAQAAlgUAAAAA&#10;">
                        <v:fill on="f" focussize="0,0"/>
                        <v:stroke weight="0.6pt" color="#000000" joinstyle="round" endcap="round"/>
                        <v:imagedata o:title=""/>
                        <o:lock v:ext="edit" aspectratio="f"/>
                      </v:rect>
                      <v:rect id="矩形 60" o:spid="_x0000_s1026" o:spt="1" style="position:absolute;left:995045;top:1808480;height:198120;width:279400;mso-wrap-style:none;" filled="f" stroked="f" coordsize="21600,21600" o:gfxdata="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KElUrUAAAABQEAAA8AAAAAAAAAAQAgAAAAIgAAAGRycy9kb3ducmV2&#10;LnhtbFBLAQIUABQAAAAIAIdO4kDQhKVjxwEAAIsDAAAOAAAAAAAAAAEAIAAAACMBAABkcnMvZTJv&#10;RG9jLnhtbFBLBQYAAAAABgAGAFkBAABcBQAAAAA=&#10;">
                        <v:fill on="f" focussize="0,0"/>
                        <v:stroke on="f"/>
                        <v:imagedata o:title=""/>
                        <o:lock v:ext="edit" aspectratio="f"/>
                        <v:textbox inset="0mm,0mm,0mm,0mm" style="mso-fit-shape-to-text:t;">
                          <w:txbxContent>
                            <w:p>
                              <w:pPr>
                                <w:jc w:val="center"/>
                              </w:pPr>
                              <w:r>
                                <w:rPr>
                                  <w:rFonts w:hint="eastAsia" w:ascii="宋体" w:cs="宋体"/>
                                  <w:color w:val="000000"/>
                                  <w:kern w:val="0"/>
                                  <w:sz w:val="22"/>
                                </w:rPr>
                                <w:t>筛分</w:t>
                              </w:r>
                            </w:p>
                          </w:txbxContent>
                        </v:textbox>
                      </v:rect>
                      <v:group id="组合 153" o:spid="_x0000_s1026" o:spt="203" style="position:absolute;left:1107440;top:277495;height:332740;width:55880;" coordorigin="1744,437" coordsize="88,524" o:gfxdata="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CELKJn1gAAAAUBAAAPAAAA&#10;AAAAAAEAIAAAACIAAABkcnMvZG93bnJldi54bWxQSwECFAAUAAAACACHTuJAm4/wHDQDAACzBwAA&#10;DgAAAAAAAAABACAAAAAlAQAAZHJzL2Uyb0RvYy54bWxQSwUGAAAAAAYABgBZAQAAywYAAAAA&#10;">
                        <o:lock v:ext="edit" aspectratio="f"/>
                        <v:line id="直接连接符 64" o:spid="_x0000_s1026" o:spt="20" style="position:absolute;left:1788;top:437;flip:x;height:384;width:9;" filled="f" stroked="t" coordsize="21600,21600" o:gfxdata="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y0DFtwAAANsAAAAP&#10;AAAAAAAAAAEAIAAAACIAAABkcnMvZG93bnJldi54bWxQSwECFAAUAAAACACHTuJAMy8FnjsAAAA5&#10;AAAAEAAAAAAAAAABACAAAAAGAQAAZHJzL3NoYXBleG1sLnhtbFBLBQYAAAAABgAGAFsBAACwAwAA&#10;AAA=&#10;">
                          <v:fill on="f" focussize="0,0"/>
                          <v:stroke weight="0.6pt" color="#000000" joinstyle="round" endcap="round"/>
                          <v:imagedata o:title=""/>
                          <o:lock v:ext="edit" aspectratio="f"/>
                        </v:line>
                        <v:shape id="任意多边形 65" o:spid="_x0000_s1026" o:spt="100" style="position:absolute;left:1744;top:807;height:154;width:88;" fillcolor="#000000" filled="t" stroked="f" coordsize="88,154" o:gfxdata="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SvTC8AAAA&#10;2wAAAA8AAAAAAAAAAQAgAAAAIgAAAGRycy9kb3ducmV2LnhtbFBLAQIUABQAAAAIAIdO4kAzLwWe&#10;OwAAADkAAAAQAAAAAAAAAAEAIAAAAAsBAABkcnMvc2hhcGV4bWwueG1sUEsFBgAAAAAGAAYAWwEA&#10;ALUDAAAAAA==&#10;" path="m88,2l41,154,0,0,88,2xe">
                          <v:fill on="t" focussize="0,0"/>
                          <v:stroke on="f"/>
                          <v:imagedata o:title=""/>
                          <o:lock v:ext="edit" aspectratio="f"/>
                        </v:shape>
                      </v:group>
                      <v:line id="直接连接符 66" o:spid="_x0000_s1026" o:spt="20" style="position:absolute;left:1133475;top:876300;height:276225;width:0;" filled="f" stroked="t" coordsize="21600,21600" o:gfxdata="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rKFP1gAAAAUBAAAPAAAAAAAAAAEAIAAAACIAAABkcnMvZG93bnJldi54bWxQSwEC&#10;FAAUAAAACACHTuJAApe03PYBAADjAwAADgAAAAAAAAABACAAAAAlAQAAZHJzL2Uyb0RvYy54bWxQ&#10;SwUGAAAAAAYABgBZAQAAjQUAAAAA&#10;">
                        <v:fill on="f" focussize="0,0"/>
                        <v:stroke weight="0.6pt" color="#000000" joinstyle="round" endcap="round"/>
                        <v:imagedata o:title=""/>
                        <o:lock v:ext="edit" aspectratio="f"/>
                      </v:line>
                      <v:shape id="任意多边形 67" o:spid="_x0000_s1026" o:spt="100" style="position:absolute;left:1105535;top:1144270;height:97790;width:55880;" fillcolor="#000000" filled="t" stroked="f" coordsize="88,154" o:gfxdata="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ZcnlrUAAAA&#10;BQEAAA8AAAAAAAAAAQAgAAAAIgAAAGRycy9kb3ducmV2LnhtbFBLAQIUABQAAAAIAIdO4kBlTs/Y&#10;IQIAAIEEAAAOAAAAAAAAAAEAIAAAACMBAABkcnMvZTJvRG9jLnhtbFBLBQYAAAAABgAGAFkBAAC2&#10;BQAAAAA=&#10;" path="m88,0l44,154,0,0,88,0xe">
                        <v:fill on="t" focussize="0,0"/>
                        <v:stroke on="f"/>
                        <v:imagedata o:title=""/>
                        <o:lock v:ext="edit" aspectratio="f"/>
                      </v:shape>
                      <v:shape id="任意多边形 77" o:spid="_x0000_s1026" o:spt="100" style="position:absolute;left:636905;top:738505;height:8890;width:243205;" fillcolor="#000000" filled="t" stroked="t" coordsize="513,16" o:gfxdata="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B2qptrXAAAABQEAAA8AAAAA&#10;AAAAAQAgAAAAIgAAAGRycy9kb3ducmV2LnhtbFBLAQIUABQAAAAIAIdO4kD2b1bZawMAAGcKAAAO&#10;AAAAAAAAAAEAIAAAACYBAABkcnMvZTJvRG9jLnhtbFBLBQYAAAAABgAGAFkBAAADBwAAAAA=&#10;" path="m505,16l392,16c388,16,384,12,384,8c384,4,388,0,392,0l505,0c509,0,513,4,513,8c513,12,509,16,505,16xm312,16l200,16c196,16,192,12,192,8c192,4,196,0,200,0l312,0c317,0,320,4,320,8c320,12,317,16,312,16xm120,16l8,16c4,16,0,12,0,8c0,4,4,0,8,0l120,0c125,0,128,4,128,8c128,12,125,16,120,16xe">
                        <v:fill on="t" focussize="0,0"/>
                        <v:stroke weight="0.05pt" color="#000000" joinstyle="round"/>
                        <v:imagedata o:title=""/>
                        <o:lock v:ext="edit" aspectratio="f"/>
                      </v:shape>
                      <v:shape id="任意多边形 78" o:spid="_x0000_s1026" o:spt="100" style="position:absolute;left:560705;top:710565;height:64770;width:83820;" fillcolor="#000000" filled="t" stroked="f" coordsize="132,102" o:gfxdata="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E5MtzUAAAA&#10;BQEAAA8AAAAAAAAAAQAgAAAAIgAAAGRycy9kb3ducmV2LnhtbFBLAQIUABQAAAAIAIdO4kDlppH9&#10;IQIAAIYEAAAOAAAAAAAAAAEAIAAAACMBAABkcnMvZTJvRG9jLnhtbFBLBQYAAAAABgAGAFkBAAC2&#10;BQAAAAA=&#10;" path="m132,102l0,51,132,0,132,102xe">
                        <v:fill on="t" focussize="0,0"/>
                        <v:stroke on="f"/>
                        <v:imagedata o:title=""/>
                        <o:lock v:ext="edit" aspectratio="f"/>
                      </v:shape>
                      <v:shape id="任意多边形 82" o:spid="_x0000_s1026" o:spt="100" style="position:absolute;left:636905;top:1370330;height:8890;width:243205;" fillcolor="#000000" filled="t" stroked="t" coordsize="513,16" o:gfxdata="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B2qptrXAAAABQEAAA8AAAAAAAAA&#10;AQAgAAAAIgAAAGRycy9kb3ducmV2LnhtbFBLAQIUABQAAAAIAIdO4kDKP7zNaAMAAGgKAAAOAAAA&#10;AAAAAAEAIAAAACYBAABkcnMvZTJvRG9jLnhtbFBLBQYAAAAABgAGAFkBAAAABwAAAAA=&#10;" path="m505,16l392,16c388,16,384,12,384,8c384,4,388,0,392,0l505,0c509,0,513,4,513,8c513,12,509,16,505,16xm312,16l200,16c196,16,192,12,192,8c192,4,196,0,200,0l312,0c317,0,320,4,320,8c320,12,317,16,312,16xm120,16l8,16c4,16,0,12,0,8c0,4,4,0,8,0l120,0c125,0,128,4,128,8c128,12,125,16,120,16xe">
                        <v:fill on="t" focussize="0,0"/>
                        <v:stroke weight="0.05pt" color="#000000" joinstyle="round"/>
                        <v:imagedata o:title=""/>
                        <o:lock v:ext="edit" aspectratio="f"/>
                      </v:shape>
                      <v:shape id="任意多边形 83" o:spid="_x0000_s1026" o:spt="100" style="position:absolute;left:560705;top:1342390;height:64770;width:83820;" fillcolor="#000000" filled="t" stroked="f" coordsize="132,102" o:gfxdata="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Tky3NQAAAAF&#10;AQAADwAAAAAAAAABACAAAAAiAAAAZHJzL2Rvd25yZXYueG1sUEsBAhQAFAAAAAgAh07iQJXE84sg&#10;AgAAhwQAAA4AAAAAAAAAAQAgAAAAIwEAAGRycy9lMm9Eb2MueG1sUEsFBgAAAAAGAAYAWQEAALUF&#10;AAAAAA==&#10;" path="m132,102l0,51,132,0,132,102xe">
                        <v:fill on="t" focussize="0,0"/>
                        <v:stroke on="f"/>
                        <v:imagedata o:title=""/>
                        <o:lock v:ext="edit" aspectratio="f"/>
                      </v:shape>
                      <v:rect id="矩形 91" o:spid="_x0000_s1026" o:spt="1" style="position:absolute;left:1897380;top:2374900;height:266065;width:514985;" fillcolor="#FFFFFF" filled="t" stroked="f" coordsize="21600,21600" o:gfxdata="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rjaX1QAAAAUBAAAPAAAAAAAAAAEAIAAAACIAAABkcnMvZG93bnJldi54bWxQSwEC&#10;FAAUAAAACACHTuJAO+YhCr4BAABsAwAADgAAAAAAAAABACAAAAAkAQAAZHJzL2Uyb0RvYy54bWxQ&#10;SwUGAAAAAAYABgBZAQAAVAUAAAAA&#10;">
                        <v:fill on="t" focussize="0,0"/>
                        <v:stroke on="f"/>
                        <v:imagedata o:title=""/>
                        <o:lock v:ext="edit" aspectratio="f"/>
                      </v:rect>
                      <v:rect id="矩形 92" o:spid="_x0000_s1026" o:spt="1" style="position:absolute;left:897255;top:2346325;height:266065;width:514985;" filled="f" stroked="t" coordsize="21600,21600" o:gfxdata="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35QX9QAAAAFAQAADwAAAAAAAAABACAAAAAiAAAAZHJzL2Rvd25y&#10;ZXYueG1sUEsBAhQAFAAAAAgAh07iQAjm4tACAgAAAAQAAA4AAAAAAAAAAQAgAAAAIwEAAGRycy9l&#10;Mm9Eb2MueG1sUEsFBgAAAAAGAAYAWQEAAJcFAAAAAA==&#10;">
                        <v:fill on="f" focussize="0,0"/>
                        <v:stroke weight="0.6pt" color="#000000" joinstyle="round" endcap="round"/>
                        <v:imagedata o:title=""/>
                        <o:lock v:ext="edit" aspectratio="f"/>
                      </v:rect>
                      <v:rect id="矩形 93" o:spid="_x0000_s1026" o:spt="1" style="position:absolute;left:960755;top:2364105;height:217170;width:366395;"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ly06tcAAAAFAQAADwAAAAAAAAABACAAAAAiAAAAZHJz&#10;L2Rvd25yZXYueG1sUEsBAhQAFAAAAAgAh07iQK4v/xjMAQAAjQMAAA4AAAAAAAAAAQAgAAAAJgEA&#10;AGRycy9lMm9Eb2MueG1sUEsFBgAAAAAGAAYAWQEAAGQFAAAAAA==&#10;">
                        <v:fill on="f" focussize="0,0"/>
                        <v:stroke on="f"/>
                        <v:imagedata o:title=""/>
                        <o:lock v:ext="edit" aspectratio="f"/>
                        <v:textbox inset="0mm,0mm,0mm,0mm">
                          <w:txbxContent>
                            <w:p>
                              <w:pPr>
                                <w:rPr>
                                  <w:sz w:val="22"/>
                                  <w:szCs w:val="22"/>
                                </w:rPr>
                              </w:pPr>
                              <w:r>
                                <w:rPr>
                                  <w:rFonts w:hint="eastAsia"/>
                                  <w:sz w:val="22"/>
                                  <w:szCs w:val="22"/>
                                </w:rPr>
                                <w:t>成品</w:t>
                              </w:r>
                            </w:p>
                          </w:txbxContent>
                        </v:textbox>
                      </v:rect>
                      <v:group id="组合 157" o:spid="_x0000_s1026" o:spt="203" style="position:absolute;left:1450975;top:1911985;height:64770;width:304800;" coordorigin="3725,3011" coordsize="480,102" o:gfxdata="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hCyiZ9YAAAAFAQAADwAAAAAAAAABACAA&#10;AAAiAAAAZHJzL2Rvd25yZXYueG1sUEsBAhQAFAAAAAgAh07iQD3c9NxJBAAALg4AAA4AAAAAAAAA&#10;AQAgAAAAJQEAAGRycy9lMm9Eb2MueG1sUEsFBgAAAAAGAAYAWQEAAOAHAAAAAA==&#10;">
                        <o:lock v:ext="edit" aspectratio="f"/>
                        <v:shape id="任意多边形 94" o:spid="_x0000_s1026" o:spt="100" style="position:absolute;left:3725;top:3055;height:14;width:365;" fillcolor="#000000" filled="t" stroked="t" coordsize="489,16" o:gfxdata="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3RvzbsAAADb&#10;AAAADwAAAAAAAAABACAAAAAiAAAAZHJzL2Rvd25yZXYueG1sUEsBAhQAFAAAAAgAh07iQDMvBZ47&#10;AAAAOQAAABAAAAAAAAAAAQAgAAAACgEAAGRycy9zaGFwZXhtbC54bWxQSwUGAAAAAAYABgBbAQAA&#10;tAMAAAAA&#10;" path="m8,0l121,0c125,0,129,4,129,8c129,13,125,16,121,16l8,16c4,16,0,13,0,8c0,4,4,0,8,0xm201,0l313,0c317,0,321,4,321,8c321,13,317,16,313,16l201,16c196,16,193,13,193,8c193,4,196,0,201,0xm393,0l481,0c486,0,489,4,489,8c489,13,486,16,481,16l393,16c388,16,385,13,385,8c385,4,388,0,393,0xe">
                          <v:fill on="t" focussize="0,0"/>
                          <v:stroke weight="0.05pt" color="#000000" joinstyle="round"/>
                          <v:imagedata o:title=""/>
                          <o:lock v:ext="edit" aspectratio="f"/>
                        </v:shape>
                        <v:shape id="任意多边形 95" o:spid="_x0000_s1026" o:spt="100" style="position:absolute;left:4073;top:3011;height:102;width:132;" fillcolor="#000000" filled="t" stroked="f" coordsize="132,102" o:gfxdata="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xeB+62AAAA2wAAAA8A&#10;AAAAAAAAAQAgAAAAIgAAAGRycy9kb3ducmV2LnhtbFBLAQIUABQAAAAIAIdO4kAzLwWeOwAAADkA&#10;AAAQAAAAAAAAAAEAIAAAAAUBAABkcnMvc2hhcGV4bWwueG1sUEsFBgAAAAAGAAYAWwEAAK8DAAAA&#10;AA==&#10;" path="m0,0l132,51,0,102,0,0xe">
                          <v:fill on="t" focussize="0,0"/>
                          <v:stroke on="f"/>
                          <v:imagedata o:title=""/>
                          <o:lock v:ext="edit" aspectratio="f"/>
                        </v:shape>
                      </v:group>
                      <v:rect id="矩形 96" o:spid="_x0000_s1026" o:spt="1" style="position:absolute;left:1786255;top:1848485;height:207010;width:556895;"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XLTq1wAAAAUBAAAPAAAAAAAAAAEAIAAAACIAAABkcnMv&#10;ZG93bnJldi54bWxQSwECFAAUAAAACACHTuJAeiL//ssBAACOAwAADgAAAAAAAAABACAAAAAmAQAA&#10;ZHJzL2Uyb0RvYy54bWxQSwUGAAAAAAYABgBZAQAAYwUAAAAA&#10;">
                        <v:fill on="f" focussize="0,0"/>
                        <v:stroke on="f"/>
                        <v:imagedata o:title=""/>
                        <o:lock v:ext="edit" aspectratio="f"/>
                        <v:textbox inset="0mm,0mm,0mm,0mm">
                          <w:txbxContent>
                            <w:p>
                              <w:r>
                                <w:rPr>
                                  <w:rFonts w:hint="eastAsia" w:ascii="宋体" w:cs="宋体"/>
                                  <w:color w:val="000000"/>
                                  <w:kern w:val="0"/>
                                  <w:sz w:val="16"/>
                                  <w:szCs w:val="16"/>
                                </w:rPr>
                                <w:t xml:space="preserve">粉尘、噪声 </w:t>
                              </w:r>
                            </w:p>
                          </w:txbxContent>
                        </v:textbox>
                      </v:rect>
                      <v:line id="直接连接符 64" o:spid="_x0000_s1026" o:spt="20" style="position:absolute;left:1151255;top:1513205;flip:x;height:243840;width:5715;" filled="f" stroked="t" coordsize="21600,21600" o:gfxdata="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TvpFfVAAAABQEAAA8AAAAAAAAAAQAgAAAAIgAAAGRycy9k&#10;b3ducmV2LnhtbFBLAQIUABQAAAAIAIdO4kAjXu+LBQIAAPEDAAAOAAAAAAAAAAEAIAAAACQBAABk&#10;cnMvZTJvRG9jLnhtbFBLBQYAAAAABgAGAFkBAACbBQAAAAA=&#10;">
                        <v:fill on="f" focussize="0,0"/>
                        <v:stroke weight="0.6pt" color="#000000" joinstyle="round" endcap="round"/>
                        <v:imagedata o:title=""/>
                        <o:lock v:ext="edit" aspectratio="f"/>
                      </v:line>
                      <v:shape id="任意多边形 65" o:spid="_x0000_s1026" o:spt="100" style="position:absolute;left:1122680;top:1703705;height:97790;width:55880;" fillcolor="#000000" filled="t" stroked="f" coordsize="88,154" o:gfxdata="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XJ5a1AAA&#10;AAUBAAAPAAAAAAAAAAEAIAAAACIAAABkcnMvZG93bnJldi54bWxQSwECFAAUAAAACACHTuJANreE&#10;2iICAACBBAAADgAAAAAAAAABACAAAAAjAQAAZHJzL2Uyb0RvYy54bWxQSwUGAAAAAAYABgBZAQAA&#10;twUAAAAA&#10;" path="m88,2l41,154,0,0,88,2xe">
                        <v:fill on="t" focussize="0,0"/>
                        <v:stroke on="f"/>
                        <v:imagedata o:title=""/>
                        <o:lock v:ext="edit" aspectratio="f"/>
                      </v:shape>
                      <v:group id="组合 154" o:spid="_x0000_s1026" o:spt="203" style="position:absolute;left:1132205;top:2056130;height:332740;width:55880;" coordorigin="1744,437" coordsize="88,524" o:gfxdata="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hCyiZ9YAAAAF&#10;AQAADwAAAAAAAAABACAAAAAiAAAAZHJzL2Rvd25yZXYueG1sUEsBAhQAFAAAAAgAh07iQNQTJkI7&#10;AwAAtAcAAA4AAAAAAAAAAQAgAAAAJQEAAGRycy9lMm9Eb2MueG1sUEsFBgAAAAAGAAYAWQEAANIG&#10;AAAAAA==&#10;">
                        <o:lock v:ext="edit" aspectratio="f"/>
                        <v:line id="直接连接符 64" o:spid="_x0000_s1026" o:spt="20" style="position:absolute;left:1788;top:437;flip:x;height:384;width:9;" filled="f" stroked="t" coordsize="21600,21600" o:gfxdata="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TaHrsAAADb&#10;AAAADwAAAAAAAAABACAAAAAiAAAAZHJzL2Rvd25yZXYueG1sUEsBAhQAFAAAAAgAh07iQDMvBZ47&#10;AAAAOQAAABAAAAAAAAAAAQAgAAAACgEAAGRycy9zaGFwZXhtbC54bWxQSwUGAAAAAAYABgBbAQAA&#10;tAMAAAAA&#10;">
                          <v:fill on="f" focussize="0,0"/>
                          <v:stroke weight="0.6pt" color="#000000" joinstyle="round" endcap="round"/>
                          <v:imagedata o:title=""/>
                          <o:lock v:ext="edit" aspectratio="f"/>
                        </v:line>
                        <v:shape id="任意多边形 65" o:spid="_x0000_s1026" o:spt="100" style="position:absolute;left:1744;top:807;height:154;width:88;" fillcolor="#000000" filled="t" stroked="f" coordsize="88,154" o:gfxdata="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9J+u8AAAA&#10;2wAAAA8AAAAAAAAAAQAgAAAAIgAAAGRycy9kb3ducmV2LnhtbFBLAQIUABQAAAAIAIdO4kAzLwWe&#10;OwAAADkAAAAQAAAAAAAAAAEAIAAAAAsBAABkcnMvc2hhcGV4bWwueG1sUEsFBgAAAAAGAAYAWwEA&#10;ALUDAAAAAA==&#10;" path="m88,2l41,154,0,0,88,2xe">
                          <v:fill on="t" focussize="0,0"/>
                          <v:stroke on="f"/>
                          <v:imagedata o:title=""/>
                          <o:lock v:ext="edit" aspectratio="f"/>
                        </v:shape>
                      </v:group>
                      <v:rect id="矩形 96" o:spid="_x0000_s1026" o:spt="1" style="position:absolute;left:27305;top:1284605;height:207010;width:556895;"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XLTq1wAAAAUBAAAPAAAAAAAAAAEAIAAAACIAAABkcnMvZG93&#10;bnJldi54bWxQSwECFAAUAAAACACHTuJA8TjDH8gBAACMAwAADgAAAAAAAAABACAAAAAmAQAAZHJz&#10;L2Uyb0RvYy54bWxQSwUGAAAAAAYABgBZAQAAYAUAAAAA&#10;">
                        <v:fill on="f" focussize="0,0"/>
                        <v:stroke on="f"/>
                        <v:imagedata o:title=""/>
                        <o:lock v:ext="edit" aspectratio="f"/>
                        <v:textbox inset="0mm,0mm,0mm,0mm">
                          <w:txbxContent>
                            <w:p>
                              <w:r>
                                <w:rPr>
                                  <w:rFonts w:hint="eastAsia" w:ascii="宋体" w:cs="宋体"/>
                                  <w:color w:val="000000"/>
                                  <w:kern w:val="0"/>
                                  <w:sz w:val="16"/>
                                  <w:szCs w:val="16"/>
                                </w:rPr>
                                <w:t xml:space="preserve">粉尘、噪声 </w:t>
                              </w:r>
                            </w:p>
                          </w:txbxContent>
                        </v:textbox>
                      </v:rect>
                      <v:rect id="矩形 96" o:spid="_x0000_s1026" o:spt="1" style="position:absolute;left:0;top:646430;height:207010;width:556895;" filled="f" stroked="f" coordsize="21600,21600" o:gfxdata="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JctOrXAAAABQEAAA8AAAAAAAAAAQAgAAAAIgAAAGRycy9kb3ducmV2&#10;LnhtbFBLAQIUABQAAAAIAIdO4kB9yZ6oxAEAAIcDAAAOAAAAAAAAAAEAIAAAACYBAABkcnMvZTJv&#10;RG9jLnhtbFBLBQYAAAAABgAGAFkBAABcBQAAAAA=&#10;">
                        <v:fill on="f" focussize="0,0"/>
                        <v:stroke on="f"/>
                        <v:imagedata o:title=""/>
                        <o:lock v:ext="edit" aspectratio="f"/>
                        <v:textbox inset="0mm,0mm,0mm,0mm">
                          <w:txbxContent>
                            <w:p>
                              <w:r>
                                <w:rPr>
                                  <w:rFonts w:hint="eastAsia" w:ascii="宋体" w:cs="宋体"/>
                                  <w:color w:val="000000"/>
                                  <w:kern w:val="0"/>
                                  <w:sz w:val="16"/>
                                  <w:szCs w:val="16"/>
                                </w:rPr>
                                <w:t xml:space="preserve">粉尘、噪声 </w:t>
                              </w:r>
                            </w:p>
                          </w:txbxContent>
                        </v:textbox>
                      </v:rect>
                      <w10:wrap type="none"/>
                      <w10:anchorlock/>
                    </v:group>
                  </w:pict>
                </mc:Fallback>
              </mc:AlternateContent>
            </w:r>
          </w:p>
          <w:p>
            <w:pPr>
              <w:jc w:val="center"/>
              <w:rPr>
                <w:b/>
                <w:bCs/>
                <w:sz w:val="24"/>
              </w:rPr>
            </w:pPr>
            <w:r>
              <w:rPr>
                <w:b/>
                <w:bCs/>
                <w:sz w:val="24"/>
              </w:rPr>
              <w:t>图</w:t>
            </w:r>
            <w:r>
              <w:rPr>
                <w:rFonts w:hint="eastAsia"/>
                <w:b/>
                <w:bCs/>
                <w:sz w:val="24"/>
              </w:rPr>
              <w:t>3</w:t>
            </w:r>
            <w:r>
              <w:rPr>
                <w:b/>
                <w:bCs/>
                <w:sz w:val="24"/>
              </w:rPr>
              <w:t xml:space="preserve"> </w:t>
            </w:r>
            <w:r>
              <w:rPr>
                <w:rFonts w:hint="eastAsia"/>
                <w:b/>
                <w:bCs/>
                <w:sz w:val="24"/>
              </w:rPr>
              <w:t xml:space="preserve">   本项目</w:t>
            </w:r>
            <w:r>
              <w:rPr>
                <w:b/>
                <w:bCs/>
                <w:sz w:val="24"/>
              </w:rPr>
              <w:t>生产工艺流程及主要产排污节点图</w:t>
            </w:r>
          </w:p>
          <w:p>
            <w:pPr>
              <w:spacing w:line="360" w:lineRule="auto"/>
              <w:ind w:firstLine="480" w:firstLineChars="200"/>
              <w:rPr>
                <w:sz w:val="24"/>
                <w:szCs w:val="20"/>
              </w:rPr>
            </w:pPr>
            <w:r>
              <w:rPr>
                <w:sz w:val="24"/>
                <w:szCs w:val="20"/>
              </w:rPr>
              <w:t>工艺流程简述如下：</w:t>
            </w:r>
          </w:p>
          <w:p>
            <w:pPr>
              <w:pStyle w:val="33"/>
              <w:spacing w:line="360" w:lineRule="auto"/>
              <w:ind w:firstLine="480" w:firstLineChars="0"/>
              <w:rPr>
                <w:sz w:val="24"/>
                <w:szCs w:val="20"/>
              </w:rPr>
            </w:pPr>
            <w:r>
              <w:rPr>
                <w:rFonts w:hint="eastAsia"/>
                <w:sz w:val="24"/>
                <w:szCs w:val="20"/>
              </w:rPr>
              <w:t>根据建设单位提供资料，本项目原材料不需进行选料工序，直接进行生产，因此本项目工艺流程如下：</w:t>
            </w:r>
          </w:p>
          <w:p>
            <w:pPr>
              <w:adjustRightInd w:val="0"/>
              <w:snapToGrid w:val="0"/>
              <w:spacing w:line="360" w:lineRule="auto"/>
              <w:ind w:firstLine="480" w:firstLineChars="200"/>
              <w:rPr>
                <w:sz w:val="24"/>
              </w:rPr>
            </w:pPr>
            <w:r>
              <w:rPr>
                <w:rFonts w:hint="eastAsia"/>
                <w:sz w:val="24"/>
              </w:rPr>
              <w:t>1）原料输送：本项目原材料由货车运至原料库，由铲车从原料堆场运至进料口，经皮带输送机输送至前仓，再通过密闭进料斗提机输送至反击式破碎机。</w:t>
            </w:r>
          </w:p>
          <w:p>
            <w:pPr>
              <w:adjustRightInd w:val="0"/>
              <w:snapToGrid w:val="0"/>
              <w:spacing w:line="360" w:lineRule="auto"/>
              <w:ind w:firstLine="480" w:firstLineChars="200"/>
              <w:rPr>
                <w:sz w:val="24"/>
              </w:rPr>
            </w:pPr>
            <w:r>
              <w:rPr>
                <w:rFonts w:hint="eastAsia"/>
                <w:sz w:val="24"/>
              </w:rPr>
              <w:t>2）一次破碎：</w:t>
            </w:r>
            <w:r>
              <w:rPr>
                <w:rFonts w:hint="eastAsia"/>
                <w:sz w:val="24"/>
                <w:szCs w:val="20"/>
              </w:rPr>
              <w:t>原料进入反击式破碎机</w:t>
            </w:r>
            <w:r>
              <w:rPr>
                <w:sz w:val="24"/>
                <w:szCs w:val="20"/>
              </w:rPr>
              <w:t>高速旋转的转盘</w:t>
            </w:r>
            <w:r>
              <w:rPr>
                <w:rFonts w:hint="eastAsia"/>
                <w:sz w:val="24"/>
                <w:szCs w:val="20"/>
              </w:rPr>
              <w:t>，</w:t>
            </w:r>
            <w:r>
              <w:rPr>
                <w:sz w:val="24"/>
                <w:szCs w:val="20"/>
              </w:rPr>
              <w:t>在高速离心力的作用下，与另一部分以伞型方式分流在转盘四周的飞石产生高速碰撞与高密度的粉碎，石料在互相打击后，又会在转盘和机壳之间形成涡流运动而造成多次的互相打击、粉碎。</w:t>
            </w:r>
          </w:p>
          <w:p>
            <w:pPr>
              <w:adjustRightInd w:val="0"/>
              <w:snapToGrid w:val="0"/>
              <w:spacing w:line="360" w:lineRule="auto"/>
              <w:ind w:firstLine="480" w:firstLineChars="200"/>
              <w:rPr>
                <w:sz w:val="24"/>
                <w:szCs w:val="20"/>
              </w:rPr>
            </w:pPr>
            <w:r>
              <w:rPr>
                <w:rFonts w:hint="eastAsia"/>
                <w:sz w:val="24"/>
              </w:rPr>
              <w:t>3）二次破碎：</w:t>
            </w:r>
            <w:r>
              <w:rPr>
                <w:rFonts w:hint="eastAsia"/>
                <w:sz w:val="24"/>
                <w:szCs w:val="20"/>
              </w:rPr>
              <w:t>经第一次破碎后，物料经过皮带运输机运输至冲击式制砂机进料斗进行第二次破碎，</w:t>
            </w:r>
            <w:r>
              <w:rPr>
                <w:rFonts w:hint="eastAsia"/>
                <w:sz w:val="24"/>
              </w:rPr>
              <w:t>经分料器将</w:t>
            </w:r>
            <w:r>
              <w:fldChar w:fldCharType="begin"/>
            </w:r>
            <w:r>
              <w:instrText xml:space="preserve"> HYPERLINK "https://baike.so.com/doc/5982742-6195707.html" \t "https://baike.so.com/doc/_blank" </w:instrText>
            </w:r>
            <w:r>
              <w:fldChar w:fldCharType="separate"/>
            </w:r>
            <w:r>
              <w:rPr>
                <w:rFonts w:hint="eastAsia"/>
                <w:sz w:val="24"/>
              </w:rPr>
              <w:t>物料</w:t>
            </w:r>
            <w:r>
              <w:rPr>
                <w:rFonts w:hint="eastAsia"/>
                <w:sz w:val="24"/>
              </w:rPr>
              <w:fldChar w:fldCharType="end"/>
            </w:r>
            <w:r>
              <w:rPr>
                <w:rFonts w:hint="eastAsia"/>
                <w:sz w:val="24"/>
              </w:rPr>
              <w:t>分成两部分，一部分由分料器中间进入高速旋转的叶轮中，在叶轮内被迅速加速，其加速度可达数百倍重力加速度，然后以60-70米/秒的速度从叶轮三个均布的流道内抛射出去，首先同由分料器四周自收落下的一部分物料冲击破碎，然后一起冲击到涡支腔内物料衬层上，被物料衬层反弹，斜向上冲击到涡动腔的顶部，又改变其运动方向，偏转向下运动，从叶轮流道发射出来的物料形成连续的物料幕。被破碎的物料由下部排料口排出。</w:t>
            </w:r>
          </w:p>
          <w:p>
            <w:pPr>
              <w:adjustRightInd w:val="0"/>
              <w:snapToGrid w:val="0"/>
              <w:spacing w:line="360" w:lineRule="auto"/>
              <w:ind w:firstLine="480" w:firstLineChars="200"/>
            </w:pPr>
            <w:r>
              <w:rPr>
                <w:rFonts w:hint="eastAsia"/>
                <w:sz w:val="24"/>
              </w:rPr>
              <w:t>4）筛分、出料：二次破碎后的产品自由落入振动式分筛机，振动筛分机是利用激振器（偏心块或偏心轴）产生的激振力，使筛体沿激振力方向作做周期性往复振动，物料在筛面上圆周跳动，然后通过不同的筛孔把不同规格的物料分级规整到所要求的筛面，汇集后输送到指定区域，以达到分级或脱介目的。本项目得到4个规格的产品，即石粉砂(0-0.5mm)、碎石(5-10mm、10-20mm、20-30mm)，同时，项目在振动式筛分机上方设置集气罩收集废气，同破碎粉尘一起通过布袋除尘器处理，粉尘经除尘器下方的罐暂存后定期作石粉砂成品直接由罐车外售。</w:t>
            </w:r>
            <w:bookmarkStart w:id="6" w:name="3435975-3615977-2"/>
            <w:bookmarkEnd w:id="6"/>
          </w:p>
          <w:p>
            <w:pPr>
              <w:pStyle w:val="33"/>
              <w:spacing w:line="360" w:lineRule="auto"/>
              <w:ind w:firstLine="0" w:firstLineChars="0"/>
              <w:rPr>
                <w:b/>
                <w:spacing w:val="-2"/>
                <w:sz w:val="24"/>
              </w:rPr>
            </w:pPr>
            <w:r>
              <w:rPr>
                <w:rFonts w:hint="eastAsia"/>
                <w:b/>
                <w:spacing w:val="-2"/>
                <w:sz w:val="24"/>
              </w:rPr>
              <w:t>主要污染工序</w:t>
            </w:r>
          </w:p>
          <w:p>
            <w:pPr>
              <w:pStyle w:val="33"/>
              <w:spacing w:line="360" w:lineRule="auto"/>
              <w:ind w:left="474" w:firstLine="0" w:firstLineChars="0"/>
              <w:rPr>
                <w:b/>
                <w:spacing w:val="-2"/>
                <w:sz w:val="24"/>
              </w:rPr>
            </w:pPr>
            <w:r>
              <w:rPr>
                <w:rFonts w:hint="eastAsia"/>
                <w:b/>
                <w:spacing w:val="-2"/>
                <w:sz w:val="24"/>
              </w:rPr>
              <w:t>一、</w:t>
            </w:r>
            <w:r>
              <w:rPr>
                <w:b/>
                <w:spacing w:val="-2"/>
                <w:sz w:val="24"/>
              </w:rPr>
              <w:t>施工期</w:t>
            </w:r>
            <w:r>
              <w:rPr>
                <w:rFonts w:hint="eastAsia"/>
                <w:b/>
                <w:spacing w:val="-2"/>
                <w:sz w:val="24"/>
              </w:rPr>
              <w:t>主要污染源</w:t>
            </w:r>
          </w:p>
          <w:p>
            <w:pPr>
              <w:spacing w:line="348" w:lineRule="auto"/>
              <w:ind w:firstLine="480" w:firstLineChars="200"/>
              <w:rPr>
                <w:sz w:val="24"/>
              </w:rPr>
            </w:pPr>
            <w:r>
              <w:rPr>
                <w:rFonts w:hint="eastAsia"/>
                <w:sz w:val="24"/>
              </w:rPr>
              <w:t>1、</w:t>
            </w:r>
            <w:r>
              <w:rPr>
                <w:sz w:val="24"/>
              </w:rPr>
              <w:t>废气</w:t>
            </w:r>
          </w:p>
          <w:p>
            <w:pPr>
              <w:pStyle w:val="9"/>
              <w:spacing w:line="360" w:lineRule="auto"/>
              <w:ind w:firstLine="480" w:firstLineChars="200"/>
              <w:rPr>
                <w:rFonts w:ascii="Times New Roman" w:hAnsi="Times New Roman"/>
                <w:sz w:val="24"/>
              </w:rPr>
            </w:pPr>
            <w:r>
              <w:rPr>
                <w:rFonts w:hint="eastAsia" w:ascii="Times New Roman" w:hAnsi="Times New Roman"/>
                <w:sz w:val="24"/>
              </w:rPr>
              <w:t>施工期大气污染主要是由于施工活动过程中，地面清扫、土石方开挖、</w:t>
            </w:r>
            <w:r>
              <w:rPr>
                <w:rFonts w:ascii="Times New Roman" w:hAnsi="Times New Roman"/>
                <w:sz w:val="24"/>
              </w:rPr>
              <w:t>施工材料</w:t>
            </w:r>
            <w:r>
              <w:rPr>
                <w:rFonts w:hint="eastAsia" w:ascii="Times New Roman" w:hAnsi="Times New Roman"/>
                <w:sz w:val="24"/>
              </w:rPr>
              <w:t>装卸和</w:t>
            </w:r>
            <w:r>
              <w:rPr>
                <w:rFonts w:ascii="Times New Roman" w:hAnsi="Times New Roman"/>
                <w:sz w:val="24"/>
              </w:rPr>
              <w:t>运输</w:t>
            </w:r>
            <w:r>
              <w:rPr>
                <w:rFonts w:hint="eastAsia" w:ascii="Times New Roman" w:hAnsi="Times New Roman"/>
                <w:sz w:val="24"/>
              </w:rPr>
              <w:t>产生的扬尘，以及施工机械排放的尾气等。</w:t>
            </w:r>
          </w:p>
          <w:p>
            <w:pPr>
              <w:spacing w:line="348" w:lineRule="auto"/>
              <w:ind w:firstLine="480" w:firstLineChars="200"/>
              <w:rPr>
                <w:sz w:val="24"/>
              </w:rPr>
            </w:pPr>
            <w:r>
              <w:rPr>
                <w:rFonts w:hint="eastAsia"/>
                <w:sz w:val="24"/>
              </w:rPr>
              <w:t>2、</w:t>
            </w:r>
            <w:r>
              <w:rPr>
                <w:sz w:val="24"/>
              </w:rPr>
              <w:t>废水</w:t>
            </w:r>
          </w:p>
          <w:p>
            <w:pPr>
              <w:spacing w:line="360" w:lineRule="auto"/>
              <w:ind w:firstLine="480"/>
              <w:rPr>
                <w:bCs/>
                <w:sz w:val="24"/>
              </w:rPr>
            </w:pPr>
            <w:r>
              <w:rPr>
                <w:bCs/>
                <w:sz w:val="24"/>
              </w:rPr>
              <w:t>本项目不设施工营地，</w:t>
            </w:r>
            <w:r>
              <w:rPr>
                <w:rFonts w:hint="eastAsia"/>
                <w:bCs/>
                <w:sz w:val="24"/>
              </w:rPr>
              <w:t>租房居民房，</w:t>
            </w:r>
            <w:r>
              <w:rPr>
                <w:bCs/>
                <w:sz w:val="24"/>
              </w:rPr>
              <w:t>施工期的废水主要为建筑施工废水。施工废水主要污染物</w:t>
            </w:r>
            <w:r>
              <w:rPr>
                <w:rFonts w:hint="eastAsia"/>
                <w:bCs/>
                <w:sz w:val="24"/>
              </w:rPr>
              <w:t>为SS</w:t>
            </w:r>
            <w:r>
              <w:rPr>
                <w:bCs/>
                <w:sz w:val="24"/>
              </w:rPr>
              <w:t>。</w:t>
            </w:r>
          </w:p>
          <w:p>
            <w:pPr>
              <w:spacing w:line="348" w:lineRule="auto"/>
              <w:ind w:firstLine="480" w:firstLineChars="200"/>
              <w:rPr>
                <w:sz w:val="24"/>
              </w:rPr>
            </w:pPr>
            <w:r>
              <w:rPr>
                <w:rFonts w:hint="eastAsia"/>
                <w:sz w:val="24"/>
              </w:rPr>
              <w:t>3、</w:t>
            </w:r>
            <w:r>
              <w:rPr>
                <w:sz w:val="24"/>
              </w:rPr>
              <w:t>噪声</w:t>
            </w:r>
          </w:p>
          <w:p>
            <w:pPr>
              <w:spacing w:line="348" w:lineRule="auto"/>
              <w:ind w:firstLine="480" w:firstLineChars="200"/>
              <w:rPr>
                <w:sz w:val="24"/>
              </w:rPr>
            </w:pPr>
            <w:r>
              <w:rPr>
                <w:sz w:val="24"/>
              </w:rPr>
              <w:t>本项目施工过程使用的机械主要有：挖掘机、混凝土罐车、装载机、轻型载重卡车等，根据《噪声与振动控制工程手册》，上述施工机械单体设备的声源声级一般在8</w:t>
            </w:r>
            <w:r>
              <w:rPr>
                <w:rFonts w:hint="eastAsia"/>
                <w:sz w:val="24"/>
              </w:rPr>
              <w:t>0</w:t>
            </w:r>
            <w:r>
              <w:rPr>
                <w:sz w:val="24"/>
              </w:rPr>
              <w:t>dB(A)以上。施工期噪声影响虽然是暂时的，但是施工过程中采用的施工机械一般都具有噪声高、无规则等特点，且无明显的指向性，如不加以控制，将会对项目</w:t>
            </w:r>
            <w:r>
              <w:rPr>
                <w:rFonts w:hint="eastAsia"/>
                <w:sz w:val="24"/>
              </w:rPr>
              <w:t>西</w:t>
            </w:r>
            <w:r>
              <w:rPr>
                <w:sz w:val="24"/>
              </w:rPr>
              <w:t>侧敏感点产生一定影响。此外，施工运输车辆产生的交通噪声，一般声级可达到80dB(A)以上。</w:t>
            </w:r>
          </w:p>
          <w:p>
            <w:pPr>
              <w:spacing w:line="348" w:lineRule="auto"/>
              <w:ind w:firstLine="480" w:firstLineChars="200"/>
              <w:rPr>
                <w:sz w:val="24"/>
              </w:rPr>
            </w:pPr>
            <w:r>
              <w:rPr>
                <w:sz w:val="24"/>
              </w:rPr>
              <w:t>施工期间主要机械设备噪声源强见表</w:t>
            </w:r>
            <w:r>
              <w:rPr>
                <w:rFonts w:hint="eastAsia"/>
                <w:sz w:val="24"/>
              </w:rPr>
              <w:t>15</w:t>
            </w:r>
            <w:r>
              <w:rPr>
                <w:sz w:val="24"/>
              </w:rPr>
              <w:t>。</w:t>
            </w:r>
          </w:p>
          <w:p>
            <w:pPr>
              <w:adjustRightInd w:val="0"/>
              <w:snapToGrid w:val="0"/>
              <w:spacing w:line="360" w:lineRule="auto"/>
              <w:ind w:firstLine="420" w:firstLineChars="200"/>
              <w:jc w:val="center"/>
              <w:rPr>
                <w:b/>
                <w:szCs w:val="21"/>
              </w:rPr>
            </w:pPr>
          </w:p>
          <w:p>
            <w:pPr>
              <w:adjustRightInd w:val="0"/>
              <w:snapToGrid w:val="0"/>
              <w:ind w:firstLine="420" w:firstLineChars="200"/>
              <w:jc w:val="center"/>
              <w:rPr>
                <w:b/>
                <w:szCs w:val="21"/>
              </w:rPr>
            </w:pPr>
            <w:r>
              <w:rPr>
                <w:b/>
                <w:szCs w:val="21"/>
              </w:rPr>
              <w:t>表1</w:t>
            </w:r>
            <w:r>
              <w:rPr>
                <w:rFonts w:hint="eastAsia"/>
                <w:b/>
                <w:szCs w:val="21"/>
              </w:rPr>
              <w:t xml:space="preserve">5   </w:t>
            </w:r>
            <w:r>
              <w:rPr>
                <w:b/>
                <w:szCs w:val="21"/>
              </w:rPr>
              <w:t xml:space="preserve"> 施工期主要噪声源强表单位：dB(A)</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88"/>
              <w:gridCol w:w="1842"/>
              <w:gridCol w:w="2124"/>
              <w:gridCol w:w="1994"/>
              <w:gridCol w:w="1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602" w:type="pct"/>
                  <w:vAlign w:val="center"/>
                </w:tcPr>
                <w:p>
                  <w:pPr>
                    <w:jc w:val="center"/>
                    <w:rPr>
                      <w:szCs w:val="21"/>
                    </w:rPr>
                  </w:pPr>
                  <w:r>
                    <w:rPr>
                      <w:szCs w:val="21"/>
                    </w:rPr>
                    <w:t>序号</w:t>
                  </w:r>
                </w:p>
              </w:tc>
              <w:tc>
                <w:tcPr>
                  <w:tcW w:w="1018" w:type="pct"/>
                  <w:vAlign w:val="center"/>
                </w:tcPr>
                <w:p>
                  <w:pPr>
                    <w:jc w:val="center"/>
                    <w:rPr>
                      <w:szCs w:val="21"/>
                    </w:rPr>
                  </w:pPr>
                  <w:r>
                    <w:rPr>
                      <w:szCs w:val="21"/>
                    </w:rPr>
                    <w:t>机械类型</w:t>
                  </w:r>
                </w:p>
              </w:tc>
              <w:tc>
                <w:tcPr>
                  <w:tcW w:w="1174" w:type="pct"/>
                  <w:vAlign w:val="center"/>
                </w:tcPr>
                <w:p>
                  <w:pPr>
                    <w:jc w:val="center"/>
                    <w:rPr>
                      <w:szCs w:val="21"/>
                    </w:rPr>
                  </w:pPr>
                  <w:r>
                    <w:rPr>
                      <w:szCs w:val="21"/>
                    </w:rPr>
                    <w:t>距声源距离（m）</w:t>
                  </w:r>
                </w:p>
              </w:tc>
              <w:tc>
                <w:tcPr>
                  <w:tcW w:w="1102" w:type="pct"/>
                  <w:vAlign w:val="center"/>
                </w:tcPr>
                <w:p>
                  <w:pPr>
                    <w:jc w:val="center"/>
                    <w:rPr>
                      <w:szCs w:val="21"/>
                    </w:rPr>
                  </w:pPr>
                  <w:r>
                    <w:rPr>
                      <w:szCs w:val="21"/>
                    </w:rPr>
                    <w:t>声源特点</w:t>
                  </w:r>
                </w:p>
              </w:tc>
              <w:tc>
                <w:tcPr>
                  <w:tcW w:w="1101" w:type="pct"/>
                  <w:vAlign w:val="center"/>
                </w:tcPr>
                <w:p>
                  <w:pPr>
                    <w:jc w:val="center"/>
                    <w:rPr>
                      <w:szCs w:val="21"/>
                    </w:rPr>
                  </w:pPr>
                  <w:r>
                    <w:rPr>
                      <w:szCs w:val="21"/>
                    </w:rPr>
                    <w:t>最大声级（dB）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02" w:type="pct"/>
                  <w:vAlign w:val="center"/>
                </w:tcPr>
                <w:p>
                  <w:pPr>
                    <w:jc w:val="center"/>
                    <w:rPr>
                      <w:szCs w:val="21"/>
                    </w:rPr>
                  </w:pPr>
                  <w:r>
                    <w:rPr>
                      <w:szCs w:val="21"/>
                    </w:rPr>
                    <w:t>1</w:t>
                  </w:r>
                </w:p>
              </w:tc>
              <w:tc>
                <w:tcPr>
                  <w:tcW w:w="1018" w:type="pct"/>
                  <w:vAlign w:val="center"/>
                </w:tcPr>
                <w:p>
                  <w:pPr>
                    <w:jc w:val="center"/>
                    <w:rPr>
                      <w:szCs w:val="21"/>
                    </w:rPr>
                  </w:pPr>
                  <w:r>
                    <w:rPr>
                      <w:szCs w:val="21"/>
                    </w:rPr>
                    <w:t>挖掘机</w:t>
                  </w:r>
                </w:p>
              </w:tc>
              <w:tc>
                <w:tcPr>
                  <w:tcW w:w="1174" w:type="pct"/>
                  <w:vAlign w:val="center"/>
                </w:tcPr>
                <w:p>
                  <w:pPr>
                    <w:jc w:val="center"/>
                    <w:rPr>
                      <w:szCs w:val="21"/>
                    </w:rPr>
                  </w:pPr>
                  <w:r>
                    <w:rPr>
                      <w:szCs w:val="21"/>
                    </w:rPr>
                    <w:t>5</w:t>
                  </w:r>
                </w:p>
              </w:tc>
              <w:tc>
                <w:tcPr>
                  <w:tcW w:w="1102" w:type="pct"/>
                  <w:vAlign w:val="center"/>
                </w:tcPr>
                <w:p>
                  <w:pPr>
                    <w:jc w:val="center"/>
                    <w:rPr>
                      <w:szCs w:val="21"/>
                    </w:rPr>
                  </w:pPr>
                  <w:r>
                    <w:rPr>
                      <w:szCs w:val="21"/>
                    </w:rPr>
                    <w:t>流动不稳态源</w:t>
                  </w:r>
                </w:p>
              </w:tc>
              <w:tc>
                <w:tcPr>
                  <w:tcW w:w="1101" w:type="pct"/>
                  <w:vAlign w:val="center"/>
                </w:tcPr>
                <w:p>
                  <w:pPr>
                    <w:jc w:val="center"/>
                    <w:rPr>
                      <w:szCs w:val="21"/>
                    </w:rPr>
                  </w:pPr>
                  <w:r>
                    <w:rPr>
                      <w:szCs w:val="21"/>
                    </w:rPr>
                    <w:t>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02" w:type="pct"/>
                  <w:vAlign w:val="center"/>
                </w:tcPr>
                <w:p>
                  <w:pPr>
                    <w:jc w:val="center"/>
                    <w:rPr>
                      <w:szCs w:val="21"/>
                    </w:rPr>
                  </w:pPr>
                  <w:r>
                    <w:rPr>
                      <w:szCs w:val="21"/>
                    </w:rPr>
                    <w:t>2</w:t>
                  </w:r>
                </w:p>
              </w:tc>
              <w:tc>
                <w:tcPr>
                  <w:tcW w:w="1018" w:type="pct"/>
                  <w:vAlign w:val="center"/>
                </w:tcPr>
                <w:p>
                  <w:pPr>
                    <w:jc w:val="center"/>
                    <w:rPr>
                      <w:szCs w:val="21"/>
                    </w:rPr>
                  </w:pPr>
                  <w:r>
                    <w:rPr>
                      <w:szCs w:val="21"/>
                    </w:rPr>
                    <w:t>混凝土罐车</w:t>
                  </w:r>
                </w:p>
              </w:tc>
              <w:tc>
                <w:tcPr>
                  <w:tcW w:w="1174" w:type="pct"/>
                  <w:vAlign w:val="center"/>
                </w:tcPr>
                <w:p>
                  <w:pPr>
                    <w:jc w:val="center"/>
                    <w:rPr>
                      <w:szCs w:val="21"/>
                    </w:rPr>
                  </w:pPr>
                  <w:r>
                    <w:rPr>
                      <w:szCs w:val="21"/>
                    </w:rPr>
                    <w:t>5</w:t>
                  </w:r>
                </w:p>
              </w:tc>
              <w:tc>
                <w:tcPr>
                  <w:tcW w:w="1102" w:type="pct"/>
                  <w:vAlign w:val="center"/>
                </w:tcPr>
                <w:p>
                  <w:pPr>
                    <w:jc w:val="center"/>
                    <w:rPr>
                      <w:szCs w:val="21"/>
                    </w:rPr>
                  </w:pPr>
                  <w:r>
                    <w:rPr>
                      <w:szCs w:val="21"/>
                    </w:rPr>
                    <w:t>流动不稳态源</w:t>
                  </w:r>
                </w:p>
              </w:tc>
              <w:tc>
                <w:tcPr>
                  <w:tcW w:w="1101" w:type="pct"/>
                  <w:vAlign w:val="center"/>
                </w:tcPr>
                <w:p>
                  <w:pPr>
                    <w:jc w:val="center"/>
                    <w:rPr>
                      <w:szCs w:val="21"/>
                    </w:rPr>
                  </w:pPr>
                  <w:r>
                    <w:rPr>
                      <w:szCs w:val="21"/>
                    </w:rPr>
                    <w:t>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02" w:type="pct"/>
                  <w:vAlign w:val="center"/>
                </w:tcPr>
                <w:p>
                  <w:pPr>
                    <w:jc w:val="center"/>
                    <w:rPr>
                      <w:szCs w:val="21"/>
                    </w:rPr>
                  </w:pPr>
                  <w:r>
                    <w:rPr>
                      <w:szCs w:val="21"/>
                    </w:rPr>
                    <w:t>3</w:t>
                  </w:r>
                </w:p>
              </w:tc>
              <w:tc>
                <w:tcPr>
                  <w:tcW w:w="1018" w:type="pct"/>
                  <w:vAlign w:val="center"/>
                </w:tcPr>
                <w:p>
                  <w:pPr>
                    <w:jc w:val="center"/>
                    <w:rPr>
                      <w:szCs w:val="21"/>
                    </w:rPr>
                  </w:pPr>
                  <w:r>
                    <w:rPr>
                      <w:szCs w:val="21"/>
                    </w:rPr>
                    <w:t>装载机</w:t>
                  </w:r>
                </w:p>
              </w:tc>
              <w:tc>
                <w:tcPr>
                  <w:tcW w:w="1174" w:type="pct"/>
                  <w:vAlign w:val="center"/>
                </w:tcPr>
                <w:p>
                  <w:pPr>
                    <w:jc w:val="center"/>
                    <w:rPr>
                      <w:szCs w:val="21"/>
                    </w:rPr>
                  </w:pPr>
                  <w:r>
                    <w:rPr>
                      <w:szCs w:val="21"/>
                    </w:rPr>
                    <w:t>5</w:t>
                  </w:r>
                </w:p>
              </w:tc>
              <w:tc>
                <w:tcPr>
                  <w:tcW w:w="1102" w:type="pct"/>
                  <w:vAlign w:val="center"/>
                </w:tcPr>
                <w:p>
                  <w:pPr>
                    <w:jc w:val="center"/>
                    <w:rPr>
                      <w:szCs w:val="21"/>
                    </w:rPr>
                  </w:pPr>
                  <w:r>
                    <w:rPr>
                      <w:szCs w:val="21"/>
                    </w:rPr>
                    <w:t>流动不稳态源</w:t>
                  </w:r>
                </w:p>
              </w:tc>
              <w:tc>
                <w:tcPr>
                  <w:tcW w:w="1101" w:type="pct"/>
                  <w:vAlign w:val="center"/>
                </w:tcPr>
                <w:p>
                  <w:pPr>
                    <w:jc w:val="center"/>
                    <w:rPr>
                      <w:szCs w:val="21"/>
                    </w:rPr>
                  </w:pPr>
                  <w:r>
                    <w:rPr>
                      <w:szCs w:val="21"/>
                    </w:rPr>
                    <w:t>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02" w:type="pct"/>
                  <w:vAlign w:val="center"/>
                </w:tcPr>
                <w:p>
                  <w:pPr>
                    <w:jc w:val="center"/>
                    <w:rPr>
                      <w:szCs w:val="21"/>
                    </w:rPr>
                  </w:pPr>
                  <w:r>
                    <w:rPr>
                      <w:rFonts w:hint="eastAsia"/>
                      <w:szCs w:val="21"/>
                    </w:rPr>
                    <w:t>4</w:t>
                  </w:r>
                </w:p>
              </w:tc>
              <w:tc>
                <w:tcPr>
                  <w:tcW w:w="1018" w:type="pct"/>
                  <w:vAlign w:val="center"/>
                </w:tcPr>
                <w:p>
                  <w:pPr>
                    <w:jc w:val="center"/>
                    <w:rPr>
                      <w:szCs w:val="21"/>
                    </w:rPr>
                  </w:pPr>
                  <w:r>
                    <w:rPr>
                      <w:szCs w:val="21"/>
                    </w:rPr>
                    <w:t>轻型载重卡车</w:t>
                  </w:r>
                </w:p>
              </w:tc>
              <w:tc>
                <w:tcPr>
                  <w:tcW w:w="1174" w:type="pct"/>
                  <w:vAlign w:val="center"/>
                </w:tcPr>
                <w:p>
                  <w:pPr>
                    <w:jc w:val="center"/>
                    <w:rPr>
                      <w:szCs w:val="21"/>
                    </w:rPr>
                  </w:pPr>
                  <w:r>
                    <w:rPr>
                      <w:rFonts w:hint="eastAsia"/>
                      <w:szCs w:val="21"/>
                    </w:rPr>
                    <w:t>5</w:t>
                  </w:r>
                </w:p>
              </w:tc>
              <w:tc>
                <w:tcPr>
                  <w:tcW w:w="1102" w:type="pct"/>
                  <w:vAlign w:val="center"/>
                </w:tcPr>
                <w:p>
                  <w:pPr>
                    <w:jc w:val="center"/>
                    <w:rPr>
                      <w:szCs w:val="21"/>
                    </w:rPr>
                  </w:pPr>
                  <w:r>
                    <w:rPr>
                      <w:szCs w:val="21"/>
                    </w:rPr>
                    <w:t>流动不稳态源</w:t>
                  </w:r>
                </w:p>
              </w:tc>
              <w:tc>
                <w:tcPr>
                  <w:tcW w:w="1101" w:type="pct"/>
                  <w:vAlign w:val="center"/>
                </w:tcPr>
                <w:p>
                  <w:pPr>
                    <w:jc w:val="center"/>
                    <w:rPr>
                      <w:szCs w:val="21"/>
                    </w:rPr>
                  </w:pPr>
                  <w:r>
                    <w:rPr>
                      <w:rFonts w:hint="eastAsia"/>
                      <w:szCs w:val="21"/>
                    </w:rPr>
                    <w:t>80</w:t>
                  </w:r>
                </w:p>
              </w:tc>
            </w:tr>
          </w:tbl>
          <w:p>
            <w:pPr>
              <w:spacing w:line="360" w:lineRule="auto"/>
              <w:ind w:firstLine="480" w:firstLineChars="200"/>
              <w:rPr>
                <w:sz w:val="24"/>
              </w:rPr>
            </w:pPr>
            <w:r>
              <w:rPr>
                <w:rFonts w:hint="eastAsia"/>
                <w:sz w:val="24"/>
              </w:rPr>
              <w:t>4、</w:t>
            </w:r>
            <w:r>
              <w:rPr>
                <w:sz w:val="24"/>
              </w:rPr>
              <w:t>固体废物</w:t>
            </w:r>
          </w:p>
          <w:p>
            <w:pPr>
              <w:spacing w:line="360" w:lineRule="auto"/>
              <w:ind w:firstLine="480" w:firstLineChars="200"/>
              <w:rPr>
                <w:kern w:val="0"/>
                <w:sz w:val="24"/>
              </w:rPr>
            </w:pPr>
            <w:r>
              <w:rPr>
                <w:kern w:val="0"/>
                <w:sz w:val="24"/>
              </w:rPr>
              <w:t>本项目产生的固体废物主要是建设过程中产生的建筑垃圾</w:t>
            </w:r>
            <w:r>
              <w:rPr>
                <w:rFonts w:hint="eastAsia"/>
                <w:kern w:val="0"/>
                <w:sz w:val="24"/>
              </w:rPr>
              <w:t>及</w:t>
            </w:r>
            <w:r>
              <w:rPr>
                <w:kern w:val="0"/>
                <w:sz w:val="24"/>
              </w:rPr>
              <w:t>弃土</w:t>
            </w:r>
            <w:r>
              <w:rPr>
                <w:rFonts w:hint="eastAsia"/>
                <w:kern w:val="0"/>
                <w:sz w:val="24"/>
              </w:rPr>
              <w:t>。</w:t>
            </w:r>
          </w:p>
          <w:p>
            <w:pPr>
              <w:spacing w:line="360" w:lineRule="auto"/>
              <w:ind w:firstLine="480" w:firstLineChars="200"/>
              <w:rPr>
                <w:sz w:val="24"/>
              </w:rPr>
            </w:pPr>
            <w:r>
              <w:rPr>
                <w:sz w:val="24"/>
              </w:rPr>
              <w:t>①建筑垃圾</w:t>
            </w:r>
          </w:p>
          <w:p>
            <w:pPr>
              <w:spacing w:line="360" w:lineRule="auto"/>
              <w:ind w:firstLine="480" w:firstLineChars="200"/>
              <w:outlineLvl w:val="0"/>
              <w:rPr>
                <w:b/>
                <w:spacing w:val="-2"/>
                <w:sz w:val="24"/>
              </w:rPr>
            </w:pPr>
            <w:r>
              <w:rPr>
                <w:sz w:val="24"/>
                <w:szCs w:val="22"/>
                <w:lang w:val="en-GB"/>
              </w:rPr>
              <w:t>参照</w:t>
            </w:r>
            <w:r>
              <w:rPr>
                <w:sz w:val="24"/>
                <w:szCs w:val="22"/>
              </w:rPr>
              <w:t>《建筑垃圾量计算标准》中房屋建设工程中：砖混结构按</w:t>
            </w:r>
            <w:r>
              <w:rPr>
                <w:sz w:val="24"/>
                <w:szCs w:val="22"/>
                <w:lang w:val="en-GB"/>
              </w:rPr>
              <w:t>0.</w:t>
            </w:r>
            <w:r>
              <w:rPr>
                <w:sz w:val="24"/>
                <w:szCs w:val="22"/>
              </w:rPr>
              <w:t>0</w:t>
            </w:r>
            <w:r>
              <w:rPr>
                <w:sz w:val="24"/>
                <w:szCs w:val="22"/>
                <w:lang w:val="en-GB"/>
              </w:rPr>
              <w:t>5</w:t>
            </w:r>
            <w:r>
              <w:rPr>
                <w:sz w:val="24"/>
                <w:szCs w:val="22"/>
              </w:rPr>
              <w:t>t</w:t>
            </w:r>
            <w:r>
              <w:rPr>
                <w:sz w:val="24"/>
                <w:szCs w:val="22"/>
                <w:lang w:val="en-GB"/>
              </w:rPr>
              <w:t>/m</w:t>
            </w:r>
            <w:r>
              <w:rPr>
                <w:sz w:val="24"/>
                <w:szCs w:val="22"/>
                <w:vertAlign w:val="superscript"/>
                <w:lang w:val="en-GB"/>
              </w:rPr>
              <w:t>2</w:t>
            </w:r>
            <w:r>
              <w:rPr>
                <w:sz w:val="24"/>
                <w:szCs w:val="22"/>
                <w:lang w:val="en-GB"/>
              </w:rPr>
              <w:t>，</w:t>
            </w:r>
            <w:r>
              <w:rPr>
                <w:sz w:val="24"/>
                <w:szCs w:val="22"/>
              </w:rPr>
              <w:t>钢筋混凝土结构0.03t</w:t>
            </w:r>
            <w:r>
              <w:rPr>
                <w:sz w:val="24"/>
                <w:szCs w:val="22"/>
                <w:lang w:val="en-GB"/>
              </w:rPr>
              <w:t>/m</w:t>
            </w:r>
            <w:r>
              <w:rPr>
                <w:sz w:val="24"/>
                <w:szCs w:val="22"/>
                <w:vertAlign w:val="superscript"/>
                <w:lang w:val="en-GB"/>
              </w:rPr>
              <w:t>2</w:t>
            </w:r>
            <w:r>
              <w:rPr>
                <w:sz w:val="24"/>
                <w:szCs w:val="22"/>
                <w:lang w:val="en-GB"/>
              </w:rPr>
              <w:t>计</w:t>
            </w:r>
            <w:r>
              <w:rPr>
                <w:rFonts w:hint="eastAsia"/>
                <w:sz w:val="24"/>
                <w:szCs w:val="22"/>
              </w:rPr>
              <w:t>，</w:t>
            </w:r>
            <w:r>
              <w:rPr>
                <w:sz w:val="24"/>
                <w:szCs w:val="22"/>
                <w:lang w:val="en-GB"/>
              </w:rPr>
              <w:t>本项目</w:t>
            </w:r>
            <w:r>
              <w:rPr>
                <w:rFonts w:hint="eastAsia"/>
                <w:sz w:val="24"/>
                <w:szCs w:val="22"/>
              </w:rPr>
              <w:t>建设面积2061</w:t>
            </w:r>
            <w:r>
              <w:rPr>
                <w:sz w:val="24"/>
              </w:rPr>
              <w:t>m</w:t>
            </w:r>
            <w:r>
              <w:rPr>
                <w:sz w:val="24"/>
                <w:vertAlign w:val="superscript"/>
              </w:rPr>
              <w:t>2</w:t>
            </w:r>
            <w:r>
              <w:rPr>
                <w:sz w:val="24"/>
              </w:rPr>
              <w:t>，则施工期产生的建筑垃圾约为</w:t>
            </w:r>
            <w:r>
              <w:rPr>
                <w:rFonts w:hint="eastAsia"/>
                <w:sz w:val="24"/>
              </w:rPr>
              <w:t>61.83</w:t>
            </w:r>
            <w:r>
              <w:rPr>
                <w:sz w:val="24"/>
              </w:rPr>
              <w:t>t。</w:t>
            </w:r>
          </w:p>
          <w:p>
            <w:pPr>
              <w:spacing w:line="360" w:lineRule="auto"/>
              <w:ind w:firstLine="480" w:firstLineChars="200"/>
              <w:rPr>
                <w:sz w:val="24"/>
              </w:rPr>
            </w:pPr>
            <w:r>
              <w:rPr>
                <w:sz w:val="24"/>
              </w:rPr>
              <w:t>②</w:t>
            </w:r>
            <w:r>
              <w:rPr>
                <w:rFonts w:hint="eastAsia"/>
                <w:sz w:val="24"/>
              </w:rPr>
              <w:t>弃土</w:t>
            </w:r>
          </w:p>
          <w:p>
            <w:pPr>
              <w:spacing w:line="360" w:lineRule="auto"/>
              <w:ind w:firstLine="480" w:firstLineChars="200"/>
              <w:rPr>
                <w:b/>
                <w:spacing w:val="-2"/>
                <w:sz w:val="24"/>
              </w:rPr>
            </w:pPr>
            <w:r>
              <w:rPr>
                <w:sz w:val="24"/>
              </w:rPr>
              <w:t>项目场地建设前期首先对场地进行平整，开挖</w:t>
            </w:r>
            <w:r>
              <w:rPr>
                <w:rFonts w:hint="eastAsia"/>
                <w:sz w:val="24"/>
              </w:rPr>
              <w:t>的土方</w:t>
            </w:r>
            <w:r>
              <w:rPr>
                <w:sz w:val="24"/>
              </w:rPr>
              <w:t>全部回用于场地平整，无弃土产生。</w:t>
            </w:r>
          </w:p>
          <w:p>
            <w:pPr>
              <w:spacing w:line="360" w:lineRule="auto"/>
              <w:rPr>
                <w:b/>
              </w:rPr>
            </w:pPr>
            <w:r>
              <w:rPr>
                <w:b/>
                <w:spacing w:val="-2"/>
                <w:sz w:val="24"/>
              </w:rPr>
              <w:t>二、营运期污染分析</w:t>
            </w:r>
          </w:p>
          <w:p>
            <w:pPr>
              <w:spacing w:line="360" w:lineRule="auto"/>
              <w:ind w:firstLine="480" w:firstLineChars="200"/>
              <w:rPr>
                <w:sz w:val="24"/>
              </w:rPr>
            </w:pPr>
            <w:r>
              <w:rPr>
                <w:rFonts w:hint="eastAsia"/>
                <w:sz w:val="24"/>
              </w:rPr>
              <w:t>1、</w:t>
            </w:r>
            <w:r>
              <w:rPr>
                <w:sz w:val="24"/>
              </w:rPr>
              <w:t>废气</w:t>
            </w:r>
          </w:p>
          <w:p>
            <w:pPr>
              <w:spacing w:line="360" w:lineRule="auto"/>
              <w:ind w:firstLine="480" w:firstLineChars="200"/>
              <w:rPr>
                <w:bCs/>
                <w:sz w:val="24"/>
              </w:rPr>
            </w:pPr>
            <w:r>
              <w:rPr>
                <w:bCs/>
                <w:sz w:val="24"/>
              </w:rPr>
              <w:t>本项目产生的粉尘主要是</w:t>
            </w:r>
            <w:r>
              <w:rPr>
                <w:rFonts w:hint="eastAsia"/>
                <w:bCs/>
                <w:sz w:val="24"/>
              </w:rPr>
              <w:t>原料</w:t>
            </w:r>
            <w:r>
              <w:rPr>
                <w:bCs/>
                <w:sz w:val="24"/>
              </w:rPr>
              <w:t>装卸过程、</w:t>
            </w:r>
            <w:r>
              <w:rPr>
                <w:rFonts w:hint="eastAsia"/>
                <w:bCs/>
                <w:sz w:val="24"/>
              </w:rPr>
              <w:t>投料过程、</w:t>
            </w:r>
            <w:r>
              <w:rPr>
                <w:bCs/>
                <w:sz w:val="24"/>
              </w:rPr>
              <w:t>堆存过程、</w:t>
            </w:r>
            <w:r>
              <w:rPr>
                <w:rFonts w:hint="eastAsia"/>
                <w:bCs/>
                <w:sz w:val="24"/>
              </w:rPr>
              <w:t>汽车运输过程、生产过程中输送过程及</w:t>
            </w:r>
            <w:r>
              <w:rPr>
                <w:bCs/>
                <w:sz w:val="24"/>
              </w:rPr>
              <w:t>各生产工序产生的粉尘。</w:t>
            </w:r>
          </w:p>
          <w:p>
            <w:pPr>
              <w:spacing w:line="360" w:lineRule="auto"/>
              <w:ind w:firstLine="480" w:firstLineChars="200"/>
              <w:rPr>
                <w:bCs/>
                <w:sz w:val="24"/>
              </w:rPr>
            </w:pPr>
            <w:r>
              <w:rPr>
                <w:rFonts w:hint="eastAsia"/>
                <w:bCs/>
                <w:sz w:val="24"/>
              </w:rPr>
              <w:t>（1）有组织粉尘</w:t>
            </w:r>
          </w:p>
          <w:p>
            <w:pPr>
              <w:spacing w:line="360" w:lineRule="auto"/>
              <w:ind w:firstLine="480" w:firstLineChars="200"/>
              <w:rPr>
                <w:rFonts w:hAnsi="宋体"/>
                <w:sz w:val="24"/>
              </w:rPr>
            </w:pPr>
            <w:r>
              <w:rPr>
                <w:rFonts w:hint="eastAsia" w:hAnsi="宋体"/>
                <w:sz w:val="24"/>
              </w:rPr>
              <w:t>本项目有组织粉尘主要是加工车间生产中产生的</w:t>
            </w:r>
            <w:r>
              <w:rPr>
                <w:rFonts w:hAnsi="宋体"/>
                <w:sz w:val="24"/>
              </w:rPr>
              <w:t>破碎、筛分粉尘</w:t>
            </w:r>
            <w:r>
              <w:rPr>
                <w:rFonts w:hint="eastAsia" w:hAnsi="宋体"/>
                <w:sz w:val="24"/>
              </w:rPr>
              <w:t>。</w:t>
            </w:r>
            <w:r>
              <w:rPr>
                <w:bCs/>
                <w:sz w:val="24"/>
              </w:rPr>
              <w:t>根据《逸散性工业粉尘控制技术》（中国科学出版社）中</w:t>
            </w:r>
            <w:r>
              <w:rPr>
                <w:rFonts w:hint="eastAsia"/>
                <w:bCs/>
                <w:sz w:val="24"/>
              </w:rPr>
              <w:t>“</w:t>
            </w:r>
            <w:r>
              <w:rPr>
                <w:bCs/>
                <w:sz w:val="24"/>
              </w:rPr>
              <w:t>粒料加工厂逸散尘的排放因子</w:t>
            </w:r>
            <w:r>
              <w:rPr>
                <w:rFonts w:hint="eastAsia"/>
                <w:bCs/>
                <w:sz w:val="24"/>
              </w:rPr>
              <w:t>”</w:t>
            </w:r>
            <w:r>
              <w:rPr>
                <w:bCs/>
                <w:sz w:val="24"/>
              </w:rPr>
              <w:t>，</w:t>
            </w:r>
            <w:r>
              <w:rPr>
                <w:rFonts w:hint="eastAsia"/>
                <w:bCs/>
                <w:sz w:val="24"/>
              </w:rPr>
              <w:t>砂、砾石一级破碎颗粒物产生量为0.05kg/t原料，二级破碎粉尘产生量为0.05kg/t原料；根据《环境保护使用数据手册》，砂石在筛分过程中颗粒物产生量为0.1</w:t>
            </w:r>
            <w:r>
              <w:rPr>
                <w:bCs/>
                <w:sz w:val="24"/>
              </w:rPr>
              <w:t>kg/t原料</w:t>
            </w:r>
            <w:r>
              <w:rPr>
                <w:rFonts w:hint="eastAsia"/>
                <w:bCs/>
                <w:sz w:val="24"/>
              </w:rPr>
              <w:t>。</w:t>
            </w:r>
            <w:r>
              <w:rPr>
                <w:rFonts w:hAnsi="宋体"/>
                <w:sz w:val="24"/>
              </w:rPr>
              <w:t>本项目年破碎、筛分原料</w:t>
            </w:r>
            <w:r>
              <w:rPr>
                <w:rFonts w:hint="eastAsia"/>
                <w:sz w:val="24"/>
              </w:rPr>
              <w:t>26</w:t>
            </w:r>
            <w:r>
              <w:rPr>
                <w:rFonts w:hAnsi="宋体"/>
                <w:sz w:val="24"/>
              </w:rPr>
              <w:t>万</w:t>
            </w:r>
            <w:r>
              <w:rPr>
                <w:sz w:val="24"/>
              </w:rPr>
              <w:t>t</w:t>
            </w:r>
            <w:r>
              <w:rPr>
                <w:rFonts w:hAnsi="宋体"/>
                <w:sz w:val="24"/>
              </w:rPr>
              <w:t>，</w:t>
            </w:r>
            <w:r>
              <w:rPr>
                <w:rFonts w:hint="eastAsia" w:hAnsi="宋体"/>
                <w:sz w:val="24"/>
              </w:rPr>
              <w:t>因此，</w:t>
            </w:r>
            <w:r>
              <w:rPr>
                <w:rFonts w:hAnsi="宋体"/>
                <w:sz w:val="24"/>
              </w:rPr>
              <w:t>粉尘产生</w:t>
            </w:r>
            <w:r>
              <w:rPr>
                <w:rFonts w:hint="eastAsia" w:hAnsi="宋体"/>
                <w:sz w:val="24"/>
              </w:rPr>
              <w:t>总</w:t>
            </w:r>
            <w:r>
              <w:rPr>
                <w:rFonts w:hAnsi="宋体"/>
                <w:sz w:val="24"/>
              </w:rPr>
              <w:t>量</w:t>
            </w:r>
            <w:r>
              <w:rPr>
                <w:rFonts w:hint="eastAsia" w:hAnsi="宋体"/>
                <w:sz w:val="24"/>
              </w:rPr>
              <w:t>为52</w:t>
            </w:r>
            <w:r>
              <w:rPr>
                <w:sz w:val="24"/>
              </w:rPr>
              <w:t>t/a</w:t>
            </w:r>
            <w:r>
              <w:rPr>
                <w:rFonts w:hint="eastAsia" w:hAnsi="宋体"/>
                <w:sz w:val="24"/>
              </w:rPr>
              <w:t>。</w:t>
            </w:r>
          </w:p>
          <w:p>
            <w:pPr>
              <w:adjustRightInd w:val="0"/>
              <w:snapToGrid w:val="0"/>
              <w:spacing w:line="360" w:lineRule="auto"/>
              <w:ind w:firstLine="482"/>
              <w:rPr>
                <w:sz w:val="24"/>
              </w:rPr>
            </w:pPr>
            <w:r>
              <w:rPr>
                <w:rFonts w:hAnsi="宋体"/>
                <w:sz w:val="24"/>
              </w:rPr>
              <w:t>综上分析，项目破碎、筛分工序粉尘产生量为</w:t>
            </w:r>
            <w:r>
              <w:rPr>
                <w:rFonts w:hint="eastAsia"/>
                <w:sz w:val="24"/>
              </w:rPr>
              <w:t>52</w:t>
            </w:r>
            <w:r>
              <w:rPr>
                <w:sz w:val="24"/>
              </w:rPr>
              <w:t>t/a</w:t>
            </w:r>
            <w:r>
              <w:rPr>
                <w:rFonts w:hAnsi="宋体"/>
                <w:sz w:val="24"/>
              </w:rPr>
              <w:t>。为了减小项目运行期破碎、筛分过程粉尘排放量，</w:t>
            </w:r>
            <w:r>
              <w:rPr>
                <w:rFonts w:hint="eastAsia" w:hAnsi="宋体"/>
                <w:sz w:val="24"/>
              </w:rPr>
              <w:t>项目整个生产过程</w:t>
            </w:r>
            <w:r>
              <w:rPr>
                <w:rFonts w:hAnsi="宋体"/>
                <w:sz w:val="24"/>
              </w:rPr>
              <w:t>进行封闭，</w:t>
            </w:r>
            <w:r>
              <w:rPr>
                <w:rFonts w:hint="eastAsia" w:hAnsi="宋体"/>
                <w:sz w:val="24"/>
              </w:rPr>
              <w:t>输送过程采取密闭设置，破碎</w:t>
            </w:r>
            <w:r>
              <w:rPr>
                <w:rFonts w:hAnsi="宋体"/>
                <w:sz w:val="24"/>
              </w:rPr>
              <w:t>、筛分工序产生的粉尘由集气罩（效率</w:t>
            </w:r>
            <w:r>
              <w:rPr>
                <w:rFonts w:hint="eastAsia"/>
                <w:sz w:val="24"/>
              </w:rPr>
              <w:t>85</w:t>
            </w:r>
            <w:r>
              <w:rPr>
                <w:sz w:val="24"/>
              </w:rPr>
              <w:t>%</w:t>
            </w:r>
            <w:r>
              <w:rPr>
                <w:rFonts w:hAnsi="宋体"/>
                <w:sz w:val="24"/>
              </w:rPr>
              <w:t>）收集后通过管道排入布袋除尘器（布袋除尘效率</w:t>
            </w:r>
            <w:r>
              <w:rPr>
                <w:sz w:val="24"/>
              </w:rPr>
              <w:t>9</w:t>
            </w:r>
            <w:r>
              <w:rPr>
                <w:rFonts w:hint="eastAsia"/>
                <w:sz w:val="24"/>
              </w:rPr>
              <w:t>9</w:t>
            </w:r>
            <w:r>
              <w:rPr>
                <w:sz w:val="24"/>
              </w:rPr>
              <w:t>%</w:t>
            </w:r>
            <w:r>
              <w:rPr>
                <w:rFonts w:hAnsi="宋体"/>
                <w:sz w:val="24"/>
              </w:rPr>
              <w:t>）处理，则粉碎、筛分工序粉尘排放量</w:t>
            </w:r>
            <w:r>
              <w:rPr>
                <w:rFonts w:hint="eastAsia" w:hAnsi="宋体"/>
                <w:sz w:val="24"/>
              </w:rPr>
              <w:t>约</w:t>
            </w:r>
            <w:r>
              <w:rPr>
                <w:rFonts w:hAnsi="宋体"/>
                <w:sz w:val="24"/>
              </w:rPr>
              <w:t>为</w:t>
            </w:r>
            <w:r>
              <w:rPr>
                <w:sz w:val="24"/>
              </w:rPr>
              <w:t>0.</w:t>
            </w:r>
            <w:r>
              <w:rPr>
                <w:rFonts w:hint="eastAsia"/>
                <w:sz w:val="24"/>
              </w:rPr>
              <w:t>4</w:t>
            </w:r>
            <w:r>
              <w:rPr>
                <w:sz w:val="24"/>
              </w:rPr>
              <w:t>t/a</w:t>
            </w:r>
            <w:r>
              <w:rPr>
                <w:rFonts w:hint="eastAsia" w:hAnsi="宋体"/>
                <w:sz w:val="24"/>
              </w:rPr>
              <w:t>，排放速率为</w:t>
            </w:r>
            <w:r>
              <w:rPr>
                <w:sz w:val="24"/>
              </w:rPr>
              <w:t>0.</w:t>
            </w:r>
            <w:r>
              <w:rPr>
                <w:rFonts w:hint="eastAsia"/>
                <w:sz w:val="24"/>
              </w:rPr>
              <w:t>16</w:t>
            </w:r>
            <w:r>
              <w:rPr>
                <w:sz w:val="24"/>
              </w:rPr>
              <w:t>kg/h</w:t>
            </w:r>
            <w:r>
              <w:rPr>
                <w:rFonts w:hAnsi="宋体"/>
                <w:sz w:val="24"/>
              </w:rPr>
              <w:t>。</w:t>
            </w:r>
          </w:p>
          <w:p>
            <w:pPr>
              <w:spacing w:line="360" w:lineRule="auto"/>
              <w:ind w:firstLine="480" w:firstLineChars="200"/>
              <w:rPr>
                <w:bCs/>
                <w:sz w:val="24"/>
              </w:rPr>
            </w:pPr>
            <w:r>
              <w:rPr>
                <w:rFonts w:hint="eastAsia"/>
                <w:bCs/>
                <w:sz w:val="24"/>
              </w:rPr>
              <w:t>（2）无组织粉尘</w:t>
            </w:r>
          </w:p>
          <w:p>
            <w:pPr>
              <w:spacing w:line="360" w:lineRule="auto"/>
              <w:ind w:firstLine="488" w:firstLineChars="200"/>
              <w:rPr>
                <w:spacing w:val="2"/>
                <w:sz w:val="24"/>
                <w:szCs w:val="20"/>
              </w:rPr>
            </w:pPr>
            <w:r>
              <w:rPr>
                <w:spacing w:val="2"/>
                <w:sz w:val="24"/>
                <w:szCs w:val="20"/>
              </w:rPr>
              <w:t>A.装卸过程粉尘</w:t>
            </w:r>
          </w:p>
          <w:p>
            <w:pPr>
              <w:spacing w:line="360" w:lineRule="auto"/>
              <w:ind w:firstLine="480" w:firstLineChars="200"/>
              <w:rPr>
                <w:kern w:val="0"/>
                <w:sz w:val="24"/>
                <w:lang w:val="de-DE"/>
              </w:rPr>
            </w:pPr>
            <w:r>
              <w:rPr>
                <w:sz w:val="24"/>
                <w:szCs w:val="20"/>
              </w:rPr>
              <w:t>进厂原料由自卸汽车运输至原料堆棚内，原料堆棚地面全部硬化，车间顶部全设置喷淋装置定时喷水降尘，故此部分无组织粉尘暂不考虑。</w:t>
            </w:r>
          </w:p>
          <w:p>
            <w:pPr>
              <w:spacing w:line="360" w:lineRule="auto"/>
              <w:ind w:firstLine="480" w:firstLineChars="200"/>
              <w:rPr>
                <w:sz w:val="24"/>
              </w:rPr>
            </w:pPr>
            <w:r>
              <w:rPr>
                <w:rFonts w:hint="eastAsia"/>
                <w:sz w:val="24"/>
              </w:rPr>
              <w:t>本项目外购的原料由自卸汽车运进厂区的原料堆场区，生产时由装载车装运至料斗内，在此过程中会产生一定量的粉尘。</w:t>
            </w:r>
          </w:p>
          <w:p>
            <w:pPr>
              <w:spacing w:line="360" w:lineRule="auto"/>
              <w:ind w:firstLine="482"/>
              <w:rPr>
                <w:kern w:val="0"/>
                <w:sz w:val="24"/>
              </w:rPr>
            </w:pPr>
            <w:r>
              <w:rPr>
                <w:rFonts w:hint="eastAsia"/>
                <w:kern w:val="0"/>
                <w:sz w:val="24"/>
              </w:rPr>
              <w:t>原料装卸过程产生的粉尘可利用以下公式进行计算：</w:t>
            </w:r>
          </w:p>
          <w:p>
            <w:pPr>
              <w:spacing w:line="360" w:lineRule="auto"/>
              <w:ind w:firstLine="482"/>
              <w:rPr>
                <w:sz w:val="24"/>
              </w:rPr>
            </w:pPr>
            <w:r>
              <w:rPr>
                <w:rFonts w:hint="eastAsia"/>
                <w:sz w:val="24"/>
              </w:rPr>
              <w:t>物料装卸起尘量：</w:t>
            </w:r>
            <w:r>
              <w:rPr>
                <w:sz w:val="24"/>
              </w:rPr>
              <w:t xml:space="preserve"> Q</w:t>
            </w:r>
            <w:r>
              <w:rPr>
                <w:sz w:val="24"/>
                <w:vertAlign w:val="subscript"/>
              </w:rPr>
              <w:t>1</w:t>
            </w:r>
            <w:r>
              <w:rPr>
                <w:sz w:val="24"/>
              </w:rPr>
              <w:t>=1133</w:t>
            </w:r>
            <w:r>
              <w:rPr>
                <w:rFonts w:hint="eastAsia"/>
                <w:sz w:val="24"/>
              </w:rPr>
              <w:t>.</w:t>
            </w:r>
            <w:r>
              <w:rPr>
                <w:sz w:val="24"/>
              </w:rPr>
              <w:t>3U</w:t>
            </w:r>
            <w:r>
              <w:rPr>
                <w:sz w:val="24"/>
                <w:vertAlign w:val="superscript"/>
              </w:rPr>
              <w:t>1.6</w:t>
            </w:r>
            <w:r>
              <w:rPr>
                <w:sz w:val="24"/>
              </w:rPr>
              <w:t>H</w:t>
            </w:r>
            <w:r>
              <w:rPr>
                <w:sz w:val="24"/>
                <w:vertAlign w:val="superscript"/>
              </w:rPr>
              <w:t>1.23</w:t>
            </w:r>
            <w:r>
              <w:rPr>
                <w:sz w:val="24"/>
              </w:rPr>
              <w:t>e</w:t>
            </w:r>
            <w:r>
              <w:rPr>
                <w:sz w:val="24"/>
                <w:vertAlign w:val="superscript"/>
              </w:rPr>
              <w:t>-0.28w</w:t>
            </w:r>
            <w:r>
              <w:rPr>
                <w:sz w:val="24"/>
              </w:rPr>
              <w:t>(mg/s)</w:t>
            </w:r>
          </w:p>
          <w:p>
            <w:pPr>
              <w:spacing w:line="360" w:lineRule="auto"/>
              <w:ind w:firstLine="482"/>
              <w:rPr>
                <w:sz w:val="24"/>
              </w:rPr>
            </w:pPr>
            <w:r>
              <w:rPr>
                <w:rFonts w:hint="eastAsia"/>
                <w:sz w:val="24"/>
              </w:rPr>
              <w:t>装卸年起尘量</w:t>
            </w:r>
            <w:r>
              <w:rPr>
                <w:sz w:val="24"/>
              </w:rPr>
              <w:t>=Q</w:t>
            </w:r>
            <w:r>
              <w:rPr>
                <w:sz w:val="24"/>
                <w:vertAlign w:val="subscript"/>
              </w:rPr>
              <w:t>1</w:t>
            </w:r>
            <w:r>
              <w:rPr>
                <w:sz w:val="24"/>
              </w:rPr>
              <w:t>×</w:t>
            </w:r>
            <w:r>
              <w:rPr>
                <w:rFonts w:hint="eastAsia"/>
                <w:sz w:val="24"/>
              </w:rPr>
              <w:t>平均装卸时间</w:t>
            </w:r>
          </w:p>
          <w:p>
            <w:pPr>
              <w:spacing w:line="360" w:lineRule="auto"/>
              <w:ind w:firstLine="480" w:firstLineChars="200"/>
              <w:jc w:val="left"/>
              <w:rPr>
                <w:bCs/>
                <w:sz w:val="24"/>
              </w:rPr>
            </w:pPr>
            <w:r>
              <w:rPr>
                <w:rFonts w:hint="eastAsia"/>
                <w:sz w:val="24"/>
              </w:rPr>
              <w:t>式中</w:t>
            </w:r>
            <w:r>
              <w:rPr>
                <w:sz w:val="24"/>
              </w:rPr>
              <w:t>U</w:t>
            </w:r>
            <w:r>
              <w:rPr>
                <w:rFonts w:hint="eastAsia"/>
                <w:sz w:val="24"/>
              </w:rPr>
              <w:t>为风速</w:t>
            </w:r>
            <w:r>
              <w:rPr>
                <w:sz w:val="24"/>
              </w:rPr>
              <w:t>(m/s)</w:t>
            </w:r>
            <w:r>
              <w:rPr>
                <w:rFonts w:hint="eastAsia"/>
                <w:sz w:val="24"/>
              </w:rPr>
              <w:t>，</w:t>
            </w:r>
            <w:r>
              <w:rPr>
                <w:sz w:val="24"/>
              </w:rPr>
              <w:t>W</w:t>
            </w:r>
            <w:r>
              <w:rPr>
                <w:rFonts w:hint="eastAsia"/>
                <w:sz w:val="24"/>
              </w:rPr>
              <w:t>为物料的含水率</w:t>
            </w:r>
            <w:r>
              <w:rPr>
                <w:sz w:val="24"/>
              </w:rPr>
              <w:t>(%)</w:t>
            </w:r>
            <w:r>
              <w:rPr>
                <w:rFonts w:hint="eastAsia"/>
                <w:sz w:val="24"/>
              </w:rPr>
              <w:t>，</w:t>
            </w:r>
            <w:r>
              <w:rPr>
                <w:sz w:val="24"/>
              </w:rPr>
              <w:t>H</w:t>
            </w:r>
            <w:r>
              <w:rPr>
                <w:rFonts w:hint="eastAsia"/>
                <w:sz w:val="24"/>
              </w:rPr>
              <w:t>为落差</w:t>
            </w:r>
            <w:r>
              <w:rPr>
                <w:sz w:val="24"/>
              </w:rPr>
              <w:t>(m)</w:t>
            </w:r>
            <w:r>
              <w:rPr>
                <w:rFonts w:hint="eastAsia"/>
                <w:sz w:val="24"/>
              </w:rPr>
              <w:t>。石泉多年平均风速2.1</w:t>
            </w:r>
            <w:r>
              <w:rPr>
                <w:sz w:val="24"/>
              </w:rPr>
              <w:t>m/s</w:t>
            </w:r>
            <w:r>
              <w:rPr>
                <w:rFonts w:hint="eastAsia"/>
                <w:sz w:val="24"/>
              </w:rPr>
              <w:t>，本项目原料装卸位于封闭车间内，风速会大大减小，参考同行业</w:t>
            </w:r>
            <w:r>
              <w:rPr>
                <w:sz w:val="24"/>
              </w:rPr>
              <w:t>U</w:t>
            </w:r>
            <w:r>
              <w:rPr>
                <w:rFonts w:hint="eastAsia"/>
                <w:sz w:val="24"/>
              </w:rPr>
              <w:t>取0.5</w:t>
            </w:r>
            <w:r>
              <w:rPr>
                <w:sz w:val="24"/>
              </w:rPr>
              <w:t>m/s</w:t>
            </w:r>
            <w:r>
              <w:rPr>
                <w:rFonts w:hint="eastAsia"/>
                <w:sz w:val="24"/>
              </w:rPr>
              <w:t>；</w:t>
            </w:r>
            <w:r>
              <w:rPr>
                <w:sz w:val="24"/>
              </w:rPr>
              <w:t>W</w:t>
            </w:r>
            <w:r>
              <w:rPr>
                <w:rFonts w:hint="eastAsia"/>
                <w:sz w:val="24"/>
              </w:rPr>
              <w:t>根据根据同类项目，本环评取</w:t>
            </w:r>
            <w:r>
              <w:rPr>
                <w:sz w:val="24"/>
              </w:rPr>
              <w:t>0.2</w:t>
            </w:r>
            <w:r>
              <w:rPr>
                <w:rFonts w:hint="eastAsia"/>
                <w:sz w:val="24"/>
              </w:rPr>
              <w:t>，</w:t>
            </w:r>
            <w:r>
              <w:rPr>
                <w:sz w:val="24"/>
              </w:rPr>
              <w:t>H</w:t>
            </w:r>
            <w:r>
              <w:rPr>
                <w:rFonts w:hint="eastAsia"/>
                <w:sz w:val="24"/>
              </w:rPr>
              <w:t>取</w:t>
            </w:r>
            <w:r>
              <w:rPr>
                <w:sz w:val="24"/>
              </w:rPr>
              <w:t>2.</w:t>
            </w:r>
            <w:r>
              <w:rPr>
                <w:rFonts w:hint="eastAsia"/>
                <w:sz w:val="24"/>
              </w:rPr>
              <w:t>0</w:t>
            </w:r>
            <w:r>
              <w:rPr>
                <w:sz w:val="24"/>
              </w:rPr>
              <w:t>m</w:t>
            </w:r>
            <w:r>
              <w:rPr>
                <w:rFonts w:hAnsi="宋体"/>
                <w:sz w:val="24"/>
              </w:rPr>
              <w:t>。根据建设单位统计，项目年使用</w:t>
            </w:r>
            <w:r>
              <w:rPr>
                <w:rFonts w:hint="eastAsia" w:hAnsi="宋体"/>
                <w:sz w:val="24"/>
              </w:rPr>
              <w:t>原料约</w:t>
            </w:r>
            <w:r>
              <w:rPr>
                <w:rFonts w:hAnsi="宋体"/>
                <w:sz w:val="24"/>
              </w:rPr>
              <w:t>为</w:t>
            </w:r>
            <w:r>
              <w:rPr>
                <w:rFonts w:hint="eastAsia"/>
                <w:sz w:val="24"/>
              </w:rPr>
              <w:t>26</w:t>
            </w:r>
            <w:r>
              <w:rPr>
                <w:rFonts w:hAnsi="宋体"/>
                <w:sz w:val="24"/>
              </w:rPr>
              <w:t>万</w:t>
            </w:r>
            <w:r>
              <w:rPr>
                <w:sz w:val="24"/>
              </w:rPr>
              <w:t xml:space="preserve"> t/a</w:t>
            </w:r>
            <w:r>
              <w:rPr>
                <w:rFonts w:hAnsi="宋体"/>
                <w:sz w:val="24"/>
              </w:rPr>
              <w:t>，汽车</w:t>
            </w:r>
            <w:r>
              <w:rPr>
                <w:rFonts w:hint="eastAsia" w:hAnsi="宋体"/>
                <w:sz w:val="24"/>
              </w:rPr>
              <w:t>装、</w:t>
            </w:r>
            <w:r>
              <w:rPr>
                <w:rFonts w:hAnsi="宋体"/>
                <w:sz w:val="24"/>
              </w:rPr>
              <w:t>卸料所用时间按</w:t>
            </w:r>
            <w:r>
              <w:rPr>
                <w:rFonts w:hint="eastAsia"/>
                <w:sz w:val="24"/>
              </w:rPr>
              <w:t>1.6</w:t>
            </w:r>
            <w:r>
              <w:rPr>
                <w:sz w:val="24"/>
              </w:rPr>
              <w:t>min</w:t>
            </w:r>
            <w:r>
              <w:rPr>
                <w:rFonts w:hAnsi="宋体"/>
                <w:sz w:val="24"/>
              </w:rPr>
              <w:t>计，车辆装载车辆均为</w:t>
            </w:r>
            <w:r>
              <w:rPr>
                <w:sz w:val="24"/>
              </w:rPr>
              <w:t>20t</w:t>
            </w:r>
            <w:r>
              <w:rPr>
                <w:rFonts w:hAnsi="宋体"/>
                <w:sz w:val="24"/>
              </w:rPr>
              <w:t>自卸车，按每次满载，每年运输约</w:t>
            </w:r>
            <w:r>
              <w:rPr>
                <w:rFonts w:hint="eastAsia"/>
                <w:sz w:val="24"/>
              </w:rPr>
              <w:t>13000</w:t>
            </w:r>
            <w:r>
              <w:rPr>
                <w:rFonts w:hAnsi="宋体"/>
                <w:sz w:val="24"/>
              </w:rPr>
              <w:t>车次，总共装卸时间为</w:t>
            </w:r>
            <w:r>
              <w:rPr>
                <w:rFonts w:hint="eastAsia"/>
                <w:sz w:val="24"/>
              </w:rPr>
              <w:t>346</w:t>
            </w:r>
            <w:r>
              <w:rPr>
                <w:sz w:val="24"/>
              </w:rPr>
              <w:t>h</w:t>
            </w:r>
            <w:r>
              <w:rPr>
                <w:rFonts w:hAnsi="宋体"/>
                <w:sz w:val="24"/>
              </w:rPr>
              <w:t>。根据以上计算，汽车卸料粉尘产生量为</w:t>
            </w:r>
            <w:r>
              <w:rPr>
                <w:sz w:val="24"/>
              </w:rPr>
              <w:t>0.</w:t>
            </w:r>
            <w:r>
              <w:rPr>
                <w:rFonts w:hint="eastAsia"/>
                <w:sz w:val="24"/>
              </w:rPr>
              <w:t>93</w:t>
            </w:r>
            <w:r>
              <w:rPr>
                <w:sz w:val="24"/>
              </w:rPr>
              <w:t xml:space="preserve"> t/a</w:t>
            </w:r>
            <w:r>
              <w:rPr>
                <w:rFonts w:hAnsi="宋体"/>
                <w:sz w:val="24"/>
              </w:rPr>
              <w:t>。</w:t>
            </w:r>
          </w:p>
          <w:p>
            <w:pPr>
              <w:numPr>
                <w:ilvl w:val="0"/>
                <w:numId w:val="6"/>
              </w:numPr>
              <w:adjustRightInd w:val="0"/>
              <w:snapToGrid w:val="0"/>
              <w:spacing w:line="360" w:lineRule="auto"/>
              <w:ind w:firstLine="480" w:firstLineChars="200"/>
              <w:rPr>
                <w:sz w:val="24"/>
                <w:szCs w:val="20"/>
              </w:rPr>
            </w:pPr>
            <w:r>
              <w:rPr>
                <w:rFonts w:hint="eastAsia"/>
                <w:sz w:val="24"/>
                <w:szCs w:val="20"/>
              </w:rPr>
              <w:t>投料粉尘</w:t>
            </w:r>
          </w:p>
          <w:p>
            <w:pPr>
              <w:adjustRightInd w:val="0"/>
              <w:snapToGrid w:val="0"/>
              <w:spacing w:line="360" w:lineRule="auto"/>
              <w:ind w:firstLine="480" w:firstLineChars="200"/>
              <w:rPr>
                <w:sz w:val="24"/>
              </w:rPr>
            </w:pPr>
            <w:r>
              <w:rPr>
                <w:sz w:val="24"/>
              </w:rPr>
              <w:t>本项目生产过程中采用铲车将原料投入料斗，根据《逸散性工业粉尘控制技术》，在原料投料等工序中粉尘的产生系数为0.0</w:t>
            </w:r>
            <w:r>
              <w:rPr>
                <w:rFonts w:hint="eastAsia"/>
                <w:sz w:val="24"/>
              </w:rPr>
              <w:t>0</w:t>
            </w:r>
            <w:r>
              <w:rPr>
                <w:sz w:val="24"/>
              </w:rPr>
              <w:t>2kg/t原料，项目的原料用量</w:t>
            </w:r>
            <w:r>
              <w:rPr>
                <w:rFonts w:hint="eastAsia"/>
                <w:sz w:val="24"/>
              </w:rPr>
              <w:t>260</w:t>
            </w:r>
            <w:r>
              <w:rPr>
                <w:sz w:val="24"/>
              </w:rPr>
              <w:t>000t/a，则粉尘产生量为0.</w:t>
            </w:r>
            <w:r>
              <w:rPr>
                <w:rFonts w:hint="eastAsia"/>
                <w:sz w:val="24"/>
              </w:rPr>
              <w:t>52</w:t>
            </w:r>
            <w:r>
              <w:rPr>
                <w:sz w:val="24"/>
              </w:rPr>
              <w:t>t/a。</w:t>
            </w:r>
          </w:p>
          <w:p>
            <w:pPr>
              <w:adjustRightInd w:val="0"/>
              <w:snapToGrid w:val="0"/>
              <w:spacing w:line="360" w:lineRule="auto"/>
              <w:ind w:firstLine="480" w:firstLineChars="200"/>
              <w:rPr>
                <w:sz w:val="24"/>
              </w:rPr>
            </w:pPr>
            <w:r>
              <w:rPr>
                <w:rFonts w:hint="eastAsia"/>
                <w:sz w:val="24"/>
                <w:szCs w:val="20"/>
              </w:rPr>
              <w:t>C</w:t>
            </w:r>
            <w:r>
              <w:rPr>
                <w:sz w:val="24"/>
                <w:szCs w:val="20"/>
              </w:rPr>
              <w:t>.</w:t>
            </w:r>
            <w:r>
              <w:rPr>
                <w:sz w:val="24"/>
              </w:rPr>
              <w:t>堆场起尘</w:t>
            </w:r>
          </w:p>
          <w:p>
            <w:pPr>
              <w:adjustRightInd w:val="0"/>
              <w:snapToGrid w:val="0"/>
              <w:spacing w:line="360" w:lineRule="auto"/>
              <w:ind w:firstLine="480" w:firstLineChars="200"/>
              <w:rPr>
                <w:sz w:val="24"/>
              </w:rPr>
            </w:pPr>
            <w:r>
              <w:rPr>
                <w:sz w:val="24"/>
              </w:rPr>
              <w:t>堆存场扬尘产生量参考西安冶金建筑学院的干堆扬尘计算公式计算：</w:t>
            </w:r>
          </w:p>
          <w:p>
            <w:pPr>
              <w:adjustRightInd w:val="0"/>
              <w:snapToGrid w:val="0"/>
              <w:spacing w:line="360" w:lineRule="auto"/>
              <w:ind w:firstLine="480" w:firstLineChars="200"/>
              <w:jc w:val="center"/>
              <w:rPr>
                <w:sz w:val="24"/>
              </w:rPr>
            </w:pPr>
            <w:r>
              <w:rPr>
                <w:position w:val="-10"/>
                <w:sz w:val="24"/>
              </w:rPr>
              <w:object>
                <v:shape id="_x0000_i1025" o:spt="75" type="#_x0000_t75" style="height:18.5pt;width:119pt;" o:ole="t" filled="f" coordsize="21600,21600">
                  <v:path/>
                  <v:fill on="f" focussize="0,0"/>
                  <v:stroke/>
                  <v:imagedata r:id="rId9" o:title=""/>
                  <o:lock v:ext="edit" aspectratio="t"/>
                  <w10:wrap type="none"/>
                  <w10:anchorlock/>
                </v:shape>
                <o:OLEObject Type="Embed" ProgID="Equation.3" ShapeID="_x0000_i1025" DrawAspect="Content" ObjectID="_1468075725" r:id="rId8">
                  <o:LockedField>false</o:LockedField>
                </o:OLEObject>
              </w:object>
            </w:r>
          </w:p>
          <w:p>
            <w:pPr>
              <w:adjustRightInd w:val="0"/>
              <w:snapToGrid w:val="0"/>
              <w:spacing w:line="360" w:lineRule="auto"/>
              <w:ind w:firstLine="480" w:firstLineChars="200"/>
              <w:rPr>
                <w:sz w:val="24"/>
              </w:rPr>
            </w:pPr>
            <w:r>
              <w:rPr>
                <w:sz w:val="24"/>
              </w:rPr>
              <w:t>式中：Q—粉尘产生量（单位kg/d）</w:t>
            </w:r>
          </w:p>
          <w:p>
            <w:pPr>
              <w:adjustRightInd w:val="0"/>
              <w:snapToGrid w:val="0"/>
              <w:spacing w:line="360" w:lineRule="auto"/>
              <w:rPr>
                <w:sz w:val="24"/>
              </w:rPr>
            </w:pPr>
            <w:r>
              <w:rPr>
                <w:rFonts w:hint="eastAsia"/>
                <w:sz w:val="24"/>
              </w:rPr>
              <w:t xml:space="preserve">          </w:t>
            </w:r>
            <w:r>
              <w:rPr>
                <w:sz w:val="24"/>
              </w:rPr>
              <w:t>S—堆场面积（单位m</w:t>
            </w:r>
            <w:r>
              <w:rPr>
                <w:sz w:val="24"/>
                <w:vertAlign w:val="superscript"/>
              </w:rPr>
              <w:t>2</w:t>
            </w:r>
            <w:r>
              <w:rPr>
                <w:sz w:val="24"/>
              </w:rPr>
              <w:t>）</w:t>
            </w:r>
          </w:p>
          <w:p>
            <w:pPr>
              <w:adjustRightInd w:val="0"/>
              <w:snapToGrid w:val="0"/>
              <w:spacing w:line="360" w:lineRule="auto"/>
              <w:rPr>
                <w:sz w:val="24"/>
              </w:rPr>
            </w:pPr>
            <w:r>
              <w:rPr>
                <w:rFonts w:hint="eastAsia"/>
                <w:sz w:val="24"/>
              </w:rPr>
              <w:t xml:space="preserve">          </w:t>
            </w:r>
            <w:r>
              <w:rPr>
                <w:sz w:val="24"/>
              </w:rPr>
              <w:t>V—风速（单位m/s）</w:t>
            </w:r>
          </w:p>
          <w:p>
            <w:pPr>
              <w:adjustRightInd w:val="0"/>
              <w:snapToGrid w:val="0"/>
              <w:spacing w:line="360" w:lineRule="auto"/>
              <w:ind w:firstLine="480" w:firstLineChars="200"/>
              <w:rPr>
                <w:sz w:val="24"/>
              </w:rPr>
            </w:pPr>
            <w:r>
              <w:rPr>
                <w:sz w:val="24"/>
              </w:rPr>
              <w:t>项目原料及产品的堆场面积为1</w:t>
            </w:r>
            <w:r>
              <w:rPr>
                <w:rFonts w:hint="eastAsia"/>
                <w:sz w:val="24"/>
              </w:rPr>
              <w:t>100</w:t>
            </w:r>
            <w:r>
              <w:rPr>
                <w:sz w:val="24"/>
              </w:rPr>
              <w:t>m</w:t>
            </w:r>
            <w:r>
              <w:rPr>
                <w:sz w:val="24"/>
                <w:vertAlign w:val="superscript"/>
              </w:rPr>
              <w:t>2</w:t>
            </w:r>
            <w:r>
              <w:rPr>
                <w:sz w:val="24"/>
              </w:rPr>
              <w:t>，都在密闭厂房中堆存，风速取</w:t>
            </w:r>
            <w:r>
              <w:rPr>
                <w:rFonts w:hint="eastAsia"/>
                <w:sz w:val="24"/>
              </w:rPr>
              <w:t>0.5</w:t>
            </w:r>
            <w:r>
              <w:rPr>
                <w:sz w:val="24"/>
              </w:rPr>
              <w:t>m/s。成品堆存时间较短，原料也不会出现满堆或是漫堆的现象。堆场扬尘产生量约为0.</w:t>
            </w:r>
            <w:r>
              <w:rPr>
                <w:rFonts w:hint="eastAsia"/>
                <w:sz w:val="24"/>
              </w:rPr>
              <w:t>01</w:t>
            </w:r>
            <w:r>
              <w:rPr>
                <w:sz w:val="24"/>
              </w:rPr>
              <w:t>kg/d（</w:t>
            </w:r>
            <w:r>
              <w:rPr>
                <w:rFonts w:hint="eastAsia"/>
                <w:sz w:val="24"/>
              </w:rPr>
              <w:t>0.003</w:t>
            </w:r>
            <w:r>
              <w:rPr>
                <w:sz w:val="24"/>
              </w:rPr>
              <w:t>t/a）。</w:t>
            </w:r>
          </w:p>
          <w:p>
            <w:pPr>
              <w:spacing w:line="340" w:lineRule="auto"/>
              <w:ind w:firstLine="480" w:firstLineChars="200"/>
              <w:rPr>
                <w:sz w:val="24"/>
                <w:szCs w:val="20"/>
              </w:rPr>
            </w:pPr>
            <w:r>
              <w:rPr>
                <w:rFonts w:hint="eastAsia"/>
                <w:sz w:val="24"/>
                <w:szCs w:val="20"/>
              </w:rPr>
              <w:t>D</w:t>
            </w:r>
            <w:r>
              <w:rPr>
                <w:sz w:val="24"/>
                <w:szCs w:val="20"/>
              </w:rPr>
              <w:t>、输送过程产生的粉尘</w:t>
            </w:r>
          </w:p>
          <w:p>
            <w:pPr>
              <w:spacing w:line="340" w:lineRule="auto"/>
              <w:ind w:firstLine="480" w:firstLineChars="200"/>
              <w:rPr>
                <w:rFonts w:hAnsi="宋体"/>
              </w:rPr>
            </w:pPr>
            <w:r>
              <w:rPr>
                <w:rFonts w:hint="eastAsia"/>
                <w:sz w:val="24"/>
                <w:szCs w:val="20"/>
              </w:rPr>
              <w:t>本环评要求建设方设置密闭皮带输送机进行物料输送，可有效减少生产过程中颗粒物无组织排放。基于完全相关密闭设置情况下，皮带输送机在输送过程中有少量颗粒物产生。根据杨剑梅的《浅议混凝土搅拌站环境影响评价》（钢铁技术，2010年第3期）中相关数据，颗粒物产生量为进料量的0.00005%，本项目原料年用量为26万t，则皮带输送过程中产生的颗粒物量为0.13t/a。</w:t>
            </w:r>
          </w:p>
          <w:p>
            <w:pPr>
              <w:pStyle w:val="60"/>
              <w:snapToGrid w:val="0"/>
              <w:spacing w:line="360" w:lineRule="auto"/>
              <w:ind w:firstLine="480" w:firstLineChars="200"/>
              <w:rPr>
                <w:color w:val="auto"/>
                <w:kern w:val="2"/>
              </w:rPr>
            </w:pPr>
            <w:r>
              <w:rPr>
                <w:rFonts w:hint="eastAsia" w:hAnsi="宋体"/>
                <w:color w:val="auto"/>
                <w:kern w:val="2"/>
              </w:rPr>
              <w:t>厂区内</w:t>
            </w:r>
            <w:r>
              <w:rPr>
                <w:rFonts w:hAnsi="宋体"/>
                <w:color w:val="auto"/>
                <w:kern w:val="2"/>
              </w:rPr>
              <w:t>无组织粉尘的产生量为破碎筛分过程中未捕集到的粉尘、</w:t>
            </w:r>
            <w:r>
              <w:rPr>
                <w:rFonts w:hint="eastAsia" w:hAnsi="宋体"/>
                <w:color w:val="auto"/>
                <w:kern w:val="2"/>
              </w:rPr>
              <w:t>原料及成品堆放粉尘、投料粉尘、</w:t>
            </w:r>
            <w:r>
              <w:rPr>
                <w:rFonts w:hAnsi="宋体"/>
                <w:color w:val="auto"/>
                <w:kern w:val="2"/>
              </w:rPr>
              <w:t>装卸粉尘</w:t>
            </w:r>
            <w:r>
              <w:rPr>
                <w:rFonts w:hint="eastAsia" w:hAnsi="宋体"/>
                <w:color w:val="auto"/>
                <w:kern w:val="2"/>
              </w:rPr>
              <w:t>及输送粉尘</w:t>
            </w:r>
            <w:r>
              <w:rPr>
                <w:rFonts w:hAnsi="宋体"/>
                <w:color w:val="auto"/>
                <w:kern w:val="2"/>
              </w:rPr>
              <w:t>。为了减小无组织粉尘排放量，厂房全密闭，并在车间</w:t>
            </w:r>
            <w:r>
              <w:rPr>
                <w:rFonts w:hint="eastAsia" w:hAnsi="宋体"/>
                <w:color w:val="auto"/>
                <w:kern w:val="2"/>
              </w:rPr>
              <w:t>顶部设置喷淋装置</w:t>
            </w:r>
            <w:r>
              <w:rPr>
                <w:rFonts w:hAnsi="宋体"/>
                <w:color w:val="auto"/>
                <w:kern w:val="2"/>
              </w:rPr>
              <w:t>进行喷雾除尘，除尘效率</w:t>
            </w:r>
            <w:r>
              <w:rPr>
                <w:rFonts w:hint="eastAsia" w:hAnsi="宋体"/>
                <w:color w:val="auto"/>
                <w:kern w:val="2"/>
              </w:rPr>
              <w:t>达到</w:t>
            </w:r>
            <w:r>
              <w:rPr>
                <w:rFonts w:hint="eastAsia"/>
                <w:color w:val="auto"/>
                <w:kern w:val="2"/>
              </w:rPr>
              <w:t>9</w:t>
            </w:r>
            <w:r>
              <w:rPr>
                <w:color w:val="auto"/>
                <w:kern w:val="2"/>
              </w:rPr>
              <w:t>5%</w:t>
            </w:r>
            <w:r>
              <w:rPr>
                <w:rFonts w:hint="eastAsia"/>
                <w:color w:val="auto"/>
                <w:kern w:val="2"/>
              </w:rPr>
              <w:t>左右</w:t>
            </w:r>
            <w:r>
              <w:rPr>
                <w:rFonts w:hAnsi="宋体"/>
                <w:color w:val="auto"/>
                <w:kern w:val="2"/>
              </w:rPr>
              <w:t>，则最终车间物质粉尘排放量为</w:t>
            </w:r>
            <w:r>
              <w:rPr>
                <w:rFonts w:hint="eastAsia" w:hAnsi="宋体"/>
                <w:color w:val="auto"/>
                <w:kern w:val="2"/>
              </w:rPr>
              <w:t>0.47</w:t>
            </w:r>
            <w:r>
              <w:rPr>
                <w:color w:val="auto"/>
                <w:kern w:val="2"/>
              </w:rPr>
              <w:t>t/a</w:t>
            </w:r>
            <w:r>
              <w:rPr>
                <w:rFonts w:hAnsi="宋体"/>
                <w:color w:val="auto"/>
                <w:kern w:val="2"/>
              </w:rPr>
              <w:t>，具体见下表。</w:t>
            </w:r>
          </w:p>
          <w:p>
            <w:pPr>
              <w:pStyle w:val="60"/>
              <w:ind w:firstLine="420" w:firstLineChars="200"/>
              <w:jc w:val="center"/>
              <w:rPr>
                <w:color w:val="auto"/>
                <w:kern w:val="2"/>
              </w:rPr>
            </w:pPr>
            <w:r>
              <w:rPr>
                <w:rFonts w:hint="eastAsia"/>
                <w:b/>
                <w:bCs/>
                <w:color w:val="auto"/>
                <w:kern w:val="2"/>
                <w:sz w:val="21"/>
                <w:szCs w:val="21"/>
              </w:rPr>
              <w:t xml:space="preserve">表16   </w:t>
            </w:r>
            <w:r>
              <w:rPr>
                <w:rFonts w:hint="eastAsia" w:ascii="宋体" w:hAnsi="宋体"/>
                <w:b/>
                <w:bCs/>
                <w:color w:val="auto"/>
                <w:kern w:val="2"/>
                <w:sz w:val="21"/>
                <w:szCs w:val="21"/>
              </w:rPr>
              <w:t>生产车间无组织产生及排放情况</w:t>
            </w:r>
          </w:p>
          <w:tbl>
            <w:tblPr>
              <w:tblStyle w:val="19"/>
              <w:tblW w:w="499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20"/>
              <w:gridCol w:w="1466"/>
              <w:gridCol w:w="2403"/>
              <w:gridCol w:w="1490"/>
              <w:gridCol w:w="1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1339" w:type="pct"/>
                  <w:vMerge w:val="restart"/>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粉尘</w:t>
                  </w:r>
                </w:p>
              </w:tc>
              <w:tc>
                <w:tcPr>
                  <w:tcW w:w="811" w:type="pct"/>
                  <w:vMerge w:val="restart"/>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产生量（</w:t>
                  </w:r>
                  <w:r>
                    <w:rPr>
                      <w:color w:val="auto"/>
                      <w:kern w:val="2"/>
                      <w:sz w:val="21"/>
                      <w:szCs w:val="21"/>
                    </w:rPr>
                    <w:t>t/a</w:t>
                  </w:r>
                  <w:r>
                    <w:rPr>
                      <w:rFonts w:hAnsi="宋体"/>
                      <w:color w:val="auto"/>
                      <w:kern w:val="2"/>
                      <w:sz w:val="21"/>
                      <w:szCs w:val="21"/>
                    </w:rPr>
                    <w:t>）</w:t>
                  </w:r>
                </w:p>
              </w:tc>
              <w:tc>
                <w:tcPr>
                  <w:tcW w:w="1329" w:type="pct"/>
                  <w:vMerge w:val="restart"/>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措施</w:t>
                  </w:r>
                </w:p>
              </w:tc>
              <w:tc>
                <w:tcPr>
                  <w:tcW w:w="1519" w:type="pct"/>
                  <w:gridSpan w:val="2"/>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1339" w:type="pct"/>
                  <w:vMerge w:val="continue"/>
                  <w:tcBorders>
                    <w:tl2br w:val="nil"/>
                    <w:tr2bl w:val="nil"/>
                  </w:tcBorders>
                  <w:vAlign w:val="center"/>
                </w:tcPr>
                <w:p>
                  <w:pPr>
                    <w:widowControl/>
                    <w:jc w:val="left"/>
                    <w:rPr>
                      <w:szCs w:val="21"/>
                    </w:rPr>
                  </w:pPr>
                </w:p>
              </w:tc>
              <w:tc>
                <w:tcPr>
                  <w:tcW w:w="811" w:type="pct"/>
                  <w:vMerge w:val="continue"/>
                  <w:tcBorders>
                    <w:tl2br w:val="nil"/>
                    <w:tr2bl w:val="nil"/>
                  </w:tcBorders>
                  <w:vAlign w:val="center"/>
                </w:tcPr>
                <w:p>
                  <w:pPr>
                    <w:widowControl/>
                    <w:jc w:val="left"/>
                    <w:rPr>
                      <w:szCs w:val="21"/>
                    </w:rPr>
                  </w:pPr>
                </w:p>
              </w:tc>
              <w:tc>
                <w:tcPr>
                  <w:tcW w:w="1329" w:type="pct"/>
                  <w:vMerge w:val="continue"/>
                  <w:tcBorders>
                    <w:tl2br w:val="nil"/>
                    <w:tr2bl w:val="nil"/>
                  </w:tcBorders>
                  <w:vAlign w:val="center"/>
                </w:tcPr>
                <w:p>
                  <w:pPr>
                    <w:widowControl/>
                    <w:jc w:val="left"/>
                    <w:rPr>
                      <w:szCs w:val="21"/>
                    </w:rPr>
                  </w:pPr>
                </w:p>
              </w:tc>
              <w:tc>
                <w:tcPr>
                  <w:tcW w:w="824" w:type="pct"/>
                  <w:tcBorders>
                    <w:tl2br w:val="nil"/>
                    <w:tr2bl w:val="nil"/>
                  </w:tcBorders>
                  <w:vAlign w:val="center"/>
                </w:tcPr>
                <w:p>
                  <w:pPr>
                    <w:pStyle w:val="60"/>
                    <w:spacing w:line="360" w:lineRule="auto"/>
                    <w:jc w:val="center"/>
                    <w:rPr>
                      <w:color w:val="auto"/>
                      <w:kern w:val="2"/>
                      <w:sz w:val="21"/>
                      <w:szCs w:val="21"/>
                    </w:rPr>
                  </w:pPr>
                  <w:r>
                    <w:rPr>
                      <w:color w:val="auto"/>
                      <w:kern w:val="2"/>
                      <w:sz w:val="21"/>
                      <w:szCs w:val="21"/>
                    </w:rPr>
                    <w:t>t/a</w:t>
                  </w:r>
                </w:p>
              </w:tc>
              <w:tc>
                <w:tcPr>
                  <w:tcW w:w="695" w:type="pct"/>
                  <w:tcBorders>
                    <w:tl2br w:val="nil"/>
                    <w:tr2bl w:val="nil"/>
                  </w:tcBorders>
                  <w:vAlign w:val="center"/>
                </w:tcPr>
                <w:p>
                  <w:pPr>
                    <w:pStyle w:val="60"/>
                    <w:spacing w:line="360" w:lineRule="auto"/>
                    <w:jc w:val="center"/>
                    <w:rPr>
                      <w:color w:val="auto"/>
                      <w:kern w:val="2"/>
                      <w:sz w:val="21"/>
                      <w:szCs w:val="21"/>
                    </w:rPr>
                  </w:pPr>
                  <w:r>
                    <w:rPr>
                      <w:color w:val="auto"/>
                      <w:kern w:val="2"/>
                      <w:sz w:val="21"/>
                      <w:szCs w:val="21"/>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39" w:type="pct"/>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未捕集的破碎筛分粉尘</w:t>
                  </w:r>
                </w:p>
              </w:tc>
              <w:tc>
                <w:tcPr>
                  <w:tcW w:w="811" w:type="pc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7.8</w:t>
                  </w:r>
                </w:p>
              </w:tc>
              <w:tc>
                <w:tcPr>
                  <w:tcW w:w="1329" w:type="pct"/>
                  <w:vMerge w:val="restart"/>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厂房全密闭，并在车间</w:t>
                  </w:r>
                  <w:r>
                    <w:rPr>
                      <w:rFonts w:hint="eastAsia" w:hAnsi="宋体"/>
                      <w:color w:val="auto"/>
                      <w:kern w:val="2"/>
                      <w:sz w:val="21"/>
                      <w:szCs w:val="21"/>
                    </w:rPr>
                    <w:t>顶部设置喷淋装置</w:t>
                  </w:r>
                  <w:r>
                    <w:rPr>
                      <w:rFonts w:hAnsi="宋体"/>
                      <w:color w:val="auto"/>
                      <w:kern w:val="2"/>
                      <w:sz w:val="21"/>
                      <w:szCs w:val="21"/>
                    </w:rPr>
                    <w:t>进行喷雾除尘</w:t>
                  </w:r>
                  <w:r>
                    <w:rPr>
                      <w:rFonts w:hint="eastAsia" w:hAnsi="宋体"/>
                      <w:color w:val="auto"/>
                      <w:kern w:val="2"/>
                      <w:sz w:val="21"/>
                      <w:szCs w:val="21"/>
                    </w:rPr>
                    <w:t>，去除率为95%</w:t>
                  </w:r>
                </w:p>
              </w:tc>
              <w:tc>
                <w:tcPr>
                  <w:tcW w:w="824" w:type="pct"/>
                  <w:vMerge w:val="restar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0.47</w:t>
                  </w:r>
                </w:p>
              </w:tc>
              <w:tc>
                <w:tcPr>
                  <w:tcW w:w="695" w:type="pct"/>
                  <w:vMerge w:val="restar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39" w:type="pct"/>
                  <w:tcBorders>
                    <w:tl2br w:val="nil"/>
                    <w:tr2bl w:val="nil"/>
                  </w:tcBorders>
                  <w:vAlign w:val="center"/>
                </w:tcPr>
                <w:p>
                  <w:pPr>
                    <w:pStyle w:val="60"/>
                    <w:spacing w:line="360" w:lineRule="auto"/>
                    <w:jc w:val="center"/>
                    <w:rPr>
                      <w:rFonts w:hAnsi="宋体"/>
                      <w:color w:val="auto"/>
                      <w:kern w:val="2"/>
                      <w:sz w:val="21"/>
                      <w:szCs w:val="21"/>
                    </w:rPr>
                  </w:pPr>
                  <w:r>
                    <w:rPr>
                      <w:rFonts w:hint="eastAsia" w:hAnsi="宋体"/>
                      <w:color w:val="auto"/>
                      <w:kern w:val="2"/>
                      <w:sz w:val="21"/>
                      <w:szCs w:val="21"/>
                    </w:rPr>
                    <w:t>投料粉尘</w:t>
                  </w:r>
                </w:p>
              </w:tc>
              <w:tc>
                <w:tcPr>
                  <w:tcW w:w="811" w:type="pc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0.52</w:t>
                  </w:r>
                </w:p>
              </w:tc>
              <w:tc>
                <w:tcPr>
                  <w:tcW w:w="1329" w:type="pct"/>
                  <w:vMerge w:val="continue"/>
                  <w:tcBorders>
                    <w:tl2br w:val="nil"/>
                    <w:tr2bl w:val="nil"/>
                  </w:tcBorders>
                  <w:vAlign w:val="center"/>
                </w:tcPr>
                <w:p>
                  <w:pPr>
                    <w:pStyle w:val="60"/>
                    <w:spacing w:line="360" w:lineRule="auto"/>
                    <w:jc w:val="center"/>
                    <w:rPr>
                      <w:rFonts w:hAnsi="宋体"/>
                      <w:color w:val="auto"/>
                      <w:kern w:val="2"/>
                      <w:sz w:val="21"/>
                      <w:szCs w:val="21"/>
                    </w:rPr>
                  </w:pPr>
                </w:p>
              </w:tc>
              <w:tc>
                <w:tcPr>
                  <w:tcW w:w="824" w:type="pct"/>
                  <w:vMerge w:val="continue"/>
                  <w:tcBorders>
                    <w:tl2br w:val="nil"/>
                    <w:tr2bl w:val="nil"/>
                  </w:tcBorders>
                  <w:vAlign w:val="center"/>
                </w:tcPr>
                <w:p>
                  <w:pPr>
                    <w:pStyle w:val="60"/>
                    <w:spacing w:line="360" w:lineRule="auto"/>
                    <w:jc w:val="center"/>
                    <w:rPr>
                      <w:color w:val="auto"/>
                      <w:kern w:val="2"/>
                      <w:sz w:val="21"/>
                      <w:szCs w:val="21"/>
                    </w:rPr>
                  </w:pPr>
                </w:p>
              </w:tc>
              <w:tc>
                <w:tcPr>
                  <w:tcW w:w="695" w:type="pct"/>
                  <w:vMerge w:val="continue"/>
                  <w:tcBorders>
                    <w:tl2br w:val="nil"/>
                    <w:tr2bl w:val="nil"/>
                  </w:tcBorders>
                  <w:vAlign w:val="center"/>
                </w:tcPr>
                <w:p>
                  <w:pPr>
                    <w:pStyle w:val="60"/>
                    <w:spacing w:line="360" w:lineRule="auto"/>
                    <w:jc w:val="center"/>
                    <w:rPr>
                      <w:color w:val="auto"/>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339" w:type="pct"/>
                  <w:tcBorders>
                    <w:tl2br w:val="nil"/>
                    <w:tr2bl w:val="nil"/>
                  </w:tcBorders>
                  <w:vAlign w:val="center"/>
                </w:tcPr>
                <w:p>
                  <w:pPr>
                    <w:pStyle w:val="60"/>
                    <w:spacing w:line="360" w:lineRule="auto"/>
                    <w:jc w:val="center"/>
                    <w:rPr>
                      <w:color w:val="auto"/>
                      <w:kern w:val="2"/>
                      <w:sz w:val="21"/>
                      <w:szCs w:val="21"/>
                    </w:rPr>
                  </w:pPr>
                  <w:r>
                    <w:rPr>
                      <w:rFonts w:hint="eastAsia" w:hAnsi="宋体"/>
                      <w:color w:val="auto"/>
                      <w:kern w:val="2"/>
                      <w:sz w:val="21"/>
                      <w:szCs w:val="21"/>
                    </w:rPr>
                    <w:t>原料及成品堆放</w:t>
                  </w:r>
                  <w:r>
                    <w:rPr>
                      <w:rFonts w:hAnsi="宋体"/>
                      <w:color w:val="auto"/>
                      <w:kern w:val="2"/>
                      <w:sz w:val="21"/>
                      <w:szCs w:val="21"/>
                    </w:rPr>
                    <w:t>粉尘</w:t>
                  </w:r>
                </w:p>
              </w:tc>
              <w:tc>
                <w:tcPr>
                  <w:tcW w:w="811" w:type="pc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0.003</w:t>
                  </w:r>
                </w:p>
              </w:tc>
              <w:tc>
                <w:tcPr>
                  <w:tcW w:w="1329" w:type="pct"/>
                  <w:vMerge w:val="continue"/>
                  <w:tcBorders>
                    <w:tl2br w:val="nil"/>
                    <w:tr2bl w:val="nil"/>
                  </w:tcBorders>
                  <w:vAlign w:val="center"/>
                </w:tcPr>
                <w:p>
                  <w:pPr>
                    <w:widowControl/>
                    <w:jc w:val="left"/>
                    <w:rPr>
                      <w:szCs w:val="21"/>
                    </w:rPr>
                  </w:pPr>
                </w:p>
              </w:tc>
              <w:tc>
                <w:tcPr>
                  <w:tcW w:w="824" w:type="pct"/>
                  <w:vMerge w:val="continue"/>
                  <w:tcBorders>
                    <w:tl2br w:val="nil"/>
                    <w:tr2bl w:val="nil"/>
                  </w:tcBorders>
                  <w:vAlign w:val="center"/>
                </w:tcPr>
                <w:p>
                  <w:pPr>
                    <w:widowControl/>
                    <w:jc w:val="left"/>
                    <w:rPr>
                      <w:szCs w:val="21"/>
                    </w:rPr>
                  </w:pPr>
                </w:p>
              </w:tc>
              <w:tc>
                <w:tcPr>
                  <w:tcW w:w="695" w:type="pct"/>
                  <w:vMerge w:val="continue"/>
                  <w:tcBorders>
                    <w:tl2br w:val="nil"/>
                    <w:tr2bl w:val="nil"/>
                  </w:tcBorders>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39" w:type="pct"/>
                  <w:tcBorders>
                    <w:tl2br w:val="nil"/>
                    <w:tr2bl w:val="nil"/>
                  </w:tcBorders>
                  <w:vAlign w:val="center"/>
                </w:tcPr>
                <w:p>
                  <w:pPr>
                    <w:pStyle w:val="60"/>
                    <w:spacing w:line="360" w:lineRule="auto"/>
                    <w:jc w:val="center"/>
                    <w:rPr>
                      <w:color w:val="auto"/>
                      <w:kern w:val="2"/>
                      <w:sz w:val="21"/>
                      <w:szCs w:val="21"/>
                    </w:rPr>
                  </w:pPr>
                  <w:r>
                    <w:rPr>
                      <w:rFonts w:hAnsi="宋体"/>
                      <w:color w:val="auto"/>
                      <w:kern w:val="2"/>
                      <w:sz w:val="21"/>
                      <w:szCs w:val="21"/>
                    </w:rPr>
                    <w:t>装卸粉尘</w:t>
                  </w:r>
                </w:p>
              </w:tc>
              <w:tc>
                <w:tcPr>
                  <w:tcW w:w="811" w:type="pc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0.93</w:t>
                  </w:r>
                </w:p>
              </w:tc>
              <w:tc>
                <w:tcPr>
                  <w:tcW w:w="1329" w:type="pct"/>
                  <w:vMerge w:val="continue"/>
                  <w:tcBorders>
                    <w:tl2br w:val="nil"/>
                    <w:tr2bl w:val="nil"/>
                  </w:tcBorders>
                  <w:vAlign w:val="center"/>
                </w:tcPr>
                <w:p>
                  <w:pPr>
                    <w:widowControl/>
                    <w:jc w:val="left"/>
                    <w:rPr>
                      <w:szCs w:val="21"/>
                    </w:rPr>
                  </w:pPr>
                </w:p>
              </w:tc>
              <w:tc>
                <w:tcPr>
                  <w:tcW w:w="824" w:type="pct"/>
                  <w:vMerge w:val="continue"/>
                  <w:tcBorders>
                    <w:tl2br w:val="nil"/>
                    <w:tr2bl w:val="nil"/>
                  </w:tcBorders>
                  <w:vAlign w:val="center"/>
                </w:tcPr>
                <w:p>
                  <w:pPr>
                    <w:widowControl/>
                    <w:jc w:val="left"/>
                    <w:rPr>
                      <w:szCs w:val="21"/>
                    </w:rPr>
                  </w:pPr>
                </w:p>
              </w:tc>
              <w:tc>
                <w:tcPr>
                  <w:tcW w:w="695" w:type="pct"/>
                  <w:vMerge w:val="continue"/>
                  <w:tcBorders>
                    <w:tl2br w:val="nil"/>
                    <w:tr2bl w:val="nil"/>
                  </w:tcBorders>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39" w:type="pct"/>
                  <w:tcBorders>
                    <w:tl2br w:val="nil"/>
                    <w:tr2bl w:val="nil"/>
                  </w:tcBorders>
                  <w:vAlign w:val="center"/>
                </w:tcPr>
                <w:p>
                  <w:pPr>
                    <w:pStyle w:val="60"/>
                    <w:spacing w:line="360" w:lineRule="auto"/>
                    <w:jc w:val="center"/>
                    <w:rPr>
                      <w:rFonts w:hAnsi="宋体"/>
                      <w:color w:val="auto"/>
                      <w:kern w:val="2"/>
                      <w:sz w:val="21"/>
                      <w:szCs w:val="21"/>
                    </w:rPr>
                  </w:pPr>
                  <w:r>
                    <w:rPr>
                      <w:rFonts w:hint="eastAsia" w:hAnsi="宋体"/>
                      <w:color w:val="auto"/>
                      <w:kern w:val="2"/>
                      <w:sz w:val="21"/>
                      <w:szCs w:val="21"/>
                    </w:rPr>
                    <w:t>输送过程粉尘</w:t>
                  </w:r>
                </w:p>
              </w:tc>
              <w:tc>
                <w:tcPr>
                  <w:tcW w:w="811" w:type="pct"/>
                  <w:tcBorders>
                    <w:tl2br w:val="nil"/>
                    <w:tr2bl w:val="nil"/>
                  </w:tcBorders>
                  <w:vAlign w:val="center"/>
                </w:tcPr>
                <w:p>
                  <w:pPr>
                    <w:pStyle w:val="60"/>
                    <w:spacing w:line="360" w:lineRule="auto"/>
                    <w:jc w:val="center"/>
                    <w:rPr>
                      <w:color w:val="auto"/>
                      <w:kern w:val="2"/>
                      <w:sz w:val="21"/>
                      <w:szCs w:val="21"/>
                    </w:rPr>
                  </w:pPr>
                  <w:r>
                    <w:rPr>
                      <w:rFonts w:hint="eastAsia"/>
                      <w:color w:val="auto"/>
                      <w:kern w:val="2"/>
                      <w:sz w:val="21"/>
                      <w:szCs w:val="21"/>
                    </w:rPr>
                    <w:t>0.13</w:t>
                  </w:r>
                </w:p>
              </w:tc>
              <w:tc>
                <w:tcPr>
                  <w:tcW w:w="1329" w:type="pct"/>
                  <w:vMerge w:val="continue"/>
                  <w:tcBorders>
                    <w:tl2br w:val="nil"/>
                    <w:tr2bl w:val="nil"/>
                  </w:tcBorders>
                  <w:vAlign w:val="center"/>
                </w:tcPr>
                <w:p>
                  <w:pPr>
                    <w:widowControl/>
                    <w:jc w:val="left"/>
                    <w:rPr>
                      <w:szCs w:val="21"/>
                    </w:rPr>
                  </w:pPr>
                </w:p>
              </w:tc>
              <w:tc>
                <w:tcPr>
                  <w:tcW w:w="824" w:type="pct"/>
                  <w:vMerge w:val="continue"/>
                  <w:tcBorders>
                    <w:tl2br w:val="nil"/>
                    <w:tr2bl w:val="nil"/>
                  </w:tcBorders>
                  <w:vAlign w:val="center"/>
                </w:tcPr>
                <w:p>
                  <w:pPr>
                    <w:widowControl/>
                    <w:jc w:val="left"/>
                    <w:rPr>
                      <w:szCs w:val="21"/>
                    </w:rPr>
                  </w:pPr>
                </w:p>
              </w:tc>
              <w:tc>
                <w:tcPr>
                  <w:tcW w:w="695" w:type="pct"/>
                  <w:vMerge w:val="continue"/>
                  <w:tcBorders>
                    <w:tl2br w:val="nil"/>
                    <w:tr2bl w:val="nil"/>
                  </w:tcBorders>
                  <w:vAlign w:val="center"/>
                </w:tcPr>
                <w:p>
                  <w:pPr>
                    <w:widowControl/>
                    <w:jc w:val="left"/>
                    <w:rPr>
                      <w:szCs w:val="21"/>
                    </w:rPr>
                  </w:pPr>
                </w:p>
              </w:tc>
            </w:tr>
          </w:tbl>
          <w:p>
            <w:pPr>
              <w:adjustRightInd w:val="0"/>
              <w:snapToGrid w:val="0"/>
              <w:spacing w:line="360" w:lineRule="auto"/>
              <w:ind w:firstLine="480" w:firstLineChars="200"/>
              <w:rPr>
                <w:sz w:val="24"/>
                <w:szCs w:val="20"/>
              </w:rPr>
            </w:pPr>
            <w:r>
              <w:rPr>
                <w:rFonts w:hint="eastAsia"/>
                <w:sz w:val="24"/>
                <w:szCs w:val="20"/>
              </w:rPr>
              <w:t>E.汽车</w:t>
            </w:r>
            <w:r>
              <w:rPr>
                <w:sz w:val="24"/>
                <w:szCs w:val="20"/>
              </w:rPr>
              <w:t>运输</w:t>
            </w:r>
            <w:r>
              <w:rPr>
                <w:rFonts w:hint="eastAsia"/>
                <w:sz w:val="24"/>
                <w:szCs w:val="20"/>
              </w:rPr>
              <w:t xml:space="preserve">粉尘 </w:t>
            </w:r>
          </w:p>
          <w:p>
            <w:pPr>
              <w:spacing w:line="360" w:lineRule="auto"/>
              <w:ind w:firstLine="480" w:firstLineChars="200"/>
              <w:rPr>
                <w:sz w:val="24"/>
              </w:rPr>
            </w:pPr>
            <w:r>
              <w:rPr>
                <w:sz w:val="24"/>
              </w:rPr>
              <w:t>交通运输</w:t>
            </w:r>
            <w:r>
              <w:rPr>
                <w:rFonts w:hint="eastAsia"/>
                <w:sz w:val="24"/>
              </w:rPr>
              <w:t>粉尘</w:t>
            </w:r>
            <w:r>
              <w:rPr>
                <w:sz w:val="24"/>
              </w:rPr>
              <w:t>是指原料及成品过程中车辆经过项目厂区内所产生的扬尘</w:t>
            </w:r>
            <w:r>
              <w:rPr>
                <w:rFonts w:hint="eastAsia"/>
                <w:sz w:val="24"/>
              </w:rPr>
              <w:t>，</w:t>
            </w:r>
            <w:r>
              <w:rPr>
                <w:sz w:val="24"/>
              </w:rPr>
              <w:t>采用以下公式进行计算：</w:t>
            </w:r>
          </w:p>
          <w:p>
            <w:pPr>
              <w:spacing w:line="360" w:lineRule="auto"/>
              <w:ind w:firstLine="480" w:firstLineChars="200"/>
              <w:jc w:val="center"/>
            </w:pPr>
            <w:r>
              <w:rPr>
                <w:sz w:val="24"/>
              </w:rPr>
              <w:drawing>
                <wp:inline distT="0" distB="0" distL="114300" distR="114300">
                  <wp:extent cx="1877060" cy="485775"/>
                  <wp:effectExtent l="0" t="0" r="8890" b="8890"/>
                  <wp:docPr id="203" name="图片 2" descr="C:\Users\Administrator\AppData\Local\Temp\ksohtml\wpsB80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 descr="C:\Users\Administrator\AppData\Local\Temp\ksohtml\wpsB809.tmp.png"/>
                          <pic:cNvPicPr>
                            <a:picLocks noChangeAspect="1"/>
                          </pic:cNvPicPr>
                        </pic:nvPicPr>
                        <pic:blipFill>
                          <a:blip r:embed="rId10"/>
                          <a:stretch>
                            <a:fillRect/>
                          </a:stretch>
                        </pic:blipFill>
                        <pic:spPr>
                          <a:xfrm>
                            <a:off x="0" y="0"/>
                            <a:ext cx="1877060" cy="485775"/>
                          </a:xfrm>
                          <a:prstGeom prst="rect">
                            <a:avLst/>
                          </a:prstGeom>
                          <a:noFill/>
                          <a:ln>
                            <a:noFill/>
                          </a:ln>
                        </pic:spPr>
                      </pic:pic>
                    </a:graphicData>
                  </a:graphic>
                </wp:inline>
              </w:drawing>
            </w:r>
          </w:p>
          <w:p>
            <w:pPr>
              <w:spacing w:line="360" w:lineRule="auto"/>
              <w:ind w:firstLine="480" w:firstLineChars="200"/>
              <w:jc w:val="center"/>
            </w:pPr>
            <w:r>
              <w:rPr>
                <w:sz w:val="24"/>
              </w:rPr>
              <w:drawing>
                <wp:inline distT="0" distB="0" distL="114300" distR="114300">
                  <wp:extent cx="1016635" cy="485140"/>
                  <wp:effectExtent l="0" t="0" r="12065" b="10795"/>
                  <wp:docPr id="202" name="图片 3" descr="C:\Users\Administrator\AppData\Local\Temp\ksohtml\wpsB80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3" descr="C:\Users\Administrator\AppData\Local\Temp\ksohtml\wpsB80A.tmp.png"/>
                          <pic:cNvPicPr>
                            <a:picLocks noChangeAspect="1"/>
                          </pic:cNvPicPr>
                        </pic:nvPicPr>
                        <pic:blipFill>
                          <a:blip r:embed="rId11"/>
                          <a:stretch>
                            <a:fillRect/>
                          </a:stretch>
                        </pic:blipFill>
                        <pic:spPr>
                          <a:xfrm>
                            <a:off x="0" y="0"/>
                            <a:ext cx="1016635" cy="485140"/>
                          </a:xfrm>
                          <a:prstGeom prst="rect">
                            <a:avLst/>
                          </a:prstGeom>
                          <a:noFill/>
                          <a:ln>
                            <a:noFill/>
                          </a:ln>
                        </pic:spPr>
                      </pic:pic>
                    </a:graphicData>
                  </a:graphic>
                </wp:inline>
              </w:drawing>
            </w:r>
          </w:p>
          <w:p>
            <w:pPr>
              <w:adjustRightInd w:val="0"/>
              <w:snapToGrid w:val="0"/>
              <w:spacing w:line="360" w:lineRule="auto"/>
              <w:ind w:firstLine="480" w:firstLineChars="200"/>
              <w:rPr>
                <w:sz w:val="24"/>
              </w:rPr>
            </w:pPr>
            <w:r>
              <w:rPr>
                <w:sz w:val="24"/>
              </w:rPr>
              <w:t>式中：Q</w:t>
            </w:r>
            <w:r>
              <w:rPr>
                <w:sz w:val="24"/>
                <w:vertAlign w:val="subscript"/>
              </w:rPr>
              <w:t>y</w:t>
            </w:r>
            <w:r>
              <w:rPr>
                <w:sz w:val="24"/>
              </w:rPr>
              <w:t>——</w:t>
            </w:r>
            <w:r>
              <w:rPr>
                <w:rFonts w:ascii="宋体" w:hAnsi="宋体"/>
                <w:sz w:val="24"/>
              </w:rPr>
              <w:t>交通运输</w:t>
            </w:r>
            <w:r>
              <w:rPr>
                <w:rFonts w:hint="eastAsia" w:ascii="宋体" w:hAnsi="宋体"/>
                <w:sz w:val="24"/>
              </w:rPr>
              <w:t>粉尘</w:t>
            </w:r>
            <w:r>
              <w:rPr>
                <w:rFonts w:ascii="宋体" w:hAnsi="宋体"/>
                <w:sz w:val="24"/>
              </w:rPr>
              <w:t>量，</w:t>
            </w:r>
            <w:r>
              <w:rPr>
                <w:sz w:val="24"/>
              </w:rPr>
              <w:t>Kg/Km·</w:t>
            </w:r>
            <w:r>
              <w:rPr>
                <w:rFonts w:ascii="宋体" w:hAnsi="宋体"/>
                <w:sz w:val="24"/>
              </w:rPr>
              <w:t>辆；</w:t>
            </w:r>
          </w:p>
          <w:p>
            <w:pPr>
              <w:adjustRightInd w:val="0"/>
              <w:snapToGrid w:val="0"/>
              <w:spacing w:line="360" w:lineRule="auto"/>
              <w:ind w:firstLine="1200" w:firstLineChars="500"/>
              <w:rPr>
                <w:sz w:val="24"/>
              </w:rPr>
            </w:pPr>
            <w:r>
              <w:rPr>
                <w:sz w:val="24"/>
              </w:rPr>
              <w:t>Q</w:t>
            </w:r>
            <w:r>
              <w:rPr>
                <w:sz w:val="24"/>
                <w:vertAlign w:val="subscript"/>
              </w:rPr>
              <w:t>t</w:t>
            </w:r>
            <w:r>
              <w:rPr>
                <w:sz w:val="24"/>
              </w:rPr>
              <w:t>——</w:t>
            </w:r>
            <w:r>
              <w:rPr>
                <w:rFonts w:ascii="宋体" w:hAnsi="宋体"/>
                <w:sz w:val="24"/>
              </w:rPr>
              <w:t>运输途中起尘量，</w:t>
            </w:r>
            <w:r>
              <w:rPr>
                <w:sz w:val="24"/>
              </w:rPr>
              <w:t>Kg/a</w:t>
            </w:r>
            <w:r>
              <w:rPr>
                <w:rFonts w:ascii="宋体" w:hAnsi="宋体"/>
                <w:sz w:val="24"/>
              </w:rPr>
              <w:t>；</w:t>
            </w:r>
          </w:p>
          <w:p>
            <w:pPr>
              <w:adjustRightInd w:val="0"/>
              <w:snapToGrid w:val="0"/>
              <w:spacing w:line="360" w:lineRule="auto"/>
              <w:ind w:firstLine="1200" w:firstLineChars="500"/>
              <w:rPr>
                <w:sz w:val="24"/>
              </w:rPr>
            </w:pPr>
            <w:r>
              <w:rPr>
                <w:sz w:val="24"/>
              </w:rPr>
              <w:t>V——</w:t>
            </w:r>
            <w:r>
              <w:rPr>
                <w:rFonts w:ascii="宋体" w:hAnsi="宋体"/>
                <w:sz w:val="24"/>
              </w:rPr>
              <w:t>车辆行驶速度，</w:t>
            </w:r>
            <w:r>
              <w:rPr>
                <w:sz w:val="24"/>
              </w:rPr>
              <w:t>Km/h</w:t>
            </w:r>
            <w:r>
              <w:rPr>
                <w:rFonts w:ascii="宋体" w:hAnsi="宋体"/>
                <w:sz w:val="24"/>
              </w:rPr>
              <w:t>；</w:t>
            </w:r>
          </w:p>
          <w:p>
            <w:pPr>
              <w:adjustRightInd w:val="0"/>
              <w:snapToGrid w:val="0"/>
              <w:spacing w:line="360" w:lineRule="auto"/>
              <w:ind w:firstLine="1200" w:firstLineChars="500"/>
              <w:rPr>
                <w:sz w:val="24"/>
              </w:rPr>
            </w:pPr>
            <w:r>
              <w:rPr>
                <w:sz w:val="24"/>
              </w:rPr>
              <w:t>P——</w:t>
            </w:r>
            <w:r>
              <w:rPr>
                <w:rFonts w:ascii="宋体" w:hAnsi="宋体"/>
                <w:sz w:val="24"/>
              </w:rPr>
              <w:t>路面状况，以每平方米路面灰尘覆盖率表示，</w:t>
            </w:r>
            <w:r>
              <w:rPr>
                <w:sz w:val="24"/>
              </w:rPr>
              <w:t>Kg/m</w:t>
            </w:r>
            <w:r>
              <w:rPr>
                <w:sz w:val="24"/>
                <w:vertAlign w:val="superscript"/>
              </w:rPr>
              <w:t>2</w:t>
            </w:r>
            <w:r>
              <w:rPr>
                <w:sz w:val="24"/>
              </w:rPr>
              <w:t>；</w:t>
            </w:r>
          </w:p>
          <w:p>
            <w:pPr>
              <w:adjustRightInd w:val="0"/>
              <w:snapToGrid w:val="0"/>
              <w:spacing w:line="360" w:lineRule="auto"/>
              <w:ind w:firstLine="1200" w:firstLineChars="500"/>
              <w:rPr>
                <w:sz w:val="24"/>
              </w:rPr>
            </w:pPr>
            <w:r>
              <w:rPr>
                <w:sz w:val="24"/>
              </w:rPr>
              <w:t>M——</w:t>
            </w:r>
            <w:r>
              <w:rPr>
                <w:rFonts w:ascii="宋体" w:hAnsi="宋体"/>
                <w:sz w:val="24"/>
              </w:rPr>
              <w:t>车辆载重，</w:t>
            </w:r>
            <w:r>
              <w:rPr>
                <w:sz w:val="24"/>
              </w:rPr>
              <w:t>t/</w:t>
            </w:r>
            <w:r>
              <w:rPr>
                <w:rFonts w:ascii="宋体" w:hAnsi="宋体"/>
                <w:sz w:val="24"/>
              </w:rPr>
              <w:t>辆；</w:t>
            </w:r>
          </w:p>
          <w:p>
            <w:pPr>
              <w:adjustRightInd w:val="0"/>
              <w:snapToGrid w:val="0"/>
              <w:spacing w:line="360" w:lineRule="auto"/>
              <w:ind w:firstLine="1200" w:firstLineChars="500"/>
              <w:rPr>
                <w:sz w:val="24"/>
              </w:rPr>
            </w:pPr>
            <w:r>
              <w:rPr>
                <w:sz w:val="24"/>
              </w:rPr>
              <w:t>L——</w:t>
            </w:r>
            <w:r>
              <w:rPr>
                <w:rFonts w:ascii="宋体" w:hAnsi="宋体"/>
                <w:sz w:val="24"/>
              </w:rPr>
              <w:t>运输距离，</w:t>
            </w:r>
            <w:r>
              <w:rPr>
                <w:sz w:val="24"/>
              </w:rPr>
              <w:t>Km</w:t>
            </w:r>
            <w:r>
              <w:rPr>
                <w:rFonts w:ascii="宋体" w:hAnsi="宋体"/>
                <w:sz w:val="24"/>
              </w:rPr>
              <w:t>；</w:t>
            </w:r>
          </w:p>
          <w:p>
            <w:pPr>
              <w:adjustRightInd w:val="0"/>
              <w:snapToGrid w:val="0"/>
              <w:spacing w:line="360" w:lineRule="auto"/>
              <w:ind w:firstLine="1200" w:firstLineChars="500"/>
              <w:rPr>
                <w:sz w:val="24"/>
              </w:rPr>
            </w:pPr>
            <w:r>
              <w:rPr>
                <w:sz w:val="24"/>
              </w:rPr>
              <w:t>Q——</w:t>
            </w:r>
            <w:r>
              <w:rPr>
                <w:rFonts w:ascii="宋体" w:hAnsi="宋体"/>
                <w:sz w:val="24"/>
              </w:rPr>
              <w:t>运输量，</w:t>
            </w:r>
            <w:r>
              <w:rPr>
                <w:sz w:val="24"/>
              </w:rPr>
              <w:t>t/a</w:t>
            </w:r>
          </w:p>
          <w:p>
            <w:pPr>
              <w:adjustRightInd w:val="0"/>
              <w:snapToGrid w:val="0"/>
              <w:spacing w:line="360" w:lineRule="auto"/>
              <w:ind w:firstLine="480" w:firstLineChars="200"/>
              <w:rPr>
                <w:sz w:val="24"/>
              </w:rPr>
            </w:pPr>
            <w:r>
              <w:rPr>
                <w:sz w:val="24"/>
              </w:rPr>
              <w:t>本项目车辆在厂区行驶距离按</w:t>
            </w:r>
            <w:r>
              <w:rPr>
                <w:rFonts w:hint="eastAsia"/>
                <w:sz w:val="24"/>
              </w:rPr>
              <w:t>3</w:t>
            </w:r>
            <w:r>
              <w:rPr>
                <w:sz w:val="24"/>
              </w:rPr>
              <w:t>00m</w:t>
            </w:r>
            <w:r>
              <w:rPr>
                <w:rFonts w:ascii="宋体" w:hAnsi="宋体"/>
                <w:sz w:val="24"/>
              </w:rPr>
              <w:t>计</w:t>
            </w:r>
            <w:r>
              <w:rPr>
                <w:sz w:val="24"/>
              </w:rPr>
              <w:t>，每天发车空、重载各</w:t>
            </w:r>
            <w:r>
              <w:rPr>
                <w:rFonts w:hint="eastAsia"/>
                <w:sz w:val="24"/>
              </w:rPr>
              <w:t>30</w:t>
            </w:r>
            <w:r>
              <w:rPr>
                <w:sz w:val="24"/>
              </w:rPr>
              <w:t>辆，空车重约10t</w:t>
            </w:r>
            <w:r>
              <w:rPr>
                <w:rFonts w:ascii="宋体" w:hAnsi="宋体"/>
                <w:sz w:val="24"/>
              </w:rPr>
              <w:t>，重载车约</w:t>
            </w:r>
            <w:r>
              <w:rPr>
                <w:rFonts w:hint="eastAsia"/>
                <w:sz w:val="24"/>
              </w:rPr>
              <w:t>30</w:t>
            </w:r>
            <w:r>
              <w:rPr>
                <w:sz w:val="24"/>
              </w:rPr>
              <w:t>t</w:t>
            </w:r>
            <w:r>
              <w:rPr>
                <w:rFonts w:ascii="宋体" w:hAnsi="宋体"/>
                <w:sz w:val="24"/>
              </w:rPr>
              <w:t>。以速度</w:t>
            </w:r>
            <w:r>
              <w:rPr>
                <w:rFonts w:hint="eastAsia"/>
                <w:sz w:val="24"/>
              </w:rPr>
              <w:t>15</w:t>
            </w:r>
            <w:r>
              <w:rPr>
                <w:sz w:val="24"/>
              </w:rPr>
              <w:t>km/h</w:t>
            </w:r>
            <w:r>
              <w:rPr>
                <w:rFonts w:ascii="宋体" w:hAnsi="宋体"/>
                <w:sz w:val="24"/>
              </w:rPr>
              <w:t>行驶，在不同路面清洁度情况下的扬尘量如下：</w:t>
            </w:r>
          </w:p>
          <w:p>
            <w:pPr>
              <w:adjustRightInd w:val="0"/>
              <w:jc w:val="center"/>
              <w:rPr>
                <w:b/>
                <w:bCs/>
                <w:szCs w:val="22"/>
              </w:rPr>
            </w:pPr>
            <w:r>
              <w:rPr>
                <w:b/>
                <w:bCs/>
                <w:szCs w:val="22"/>
              </w:rPr>
              <w:t>表</w:t>
            </w:r>
            <w:r>
              <w:rPr>
                <w:rFonts w:hint="eastAsia"/>
                <w:b/>
                <w:bCs/>
                <w:szCs w:val="22"/>
              </w:rPr>
              <w:t>17</w:t>
            </w:r>
            <w:r>
              <w:rPr>
                <w:b/>
                <w:bCs/>
                <w:szCs w:val="22"/>
              </w:rPr>
              <w:t xml:space="preserve">  不同车速和路面洁净程度下的扬尘量    单位：kg/km·辆</w:t>
            </w:r>
          </w:p>
          <w:tbl>
            <w:tblPr>
              <w:tblStyle w:val="20"/>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506"/>
              <w:gridCol w:w="1506"/>
              <w:gridCol w:w="1506"/>
              <w:gridCol w:w="1507"/>
              <w:gridCol w:w="1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 w:type="pct"/>
                  <w:tcBorders>
                    <w:tl2br w:val="nil"/>
                    <w:tr2bl w:val="nil"/>
                  </w:tcBorders>
                  <w:vAlign w:val="center"/>
                </w:tcPr>
                <w:p>
                  <w:pPr>
                    <w:pStyle w:val="60"/>
                    <w:snapToGrid w:val="0"/>
                    <w:jc w:val="center"/>
                    <w:rPr>
                      <w:color w:val="auto"/>
                      <w:sz w:val="21"/>
                      <w:szCs w:val="21"/>
                    </w:rPr>
                  </w:pPr>
                </w:p>
                <w:p>
                  <w:pPr>
                    <w:pStyle w:val="60"/>
                    <w:snapToGrid w:val="0"/>
                    <w:jc w:val="center"/>
                    <w:rPr>
                      <w:color w:val="auto"/>
                      <w:sz w:val="21"/>
                      <w:szCs w:val="21"/>
                    </w:rPr>
                  </w:pPr>
                  <w:r>
                    <w:rPr>
                      <w:color w:val="auto"/>
                      <w:sz w:val="21"/>
                      <w:szCs w:val="21"/>
                    </w:rPr>
                    <w:t>V</w:t>
                  </w:r>
                </w:p>
                <w:p>
                  <w:pPr>
                    <w:pStyle w:val="60"/>
                    <w:jc w:val="center"/>
                    <w:rPr>
                      <w:color w:val="auto"/>
                      <w:sz w:val="21"/>
                      <w:szCs w:val="21"/>
                    </w:rPr>
                  </w:pPr>
                  <w:r>
                    <w:rPr>
                      <w:color w:val="auto"/>
                      <w:sz w:val="21"/>
                      <w:szCs w:val="21"/>
                    </w:rPr>
                    <w:t>P</w:t>
                  </w:r>
                </w:p>
              </w:tc>
              <w:tc>
                <w:tcPr>
                  <w:tcW w:w="833" w:type="pct"/>
                  <w:tcBorders>
                    <w:tl2br w:val="nil"/>
                    <w:tr2bl w:val="nil"/>
                  </w:tcBorders>
                  <w:vAlign w:val="center"/>
                </w:tcPr>
                <w:p>
                  <w:pPr>
                    <w:pStyle w:val="60"/>
                    <w:jc w:val="center"/>
                    <w:rPr>
                      <w:color w:val="auto"/>
                      <w:sz w:val="21"/>
                      <w:szCs w:val="21"/>
                    </w:rPr>
                  </w:pPr>
                  <w:r>
                    <w:rPr>
                      <w:color w:val="auto"/>
                      <w:sz w:val="21"/>
                      <w:szCs w:val="21"/>
                    </w:rPr>
                    <w:t>0.1</w:t>
                  </w:r>
                  <w:r>
                    <w:rPr>
                      <w:color w:val="auto"/>
                      <w:spacing w:val="4"/>
                      <w:sz w:val="21"/>
                      <w:szCs w:val="21"/>
                    </w:rPr>
                    <w:t>kg/m</w:t>
                  </w:r>
                  <w:r>
                    <w:rPr>
                      <w:color w:val="auto"/>
                      <w:spacing w:val="4"/>
                      <w:sz w:val="21"/>
                      <w:szCs w:val="21"/>
                      <w:vertAlign w:val="superscript"/>
                    </w:rPr>
                    <w:t>2</w:t>
                  </w:r>
                </w:p>
              </w:tc>
              <w:tc>
                <w:tcPr>
                  <w:tcW w:w="833" w:type="pct"/>
                  <w:tcBorders>
                    <w:tl2br w:val="nil"/>
                    <w:tr2bl w:val="nil"/>
                  </w:tcBorders>
                  <w:vAlign w:val="center"/>
                </w:tcPr>
                <w:p>
                  <w:pPr>
                    <w:pStyle w:val="60"/>
                    <w:jc w:val="center"/>
                    <w:rPr>
                      <w:color w:val="auto"/>
                      <w:sz w:val="21"/>
                      <w:szCs w:val="21"/>
                    </w:rPr>
                  </w:pPr>
                  <w:r>
                    <w:rPr>
                      <w:color w:val="auto"/>
                      <w:sz w:val="21"/>
                      <w:szCs w:val="21"/>
                    </w:rPr>
                    <w:t>0.2</w:t>
                  </w:r>
                  <w:r>
                    <w:rPr>
                      <w:color w:val="auto"/>
                      <w:spacing w:val="4"/>
                      <w:sz w:val="21"/>
                      <w:szCs w:val="21"/>
                    </w:rPr>
                    <w:t>kg/m</w:t>
                  </w:r>
                  <w:r>
                    <w:rPr>
                      <w:color w:val="auto"/>
                      <w:spacing w:val="4"/>
                      <w:sz w:val="21"/>
                      <w:szCs w:val="21"/>
                      <w:vertAlign w:val="superscript"/>
                    </w:rPr>
                    <w:t>2</w:t>
                  </w:r>
                </w:p>
              </w:tc>
              <w:tc>
                <w:tcPr>
                  <w:tcW w:w="833" w:type="pct"/>
                  <w:tcBorders>
                    <w:tl2br w:val="nil"/>
                    <w:tr2bl w:val="nil"/>
                  </w:tcBorders>
                  <w:vAlign w:val="center"/>
                </w:tcPr>
                <w:p>
                  <w:pPr>
                    <w:pStyle w:val="60"/>
                    <w:jc w:val="center"/>
                    <w:rPr>
                      <w:color w:val="auto"/>
                      <w:sz w:val="21"/>
                      <w:szCs w:val="21"/>
                    </w:rPr>
                  </w:pPr>
                  <w:r>
                    <w:rPr>
                      <w:color w:val="auto"/>
                      <w:sz w:val="21"/>
                      <w:szCs w:val="21"/>
                    </w:rPr>
                    <w:t>0.3</w:t>
                  </w:r>
                  <w:r>
                    <w:rPr>
                      <w:color w:val="auto"/>
                      <w:spacing w:val="4"/>
                      <w:sz w:val="21"/>
                      <w:szCs w:val="21"/>
                    </w:rPr>
                    <w:t>kg/m</w:t>
                  </w:r>
                  <w:r>
                    <w:rPr>
                      <w:color w:val="auto"/>
                      <w:spacing w:val="4"/>
                      <w:sz w:val="21"/>
                      <w:szCs w:val="21"/>
                      <w:vertAlign w:val="superscript"/>
                    </w:rPr>
                    <w:t>2</w:t>
                  </w:r>
                </w:p>
              </w:tc>
              <w:tc>
                <w:tcPr>
                  <w:tcW w:w="833" w:type="pct"/>
                  <w:tcBorders>
                    <w:tl2br w:val="nil"/>
                    <w:tr2bl w:val="nil"/>
                  </w:tcBorders>
                  <w:vAlign w:val="center"/>
                </w:tcPr>
                <w:p>
                  <w:pPr>
                    <w:pStyle w:val="60"/>
                    <w:jc w:val="center"/>
                    <w:rPr>
                      <w:color w:val="auto"/>
                      <w:sz w:val="21"/>
                      <w:szCs w:val="21"/>
                    </w:rPr>
                  </w:pPr>
                  <w:r>
                    <w:rPr>
                      <w:color w:val="auto"/>
                      <w:sz w:val="21"/>
                      <w:szCs w:val="21"/>
                    </w:rPr>
                    <w:t>0.4</w:t>
                  </w:r>
                  <w:r>
                    <w:rPr>
                      <w:color w:val="auto"/>
                      <w:spacing w:val="4"/>
                      <w:sz w:val="21"/>
                      <w:szCs w:val="21"/>
                    </w:rPr>
                    <w:t>kg/m</w:t>
                  </w:r>
                  <w:r>
                    <w:rPr>
                      <w:color w:val="auto"/>
                      <w:spacing w:val="4"/>
                      <w:sz w:val="21"/>
                      <w:szCs w:val="21"/>
                      <w:vertAlign w:val="superscript"/>
                    </w:rPr>
                    <w:t>2</w:t>
                  </w:r>
                </w:p>
              </w:tc>
              <w:tc>
                <w:tcPr>
                  <w:tcW w:w="833" w:type="pct"/>
                  <w:tcBorders>
                    <w:tl2br w:val="nil"/>
                    <w:tr2bl w:val="nil"/>
                  </w:tcBorders>
                  <w:vAlign w:val="center"/>
                </w:tcPr>
                <w:p>
                  <w:pPr>
                    <w:pStyle w:val="60"/>
                    <w:jc w:val="center"/>
                    <w:rPr>
                      <w:color w:val="auto"/>
                      <w:sz w:val="21"/>
                      <w:szCs w:val="21"/>
                    </w:rPr>
                  </w:pPr>
                  <w:r>
                    <w:rPr>
                      <w:color w:val="auto"/>
                      <w:sz w:val="21"/>
                      <w:szCs w:val="21"/>
                    </w:rPr>
                    <w:t>0.5</w:t>
                  </w:r>
                  <w:r>
                    <w:rPr>
                      <w:color w:val="auto"/>
                      <w:spacing w:val="4"/>
                      <w:sz w:val="21"/>
                      <w:szCs w:val="21"/>
                    </w:rPr>
                    <w:t>kg/m</w:t>
                  </w:r>
                  <w:r>
                    <w:rPr>
                      <w:color w:val="auto"/>
                      <w:spacing w:val="4"/>
                      <w:sz w:val="21"/>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33" w:type="pct"/>
                  <w:tcBorders>
                    <w:tl2br w:val="nil"/>
                    <w:tr2bl w:val="nil"/>
                  </w:tcBorders>
                  <w:vAlign w:val="center"/>
                </w:tcPr>
                <w:p>
                  <w:pPr>
                    <w:pStyle w:val="60"/>
                    <w:jc w:val="center"/>
                    <w:rPr>
                      <w:color w:val="auto"/>
                      <w:sz w:val="21"/>
                      <w:szCs w:val="21"/>
                    </w:rPr>
                  </w:pPr>
                  <w:r>
                    <w:rPr>
                      <w:color w:val="auto"/>
                      <w:sz w:val="21"/>
                      <w:szCs w:val="21"/>
                    </w:rPr>
                    <w:t>5</w:t>
                  </w:r>
                  <w:r>
                    <w:rPr>
                      <w:color w:val="auto"/>
                      <w:spacing w:val="4"/>
                      <w:sz w:val="21"/>
                      <w:szCs w:val="21"/>
                    </w:rPr>
                    <w:t>km/h</w:t>
                  </w:r>
                </w:p>
              </w:tc>
              <w:tc>
                <w:tcPr>
                  <w:tcW w:w="833" w:type="pct"/>
                  <w:tcBorders>
                    <w:tl2br w:val="nil"/>
                    <w:tr2bl w:val="nil"/>
                  </w:tcBorders>
                  <w:vAlign w:val="center"/>
                </w:tcPr>
                <w:p>
                  <w:pPr>
                    <w:pStyle w:val="60"/>
                    <w:jc w:val="center"/>
                    <w:rPr>
                      <w:color w:val="auto"/>
                      <w:sz w:val="21"/>
                      <w:szCs w:val="21"/>
                    </w:rPr>
                  </w:pPr>
                  <w:r>
                    <w:rPr>
                      <w:color w:val="auto"/>
                      <w:sz w:val="21"/>
                      <w:szCs w:val="21"/>
                    </w:rPr>
                    <w:t>0.042</w:t>
                  </w:r>
                </w:p>
              </w:tc>
              <w:tc>
                <w:tcPr>
                  <w:tcW w:w="833" w:type="pct"/>
                  <w:tcBorders>
                    <w:tl2br w:val="nil"/>
                    <w:tr2bl w:val="nil"/>
                  </w:tcBorders>
                  <w:vAlign w:val="center"/>
                </w:tcPr>
                <w:p>
                  <w:pPr>
                    <w:pStyle w:val="60"/>
                    <w:jc w:val="center"/>
                    <w:rPr>
                      <w:color w:val="auto"/>
                      <w:sz w:val="21"/>
                      <w:szCs w:val="21"/>
                    </w:rPr>
                  </w:pPr>
                  <w:r>
                    <w:rPr>
                      <w:color w:val="auto"/>
                      <w:sz w:val="21"/>
                      <w:szCs w:val="21"/>
                    </w:rPr>
                    <w:t>0.071</w:t>
                  </w:r>
                </w:p>
              </w:tc>
              <w:tc>
                <w:tcPr>
                  <w:tcW w:w="833" w:type="pct"/>
                  <w:tcBorders>
                    <w:tl2br w:val="nil"/>
                    <w:tr2bl w:val="nil"/>
                  </w:tcBorders>
                  <w:vAlign w:val="center"/>
                </w:tcPr>
                <w:p>
                  <w:pPr>
                    <w:pStyle w:val="60"/>
                    <w:jc w:val="center"/>
                    <w:rPr>
                      <w:color w:val="auto"/>
                      <w:sz w:val="21"/>
                      <w:szCs w:val="21"/>
                    </w:rPr>
                  </w:pPr>
                  <w:r>
                    <w:rPr>
                      <w:color w:val="auto"/>
                      <w:sz w:val="21"/>
                      <w:szCs w:val="21"/>
                    </w:rPr>
                    <w:t>0.096</w:t>
                  </w:r>
                </w:p>
              </w:tc>
              <w:tc>
                <w:tcPr>
                  <w:tcW w:w="833" w:type="pct"/>
                  <w:tcBorders>
                    <w:tl2br w:val="nil"/>
                    <w:tr2bl w:val="nil"/>
                  </w:tcBorders>
                  <w:vAlign w:val="center"/>
                </w:tcPr>
                <w:p>
                  <w:pPr>
                    <w:pStyle w:val="60"/>
                    <w:jc w:val="center"/>
                    <w:rPr>
                      <w:color w:val="auto"/>
                      <w:sz w:val="21"/>
                      <w:szCs w:val="21"/>
                    </w:rPr>
                  </w:pPr>
                  <w:r>
                    <w:rPr>
                      <w:color w:val="auto"/>
                      <w:sz w:val="21"/>
                      <w:szCs w:val="21"/>
                    </w:rPr>
                    <w:t>0.119</w:t>
                  </w:r>
                </w:p>
              </w:tc>
              <w:tc>
                <w:tcPr>
                  <w:tcW w:w="833" w:type="pct"/>
                  <w:tcBorders>
                    <w:tl2br w:val="nil"/>
                    <w:tr2bl w:val="nil"/>
                  </w:tcBorders>
                  <w:vAlign w:val="center"/>
                </w:tcPr>
                <w:p>
                  <w:pPr>
                    <w:pStyle w:val="60"/>
                    <w:jc w:val="center"/>
                    <w:rPr>
                      <w:color w:val="auto"/>
                      <w:sz w:val="21"/>
                      <w:szCs w:val="21"/>
                    </w:rPr>
                  </w:pPr>
                  <w:r>
                    <w:rPr>
                      <w:color w:val="auto"/>
                      <w:sz w:val="21"/>
                      <w:szCs w:val="21"/>
                    </w:rPr>
                    <w:t>0.141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33" w:type="pct"/>
                  <w:tcBorders>
                    <w:tl2br w:val="nil"/>
                    <w:tr2bl w:val="nil"/>
                  </w:tcBorders>
                  <w:vAlign w:val="center"/>
                </w:tcPr>
                <w:p>
                  <w:pPr>
                    <w:pStyle w:val="60"/>
                    <w:jc w:val="center"/>
                    <w:rPr>
                      <w:color w:val="auto"/>
                      <w:sz w:val="21"/>
                      <w:szCs w:val="21"/>
                    </w:rPr>
                  </w:pPr>
                  <w:r>
                    <w:rPr>
                      <w:color w:val="auto"/>
                      <w:sz w:val="21"/>
                      <w:szCs w:val="21"/>
                    </w:rPr>
                    <w:t>10</w:t>
                  </w:r>
                  <w:r>
                    <w:rPr>
                      <w:color w:val="auto"/>
                      <w:spacing w:val="4"/>
                      <w:sz w:val="21"/>
                      <w:szCs w:val="21"/>
                    </w:rPr>
                    <w:t>km/h</w:t>
                  </w:r>
                </w:p>
              </w:tc>
              <w:tc>
                <w:tcPr>
                  <w:tcW w:w="833" w:type="pct"/>
                  <w:tcBorders>
                    <w:tl2br w:val="nil"/>
                    <w:tr2bl w:val="nil"/>
                  </w:tcBorders>
                  <w:vAlign w:val="center"/>
                </w:tcPr>
                <w:p>
                  <w:pPr>
                    <w:pStyle w:val="60"/>
                    <w:jc w:val="center"/>
                    <w:rPr>
                      <w:color w:val="auto"/>
                      <w:sz w:val="21"/>
                      <w:szCs w:val="21"/>
                    </w:rPr>
                  </w:pPr>
                  <w:r>
                    <w:rPr>
                      <w:color w:val="auto"/>
                      <w:sz w:val="21"/>
                      <w:szCs w:val="21"/>
                    </w:rPr>
                    <w:t>0.084</w:t>
                  </w:r>
                </w:p>
              </w:tc>
              <w:tc>
                <w:tcPr>
                  <w:tcW w:w="833" w:type="pct"/>
                  <w:tcBorders>
                    <w:tl2br w:val="nil"/>
                    <w:tr2bl w:val="nil"/>
                  </w:tcBorders>
                  <w:vAlign w:val="center"/>
                </w:tcPr>
                <w:p>
                  <w:pPr>
                    <w:pStyle w:val="60"/>
                    <w:jc w:val="center"/>
                    <w:rPr>
                      <w:color w:val="auto"/>
                      <w:sz w:val="21"/>
                      <w:szCs w:val="21"/>
                    </w:rPr>
                  </w:pPr>
                  <w:r>
                    <w:rPr>
                      <w:color w:val="auto"/>
                      <w:sz w:val="21"/>
                      <w:szCs w:val="21"/>
                    </w:rPr>
                    <w:t>0.142</w:t>
                  </w:r>
                </w:p>
              </w:tc>
              <w:tc>
                <w:tcPr>
                  <w:tcW w:w="833" w:type="pct"/>
                  <w:tcBorders>
                    <w:tl2br w:val="nil"/>
                    <w:tr2bl w:val="nil"/>
                  </w:tcBorders>
                  <w:vAlign w:val="center"/>
                </w:tcPr>
                <w:p>
                  <w:pPr>
                    <w:pStyle w:val="60"/>
                    <w:jc w:val="center"/>
                    <w:rPr>
                      <w:color w:val="auto"/>
                      <w:sz w:val="21"/>
                      <w:szCs w:val="21"/>
                    </w:rPr>
                  </w:pPr>
                  <w:r>
                    <w:rPr>
                      <w:color w:val="auto"/>
                      <w:sz w:val="21"/>
                      <w:szCs w:val="21"/>
                    </w:rPr>
                    <w:t>0.192</w:t>
                  </w:r>
                </w:p>
              </w:tc>
              <w:tc>
                <w:tcPr>
                  <w:tcW w:w="833" w:type="pct"/>
                  <w:tcBorders>
                    <w:tl2br w:val="nil"/>
                    <w:tr2bl w:val="nil"/>
                  </w:tcBorders>
                  <w:vAlign w:val="center"/>
                </w:tcPr>
                <w:p>
                  <w:pPr>
                    <w:pStyle w:val="60"/>
                    <w:jc w:val="center"/>
                    <w:rPr>
                      <w:color w:val="auto"/>
                      <w:sz w:val="21"/>
                      <w:szCs w:val="21"/>
                    </w:rPr>
                  </w:pPr>
                  <w:r>
                    <w:rPr>
                      <w:color w:val="auto"/>
                      <w:sz w:val="21"/>
                      <w:szCs w:val="21"/>
                    </w:rPr>
                    <w:t>0.238</w:t>
                  </w:r>
                </w:p>
              </w:tc>
              <w:tc>
                <w:tcPr>
                  <w:tcW w:w="833" w:type="pct"/>
                  <w:tcBorders>
                    <w:tl2br w:val="nil"/>
                    <w:tr2bl w:val="nil"/>
                  </w:tcBorders>
                  <w:vAlign w:val="center"/>
                </w:tcPr>
                <w:p>
                  <w:pPr>
                    <w:pStyle w:val="60"/>
                    <w:jc w:val="center"/>
                    <w:rPr>
                      <w:color w:val="auto"/>
                      <w:sz w:val="21"/>
                      <w:szCs w:val="21"/>
                    </w:rPr>
                  </w:pPr>
                  <w:r>
                    <w:rPr>
                      <w:color w:val="auto"/>
                      <w:sz w:val="21"/>
                      <w:szCs w:val="21"/>
                    </w:rPr>
                    <w:t>0.282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33" w:type="pct"/>
                  <w:tcBorders>
                    <w:tl2br w:val="nil"/>
                    <w:tr2bl w:val="nil"/>
                  </w:tcBorders>
                  <w:vAlign w:val="center"/>
                </w:tcPr>
                <w:p>
                  <w:pPr>
                    <w:pStyle w:val="60"/>
                    <w:jc w:val="center"/>
                    <w:rPr>
                      <w:color w:val="auto"/>
                      <w:sz w:val="21"/>
                      <w:szCs w:val="21"/>
                    </w:rPr>
                  </w:pPr>
                  <w:r>
                    <w:rPr>
                      <w:color w:val="auto"/>
                      <w:sz w:val="21"/>
                      <w:szCs w:val="21"/>
                    </w:rPr>
                    <w:t>15</w:t>
                  </w:r>
                  <w:r>
                    <w:rPr>
                      <w:color w:val="auto"/>
                      <w:spacing w:val="4"/>
                      <w:sz w:val="21"/>
                      <w:szCs w:val="21"/>
                    </w:rPr>
                    <w:t>km/h</w:t>
                  </w:r>
                </w:p>
              </w:tc>
              <w:tc>
                <w:tcPr>
                  <w:tcW w:w="833" w:type="pct"/>
                  <w:tcBorders>
                    <w:tl2br w:val="nil"/>
                    <w:tr2bl w:val="nil"/>
                  </w:tcBorders>
                  <w:vAlign w:val="center"/>
                </w:tcPr>
                <w:p>
                  <w:pPr>
                    <w:pStyle w:val="60"/>
                    <w:jc w:val="center"/>
                    <w:rPr>
                      <w:color w:val="auto"/>
                      <w:sz w:val="21"/>
                      <w:szCs w:val="21"/>
                    </w:rPr>
                  </w:pPr>
                  <w:r>
                    <w:rPr>
                      <w:color w:val="auto"/>
                      <w:sz w:val="21"/>
                      <w:szCs w:val="21"/>
                    </w:rPr>
                    <w:t>0.126</w:t>
                  </w:r>
                </w:p>
              </w:tc>
              <w:tc>
                <w:tcPr>
                  <w:tcW w:w="833" w:type="pct"/>
                  <w:tcBorders>
                    <w:tl2br w:val="nil"/>
                    <w:tr2bl w:val="nil"/>
                  </w:tcBorders>
                  <w:vAlign w:val="center"/>
                </w:tcPr>
                <w:p>
                  <w:pPr>
                    <w:pStyle w:val="60"/>
                    <w:jc w:val="center"/>
                    <w:rPr>
                      <w:color w:val="auto"/>
                      <w:sz w:val="21"/>
                      <w:szCs w:val="21"/>
                    </w:rPr>
                  </w:pPr>
                  <w:r>
                    <w:rPr>
                      <w:color w:val="auto"/>
                      <w:sz w:val="21"/>
                      <w:szCs w:val="21"/>
                    </w:rPr>
                    <w:t>0.213</w:t>
                  </w:r>
                </w:p>
              </w:tc>
              <w:tc>
                <w:tcPr>
                  <w:tcW w:w="833" w:type="pct"/>
                  <w:tcBorders>
                    <w:tl2br w:val="nil"/>
                    <w:tr2bl w:val="nil"/>
                  </w:tcBorders>
                  <w:vAlign w:val="center"/>
                </w:tcPr>
                <w:p>
                  <w:pPr>
                    <w:pStyle w:val="60"/>
                    <w:jc w:val="center"/>
                    <w:rPr>
                      <w:color w:val="auto"/>
                      <w:sz w:val="21"/>
                      <w:szCs w:val="21"/>
                    </w:rPr>
                  </w:pPr>
                  <w:r>
                    <w:rPr>
                      <w:color w:val="auto"/>
                      <w:sz w:val="21"/>
                      <w:szCs w:val="21"/>
                    </w:rPr>
                    <w:t>0.288</w:t>
                  </w:r>
                </w:p>
              </w:tc>
              <w:tc>
                <w:tcPr>
                  <w:tcW w:w="833" w:type="pct"/>
                  <w:tcBorders>
                    <w:tl2br w:val="nil"/>
                    <w:tr2bl w:val="nil"/>
                  </w:tcBorders>
                  <w:vAlign w:val="center"/>
                </w:tcPr>
                <w:p>
                  <w:pPr>
                    <w:pStyle w:val="60"/>
                    <w:jc w:val="center"/>
                    <w:rPr>
                      <w:color w:val="auto"/>
                      <w:sz w:val="21"/>
                      <w:szCs w:val="21"/>
                    </w:rPr>
                  </w:pPr>
                  <w:r>
                    <w:rPr>
                      <w:color w:val="auto"/>
                      <w:sz w:val="21"/>
                      <w:szCs w:val="21"/>
                    </w:rPr>
                    <w:t>0.357</w:t>
                  </w:r>
                </w:p>
              </w:tc>
              <w:tc>
                <w:tcPr>
                  <w:tcW w:w="833" w:type="pct"/>
                  <w:tcBorders>
                    <w:tl2br w:val="nil"/>
                    <w:tr2bl w:val="nil"/>
                  </w:tcBorders>
                  <w:vAlign w:val="center"/>
                </w:tcPr>
                <w:p>
                  <w:pPr>
                    <w:pStyle w:val="60"/>
                    <w:jc w:val="center"/>
                    <w:rPr>
                      <w:color w:val="auto"/>
                      <w:sz w:val="21"/>
                      <w:szCs w:val="21"/>
                    </w:rPr>
                  </w:pPr>
                  <w:r>
                    <w:rPr>
                      <w:color w:val="auto"/>
                      <w:sz w:val="21"/>
                      <w:szCs w:val="21"/>
                    </w:rPr>
                    <w:t>0.423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833" w:type="pct"/>
                  <w:tcBorders>
                    <w:tl2br w:val="nil"/>
                    <w:tr2bl w:val="nil"/>
                  </w:tcBorders>
                  <w:vAlign w:val="center"/>
                </w:tcPr>
                <w:p>
                  <w:pPr>
                    <w:pStyle w:val="60"/>
                    <w:jc w:val="center"/>
                    <w:rPr>
                      <w:color w:val="auto"/>
                      <w:sz w:val="21"/>
                      <w:szCs w:val="21"/>
                    </w:rPr>
                  </w:pPr>
                  <w:r>
                    <w:rPr>
                      <w:color w:val="auto"/>
                      <w:sz w:val="21"/>
                      <w:szCs w:val="21"/>
                    </w:rPr>
                    <w:t>20</w:t>
                  </w:r>
                  <w:r>
                    <w:rPr>
                      <w:color w:val="auto"/>
                      <w:spacing w:val="4"/>
                      <w:sz w:val="21"/>
                      <w:szCs w:val="21"/>
                    </w:rPr>
                    <w:t>km/h</w:t>
                  </w:r>
                </w:p>
              </w:tc>
              <w:tc>
                <w:tcPr>
                  <w:tcW w:w="833" w:type="pct"/>
                  <w:tcBorders>
                    <w:tl2br w:val="nil"/>
                    <w:tr2bl w:val="nil"/>
                  </w:tcBorders>
                  <w:vAlign w:val="center"/>
                </w:tcPr>
                <w:p>
                  <w:pPr>
                    <w:pStyle w:val="60"/>
                    <w:jc w:val="center"/>
                    <w:rPr>
                      <w:color w:val="auto"/>
                      <w:sz w:val="21"/>
                      <w:szCs w:val="21"/>
                    </w:rPr>
                  </w:pPr>
                  <w:r>
                    <w:rPr>
                      <w:color w:val="auto"/>
                      <w:sz w:val="21"/>
                      <w:szCs w:val="21"/>
                    </w:rPr>
                    <w:t>0.168</w:t>
                  </w:r>
                </w:p>
              </w:tc>
              <w:tc>
                <w:tcPr>
                  <w:tcW w:w="833" w:type="pct"/>
                  <w:tcBorders>
                    <w:tl2br w:val="nil"/>
                    <w:tr2bl w:val="nil"/>
                  </w:tcBorders>
                  <w:vAlign w:val="center"/>
                </w:tcPr>
                <w:p>
                  <w:pPr>
                    <w:pStyle w:val="60"/>
                    <w:jc w:val="center"/>
                    <w:rPr>
                      <w:color w:val="auto"/>
                      <w:sz w:val="21"/>
                      <w:szCs w:val="21"/>
                    </w:rPr>
                  </w:pPr>
                  <w:r>
                    <w:rPr>
                      <w:color w:val="auto"/>
                      <w:sz w:val="21"/>
                      <w:szCs w:val="21"/>
                    </w:rPr>
                    <w:t>0.284</w:t>
                  </w:r>
                </w:p>
              </w:tc>
              <w:tc>
                <w:tcPr>
                  <w:tcW w:w="833" w:type="pct"/>
                  <w:tcBorders>
                    <w:tl2br w:val="nil"/>
                    <w:tr2bl w:val="nil"/>
                  </w:tcBorders>
                  <w:vAlign w:val="center"/>
                </w:tcPr>
                <w:p>
                  <w:pPr>
                    <w:pStyle w:val="60"/>
                    <w:jc w:val="center"/>
                    <w:rPr>
                      <w:color w:val="auto"/>
                      <w:sz w:val="21"/>
                      <w:szCs w:val="21"/>
                    </w:rPr>
                  </w:pPr>
                  <w:r>
                    <w:rPr>
                      <w:color w:val="auto"/>
                      <w:sz w:val="21"/>
                      <w:szCs w:val="21"/>
                    </w:rPr>
                    <w:t>0.384</w:t>
                  </w:r>
                </w:p>
              </w:tc>
              <w:tc>
                <w:tcPr>
                  <w:tcW w:w="833" w:type="pct"/>
                  <w:tcBorders>
                    <w:tl2br w:val="nil"/>
                    <w:tr2bl w:val="nil"/>
                  </w:tcBorders>
                  <w:vAlign w:val="center"/>
                </w:tcPr>
                <w:p>
                  <w:pPr>
                    <w:pStyle w:val="60"/>
                    <w:jc w:val="center"/>
                    <w:rPr>
                      <w:color w:val="auto"/>
                      <w:sz w:val="21"/>
                      <w:szCs w:val="21"/>
                    </w:rPr>
                  </w:pPr>
                  <w:r>
                    <w:rPr>
                      <w:color w:val="auto"/>
                      <w:sz w:val="21"/>
                      <w:szCs w:val="21"/>
                    </w:rPr>
                    <w:t>0.476</w:t>
                  </w:r>
                </w:p>
              </w:tc>
              <w:tc>
                <w:tcPr>
                  <w:tcW w:w="833" w:type="pct"/>
                  <w:tcBorders>
                    <w:tl2br w:val="nil"/>
                    <w:tr2bl w:val="nil"/>
                  </w:tcBorders>
                  <w:vAlign w:val="center"/>
                </w:tcPr>
                <w:p>
                  <w:pPr>
                    <w:pStyle w:val="60"/>
                    <w:jc w:val="center"/>
                    <w:rPr>
                      <w:color w:val="auto"/>
                      <w:sz w:val="21"/>
                      <w:szCs w:val="21"/>
                    </w:rPr>
                  </w:pPr>
                  <w:r>
                    <w:rPr>
                      <w:color w:val="auto"/>
                      <w:sz w:val="21"/>
                      <w:szCs w:val="21"/>
                    </w:rPr>
                    <w:t>0.564</w:t>
                  </w:r>
                </w:p>
              </w:tc>
            </w:tr>
          </w:tbl>
          <w:p>
            <w:pPr>
              <w:spacing w:line="360" w:lineRule="auto"/>
              <w:ind w:firstLine="480" w:firstLineChars="200"/>
              <w:rPr>
                <w:sz w:val="24"/>
              </w:rPr>
            </w:pPr>
            <w:r>
              <w:rPr>
                <w:sz w:val="24"/>
                <w:szCs w:val="22"/>
              </w:rPr>
              <w:t>由上表计算结果可以看出，运输车辆时速为</w:t>
            </w:r>
            <w:r>
              <w:rPr>
                <w:rFonts w:hint="eastAsia"/>
                <w:sz w:val="24"/>
                <w:szCs w:val="22"/>
              </w:rPr>
              <w:t>20</w:t>
            </w:r>
            <w:r>
              <w:rPr>
                <w:sz w:val="24"/>
                <w:szCs w:val="22"/>
              </w:rPr>
              <w:t>km/h时，</w:t>
            </w:r>
            <w:r>
              <w:rPr>
                <w:rFonts w:hint="eastAsia"/>
                <w:sz w:val="24"/>
                <w:szCs w:val="22"/>
              </w:rPr>
              <w:t xml:space="preserve">通过1km </w:t>
            </w:r>
            <w:r>
              <w:rPr>
                <w:sz w:val="24"/>
                <w:szCs w:val="22"/>
              </w:rPr>
              <w:t>路面的扬尘量为0.1</w:t>
            </w:r>
            <w:r>
              <w:rPr>
                <w:rFonts w:hint="eastAsia"/>
                <w:sz w:val="24"/>
                <w:szCs w:val="22"/>
              </w:rPr>
              <w:t>68</w:t>
            </w:r>
            <w:r>
              <w:rPr>
                <w:sz w:val="24"/>
                <w:szCs w:val="22"/>
              </w:rPr>
              <w:t>~0.</w:t>
            </w:r>
            <w:r>
              <w:rPr>
                <w:rFonts w:hint="eastAsia"/>
                <w:sz w:val="24"/>
                <w:szCs w:val="22"/>
              </w:rPr>
              <w:t>564</w:t>
            </w:r>
            <w:r>
              <w:rPr>
                <w:sz w:val="24"/>
                <w:szCs w:val="22"/>
              </w:rPr>
              <w:t>kg。</w:t>
            </w:r>
            <w:r>
              <w:rPr>
                <w:sz w:val="24"/>
              </w:rPr>
              <w:t>厂区内地面进行硬化，及时清扫并定时洒水，以减少道路扬尘。通过采取</w:t>
            </w:r>
            <w:r>
              <w:rPr>
                <w:rFonts w:hint="eastAsia"/>
                <w:sz w:val="24"/>
              </w:rPr>
              <w:t>在生产车间设置洗车池、</w:t>
            </w:r>
            <w:r>
              <w:rPr>
                <w:sz w:val="24"/>
              </w:rPr>
              <w:t>道路硬化、</w:t>
            </w:r>
            <w:r>
              <w:rPr>
                <w:rFonts w:hint="eastAsia"/>
                <w:sz w:val="24"/>
              </w:rPr>
              <w:t>道路喷淋装置</w:t>
            </w:r>
            <w:r>
              <w:rPr>
                <w:sz w:val="24"/>
              </w:rPr>
              <w:t>等措施，粉尘产生量可降低60%</w:t>
            </w:r>
            <w:r>
              <w:rPr>
                <w:rFonts w:ascii="宋体" w:hAnsi="宋体"/>
                <w:sz w:val="24"/>
              </w:rPr>
              <w:t>，</w:t>
            </w:r>
            <w:r>
              <w:rPr>
                <w:sz w:val="24"/>
                <w:szCs w:val="22"/>
              </w:rPr>
              <w:t>道路表面粉尘量可控制在0.1kg/m</w:t>
            </w:r>
            <w:r>
              <w:rPr>
                <w:sz w:val="24"/>
                <w:szCs w:val="22"/>
                <w:vertAlign w:val="superscript"/>
              </w:rPr>
              <w:t>2</w:t>
            </w:r>
            <w:r>
              <w:rPr>
                <w:rFonts w:hint="eastAsia"/>
                <w:sz w:val="24"/>
                <w:szCs w:val="22"/>
              </w:rPr>
              <w:t>，</w:t>
            </w:r>
            <w:r>
              <w:rPr>
                <w:sz w:val="24"/>
                <w:szCs w:val="22"/>
              </w:rPr>
              <w:t>则一辆运输车辆通过1</w:t>
            </w:r>
            <w:r>
              <w:rPr>
                <w:rFonts w:hint="eastAsia"/>
                <w:sz w:val="24"/>
                <w:szCs w:val="22"/>
              </w:rPr>
              <w:t>000</w:t>
            </w:r>
            <w:r>
              <w:rPr>
                <w:sz w:val="24"/>
                <w:szCs w:val="22"/>
              </w:rPr>
              <w:t>m路面扬尘量为0.</w:t>
            </w:r>
            <w:r>
              <w:rPr>
                <w:rFonts w:hint="eastAsia"/>
                <w:sz w:val="24"/>
                <w:szCs w:val="22"/>
              </w:rPr>
              <w:t>168</w:t>
            </w:r>
            <w:r>
              <w:rPr>
                <w:sz w:val="24"/>
                <w:szCs w:val="22"/>
              </w:rPr>
              <w:t>kg，本项目运输道路长度约为</w:t>
            </w:r>
            <w:r>
              <w:rPr>
                <w:rFonts w:hint="eastAsia"/>
                <w:sz w:val="24"/>
                <w:szCs w:val="22"/>
              </w:rPr>
              <w:t>30</w:t>
            </w:r>
            <w:r>
              <w:rPr>
                <w:sz w:val="24"/>
                <w:szCs w:val="22"/>
              </w:rPr>
              <w:t>0m，则道路扬尘量为0.0</w:t>
            </w:r>
            <w:r>
              <w:rPr>
                <w:rFonts w:hint="eastAsia"/>
                <w:sz w:val="24"/>
                <w:szCs w:val="22"/>
              </w:rPr>
              <w:t>5</w:t>
            </w:r>
            <w:r>
              <w:rPr>
                <w:sz w:val="24"/>
                <w:szCs w:val="22"/>
              </w:rPr>
              <w:t>t/a。</w:t>
            </w:r>
          </w:p>
          <w:p>
            <w:pPr>
              <w:spacing w:line="348" w:lineRule="auto"/>
              <w:ind w:firstLine="360" w:firstLineChars="150"/>
              <w:rPr>
                <w:b/>
                <w:bCs/>
              </w:rPr>
            </w:pPr>
            <w:r>
              <w:rPr>
                <w:b/>
                <w:bCs/>
                <w:sz w:val="24"/>
              </w:rPr>
              <w:t>（二）废水</w:t>
            </w:r>
          </w:p>
          <w:p>
            <w:pPr>
              <w:spacing w:line="348" w:lineRule="auto"/>
              <w:ind w:firstLine="480" w:firstLineChars="200"/>
              <w:rPr>
                <w:sz w:val="24"/>
              </w:rPr>
            </w:pPr>
            <w:r>
              <w:rPr>
                <w:rFonts w:hint="eastAsia"/>
                <w:sz w:val="24"/>
              </w:rPr>
              <w:t>本项目运营期废水主要包括生活污水和洗车废水。生活污水产生量为</w:t>
            </w:r>
            <w:r>
              <w:rPr>
                <w:rFonts w:hint="eastAsia"/>
                <w:kern w:val="0"/>
                <w:sz w:val="24"/>
              </w:rPr>
              <w:t>43.2m</w:t>
            </w:r>
            <w:r>
              <w:rPr>
                <w:rFonts w:hint="eastAsia"/>
                <w:kern w:val="0"/>
                <w:sz w:val="24"/>
                <w:vertAlign w:val="superscript"/>
              </w:rPr>
              <w:t>3</w:t>
            </w:r>
            <w:r>
              <w:rPr>
                <w:rFonts w:hint="eastAsia"/>
                <w:kern w:val="0"/>
                <w:sz w:val="24"/>
              </w:rPr>
              <w:t>/a，</w:t>
            </w:r>
            <w:r>
              <w:rPr>
                <w:rFonts w:hint="eastAsia"/>
                <w:sz w:val="24"/>
              </w:rPr>
              <w:t>排入旱厕，定期清掏用于周围农田灌溉施肥。洗车废水年产生量为729m</w:t>
            </w:r>
            <w:r>
              <w:rPr>
                <w:rFonts w:hint="eastAsia"/>
                <w:sz w:val="24"/>
                <w:vertAlign w:val="superscript"/>
              </w:rPr>
              <w:t>3</w:t>
            </w:r>
            <w:r>
              <w:rPr>
                <w:rFonts w:hint="eastAsia"/>
                <w:sz w:val="24"/>
              </w:rPr>
              <w:t>，循环回用，不外排。</w:t>
            </w:r>
          </w:p>
          <w:p>
            <w:pPr>
              <w:ind w:firstLine="360" w:firstLineChars="150"/>
              <w:rPr>
                <w:b/>
                <w:bCs/>
              </w:rPr>
            </w:pPr>
            <w:r>
              <w:rPr>
                <w:b/>
                <w:bCs/>
                <w:sz w:val="24"/>
              </w:rPr>
              <w:t>（三）</w:t>
            </w:r>
            <w:r>
              <w:rPr>
                <w:b/>
                <w:spacing w:val="-2"/>
                <w:sz w:val="24"/>
              </w:rPr>
              <w:t>噪声</w:t>
            </w:r>
          </w:p>
          <w:p>
            <w:pPr>
              <w:spacing w:line="360" w:lineRule="auto"/>
              <w:ind w:firstLine="480" w:firstLineChars="200"/>
              <w:rPr>
                <w:sz w:val="24"/>
              </w:rPr>
            </w:pPr>
            <w:r>
              <w:rPr>
                <w:sz w:val="24"/>
              </w:rPr>
              <w:t>项目主要产噪装置为机械设备。机械设备均选用低噪声设备、设备入室、基础减振等减振降噪措施，降噪量约为15dB(A)</w:t>
            </w:r>
            <w:r>
              <w:rPr>
                <w:rFonts w:hint="eastAsia"/>
                <w:sz w:val="24"/>
              </w:rPr>
              <w:t>。</w:t>
            </w:r>
          </w:p>
          <w:p>
            <w:pPr>
              <w:spacing w:line="360" w:lineRule="auto"/>
              <w:ind w:firstLine="480" w:firstLineChars="200"/>
              <w:rPr>
                <w:sz w:val="24"/>
              </w:rPr>
            </w:pPr>
            <w:r>
              <w:rPr>
                <w:sz w:val="24"/>
              </w:rPr>
              <w:t>在采取措施以后，项目主要噪声源及排放情况见表</w:t>
            </w:r>
            <w:r>
              <w:rPr>
                <w:rFonts w:hint="eastAsia"/>
                <w:sz w:val="24"/>
              </w:rPr>
              <w:t>18</w:t>
            </w:r>
            <w:r>
              <w:rPr>
                <w:sz w:val="24"/>
              </w:rPr>
              <w:t>。</w:t>
            </w:r>
          </w:p>
          <w:p>
            <w:pPr>
              <w:snapToGrid w:val="0"/>
              <w:ind w:firstLine="422"/>
              <w:jc w:val="center"/>
              <w:rPr>
                <w:b/>
                <w:bCs/>
                <w:szCs w:val="21"/>
              </w:rPr>
            </w:pPr>
            <w:r>
              <w:rPr>
                <w:b/>
                <w:bCs/>
                <w:szCs w:val="21"/>
              </w:rPr>
              <w:t>表</w:t>
            </w:r>
            <w:r>
              <w:rPr>
                <w:rFonts w:hint="eastAsia"/>
                <w:b/>
                <w:bCs/>
                <w:szCs w:val="21"/>
              </w:rPr>
              <w:t>18</w:t>
            </w:r>
            <w:r>
              <w:rPr>
                <w:b/>
                <w:bCs/>
                <w:szCs w:val="21"/>
              </w:rPr>
              <w:t xml:space="preserve">  项目主要设备噪声及源强单位：dB(A)</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12"/>
              <w:gridCol w:w="673"/>
              <w:gridCol w:w="1305"/>
              <w:gridCol w:w="729"/>
              <w:gridCol w:w="1446"/>
              <w:gridCol w:w="2323"/>
              <w:gridCol w:w="1021"/>
              <w:gridCol w:w="8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94" w:type="pct"/>
                  <w:vAlign w:val="center"/>
                </w:tcPr>
                <w:p>
                  <w:pPr>
                    <w:snapToGrid w:val="0"/>
                    <w:jc w:val="center"/>
                    <w:rPr>
                      <w:bCs/>
                      <w:szCs w:val="21"/>
                    </w:rPr>
                  </w:pPr>
                  <w:r>
                    <w:rPr>
                      <w:bCs/>
                      <w:szCs w:val="21"/>
                    </w:rPr>
                    <w:t>序号</w:t>
                  </w:r>
                </w:p>
              </w:tc>
              <w:tc>
                <w:tcPr>
                  <w:tcW w:w="372" w:type="pct"/>
                  <w:vAlign w:val="center"/>
                </w:tcPr>
                <w:p>
                  <w:pPr>
                    <w:snapToGrid w:val="0"/>
                    <w:jc w:val="center"/>
                    <w:rPr>
                      <w:bCs/>
                      <w:szCs w:val="21"/>
                    </w:rPr>
                  </w:pPr>
                  <w:r>
                    <w:rPr>
                      <w:bCs/>
                      <w:szCs w:val="21"/>
                    </w:rPr>
                    <w:t>声源</w:t>
                  </w:r>
                </w:p>
                <w:p>
                  <w:pPr>
                    <w:snapToGrid w:val="0"/>
                    <w:jc w:val="center"/>
                    <w:rPr>
                      <w:bCs/>
                      <w:szCs w:val="21"/>
                    </w:rPr>
                  </w:pPr>
                  <w:r>
                    <w:rPr>
                      <w:bCs/>
                      <w:szCs w:val="21"/>
                    </w:rPr>
                    <w:t>位置</w:t>
                  </w:r>
                </w:p>
              </w:tc>
              <w:tc>
                <w:tcPr>
                  <w:tcW w:w="721" w:type="pct"/>
                  <w:vAlign w:val="center"/>
                </w:tcPr>
                <w:p>
                  <w:pPr>
                    <w:snapToGrid w:val="0"/>
                    <w:jc w:val="center"/>
                    <w:rPr>
                      <w:bCs/>
                      <w:szCs w:val="21"/>
                    </w:rPr>
                  </w:pPr>
                  <w:r>
                    <w:rPr>
                      <w:bCs/>
                      <w:szCs w:val="21"/>
                    </w:rPr>
                    <w:t>声源</w:t>
                  </w:r>
                </w:p>
              </w:tc>
              <w:tc>
                <w:tcPr>
                  <w:tcW w:w="403" w:type="pct"/>
                  <w:vAlign w:val="center"/>
                </w:tcPr>
                <w:p>
                  <w:pPr>
                    <w:snapToGrid w:val="0"/>
                    <w:jc w:val="center"/>
                    <w:rPr>
                      <w:bCs/>
                      <w:szCs w:val="21"/>
                    </w:rPr>
                  </w:pPr>
                  <w:r>
                    <w:rPr>
                      <w:bCs/>
                      <w:szCs w:val="21"/>
                    </w:rPr>
                    <w:t>台数</w:t>
                  </w:r>
                </w:p>
              </w:tc>
              <w:tc>
                <w:tcPr>
                  <w:tcW w:w="799" w:type="pct"/>
                  <w:vAlign w:val="center"/>
                </w:tcPr>
                <w:p>
                  <w:pPr>
                    <w:snapToGrid w:val="0"/>
                    <w:jc w:val="center"/>
                    <w:rPr>
                      <w:bCs/>
                      <w:szCs w:val="21"/>
                    </w:rPr>
                  </w:pPr>
                  <w:r>
                    <w:rPr>
                      <w:bCs/>
                      <w:szCs w:val="21"/>
                    </w:rPr>
                    <w:t>治理前声压级dB(A)</w:t>
                  </w:r>
                </w:p>
              </w:tc>
              <w:tc>
                <w:tcPr>
                  <w:tcW w:w="1284" w:type="pct"/>
                  <w:vAlign w:val="center"/>
                </w:tcPr>
                <w:p>
                  <w:pPr>
                    <w:snapToGrid w:val="0"/>
                    <w:jc w:val="center"/>
                    <w:rPr>
                      <w:bCs/>
                      <w:szCs w:val="21"/>
                    </w:rPr>
                  </w:pPr>
                  <w:r>
                    <w:rPr>
                      <w:bCs/>
                      <w:szCs w:val="21"/>
                    </w:rPr>
                    <w:t>降噪措施</w:t>
                  </w:r>
                </w:p>
              </w:tc>
              <w:tc>
                <w:tcPr>
                  <w:tcW w:w="564" w:type="pct"/>
                  <w:vAlign w:val="center"/>
                </w:tcPr>
                <w:p>
                  <w:pPr>
                    <w:snapToGrid w:val="0"/>
                    <w:jc w:val="center"/>
                    <w:rPr>
                      <w:bCs/>
                      <w:szCs w:val="21"/>
                    </w:rPr>
                  </w:pPr>
                  <w:r>
                    <w:rPr>
                      <w:bCs/>
                      <w:szCs w:val="21"/>
                    </w:rPr>
                    <w:t>排放方式</w:t>
                  </w:r>
                </w:p>
              </w:tc>
              <w:tc>
                <w:tcPr>
                  <w:tcW w:w="459" w:type="pct"/>
                  <w:vAlign w:val="center"/>
                </w:tcPr>
                <w:p>
                  <w:pPr>
                    <w:snapToGrid w:val="0"/>
                    <w:jc w:val="center"/>
                    <w:rPr>
                      <w:bCs/>
                      <w:szCs w:val="21"/>
                    </w:rPr>
                  </w:pPr>
                  <w:r>
                    <w:rPr>
                      <w:szCs w:val="21"/>
                    </w:rPr>
                    <w:t>治理后声压级dB(A)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38" w:hRule="atLeast"/>
                <w:jc w:val="center"/>
              </w:trPr>
              <w:tc>
                <w:tcPr>
                  <w:tcW w:w="394" w:type="pct"/>
                  <w:vAlign w:val="center"/>
                </w:tcPr>
                <w:p>
                  <w:pPr>
                    <w:snapToGrid w:val="0"/>
                    <w:jc w:val="center"/>
                    <w:rPr>
                      <w:kern w:val="21"/>
                      <w:szCs w:val="21"/>
                    </w:rPr>
                  </w:pPr>
                  <w:r>
                    <w:rPr>
                      <w:kern w:val="21"/>
                      <w:szCs w:val="21"/>
                    </w:rPr>
                    <w:t>1</w:t>
                  </w:r>
                </w:p>
              </w:tc>
              <w:tc>
                <w:tcPr>
                  <w:tcW w:w="372" w:type="pct"/>
                  <w:vMerge w:val="restart"/>
                  <w:vAlign w:val="center"/>
                </w:tcPr>
                <w:p>
                  <w:pPr>
                    <w:snapToGrid w:val="0"/>
                    <w:jc w:val="center"/>
                    <w:rPr>
                      <w:kern w:val="21"/>
                      <w:szCs w:val="21"/>
                    </w:rPr>
                  </w:pPr>
                  <w:r>
                    <w:rPr>
                      <w:kern w:val="21"/>
                      <w:szCs w:val="21"/>
                    </w:rPr>
                    <w:t>车间</w:t>
                  </w:r>
                </w:p>
              </w:tc>
              <w:tc>
                <w:tcPr>
                  <w:tcW w:w="721" w:type="pct"/>
                  <w:vAlign w:val="center"/>
                </w:tcPr>
                <w:p>
                  <w:pPr>
                    <w:snapToGrid w:val="0"/>
                    <w:jc w:val="center"/>
                    <w:rPr>
                      <w:kern w:val="21"/>
                      <w:szCs w:val="21"/>
                    </w:rPr>
                  </w:pPr>
                  <w:r>
                    <w:rPr>
                      <w:rFonts w:hint="eastAsia"/>
                      <w:szCs w:val="21"/>
                    </w:rPr>
                    <w:t>破碎机</w:t>
                  </w:r>
                </w:p>
              </w:tc>
              <w:tc>
                <w:tcPr>
                  <w:tcW w:w="403" w:type="pct"/>
                  <w:vAlign w:val="center"/>
                </w:tcPr>
                <w:p>
                  <w:pPr>
                    <w:snapToGrid w:val="0"/>
                    <w:jc w:val="center"/>
                    <w:rPr>
                      <w:kern w:val="21"/>
                      <w:szCs w:val="21"/>
                    </w:rPr>
                  </w:pPr>
                  <w:r>
                    <w:rPr>
                      <w:rFonts w:hint="eastAsia"/>
                      <w:kern w:val="21"/>
                      <w:szCs w:val="21"/>
                    </w:rPr>
                    <w:t>2</w:t>
                  </w:r>
                </w:p>
              </w:tc>
              <w:tc>
                <w:tcPr>
                  <w:tcW w:w="799" w:type="pct"/>
                  <w:vAlign w:val="center"/>
                </w:tcPr>
                <w:p>
                  <w:pPr>
                    <w:snapToGrid w:val="0"/>
                    <w:jc w:val="center"/>
                    <w:rPr>
                      <w:kern w:val="21"/>
                      <w:szCs w:val="21"/>
                    </w:rPr>
                  </w:pPr>
                  <w:r>
                    <w:rPr>
                      <w:kern w:val="21"/>
                      <w:szCs w:val="21"/>
                    </w:rPr>
                    <w:t>80</w:t>
                  </w:r>
                </w:p>
              </w:tc>
              <w:tc>
                <w:tcPr>
                  <w:tcW w:w="1284" w:type="pct"/>
                  <w:vMerge w:val="restart"/>
                  <w:vAlign w:val="center"/>
                </w:tcPr>
                <w:p>
                  <w:pPr>
                    <w:snapToGrid w:val="0"/>
                    <w:jc w:val="center"/>
                    <w:rPr>
                      <w:kern w:val="21"/>
                      <w:szCs w:val="21"/>
                    </w:rPr>
                  </w:pPr>
                  <w:r>
                    <w:rPr>
                      <w:kern w:val="21"/>
                      <w:szCs w:val="21"/>
                    </w:rPr>
                    <w:t>设备入室、基础减振</w:t>
                  </w:r>
                </w:p>
              </w:tc>
              <w:tc>
                <w:tcPr>
                  <w:tcW w:w="564" w:type="pct"/>
                  <w:vAlign w:val="center"/>
                </w:tcPr>
                <w:p>
                  <w:pPr>
                    <w:snapToGrid w:val="0"/>
                    <w:jc w:val="center"/>
                    <w:rPr>
                      <w:kern w:val="21"/>
                      <w:szCs w:val="21"/>
                    </w:rPr>
                  </w:pPr>
                  <w:r>
                    <w:rPr>
                      <w:kern w:val="21"/>
                      <w:szCs w:val="21"/>
                    </w:rPr>
                    <w:t>连续</w:t>
                  </w:r>
                </w:p>
              </w:tc>
              <w:tc>
                <w:tcPr>
                  <w:tcW w:w="459" w:type="pct"/>
                  <w:vAlign w:val="center"/>
                </w:tcPr>
                <w:p>
                  <w:pPr>
                    <w:snapToGrid w:val="0"/>
                    <w:jc w:val="center"/>
                    <w:rPr>
                      <w:kern w:val="21"/>
                      <w:szCs w:val="21"/>
                    </w:rPr>
                  </w:pPr>
                  <w:r>
                    <w:rPr>
                      <w:rFonts w:hint="eastAsia"/>
                      <w:kern w:val="21"/>
                      <w:szCs w:val="21"/>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3" w:hRule="atLeast"/>
                <w:jc w:val="center"/>
              </w:trPr>
              <w:tc>
                <w:tcPr>
                  <w:tcW w:w="394" w:type="pct"/>
                  <w:vAlign w:val="center"/>
                </w:tcPr>
                <w:p>
                  <w:pPr>
                    <w:snapToGrid w:val="0"/>
                    <w:jc w:val="center"/>
                    <w:rPr>
                      <w:kern w:val="21"/>
                      <w:szCs w:val="21"/>
                    </w:rPr>
                  </w:pPr>
                  <w:r>
                    <w:rPr>
                      <w:kern w:val="21"/>
                      <w:szCs w:val="21"/>
                    </w:rPr>
                    <w:t>2</w:t>
                  </w:r>
                </w:p>
              </w:tc>
              <w:tc>
                <w:tcPr>
                  <w:tcW w:w="372" w:type="pct"/>
                  <w:vMerge w:val="continue"/>
                  <w:vAlign w:val="center"/>
                </w:tcPr>
                <w:p>
                  <w:pPr>
                    <w:widowControl/>
                    <w:jc w:val="center"/>
                    <w:rPr>
                      <w:kern w:val="21"/>
                      <w:szCs w:val="21"/>
                    </w:rPr>
                  </w:pPr>
                </w:p>
              </w:tc>
              <w:tc>
                <w:tcPr>
                  <w:tcW w:w="721" w:type="pct"/>
                  <w:vAlign w:val="center"/>
                </w:tcPr>
                <w:p>
                  <w:pPr>
                    <w:tabs>
                      <w:tab w:val="left" w:pos="0"/>
                      <w:tab w:val="left" w:pos="3150"/>
                    </w:tabs>
                    <w:autoSpaceDE w:val="0"/>
                    <w:autoSpaceDN w:val="0"/>
                    <w:spacing w:line="360" w:lineRule="auto"/>
                    <w:jc w:val="center"/>
                    <w:rPr>
                      <w:kern w:val="21"/>
                      <w:szCs w:val="21"/>
                    </w:rPr>
                  </w:pPr>
                  <w:r>
                    <w:rPr>
                      <w:rFonts w:hint="eastAsia"/>
                      <w:snapToGrid w:val="0"/>
                      <w:szCs w:val="21"/>
                    </w:rPr>
                    <w:t>冲击式制砂机</w:t>
                  </w:r>
                </w:p>
              </w:tc>
              <w:tc>
                <w:tcPr>
                  <w:tcW w:w="403" w:type="pct"/>
                  <w:vAlign w:val="center"/>
                </w:tcPr>
                <w:p>
                  <w:pPr>
                    <w:snapToGrid w:val="0"/>
                    <w:jc w:val="center"/>
                    <w:rPr>
                      <w:kern w:val="21"/>
                      <w:szCs w:val="21"/>
                    </w:rPr>
                  </w:pPr>
                  <w:r>
                    <w:rPr>
                      <w:kern w:val="21"/>
                      <w:szCs w:val="21"/>
                    </w:rPr>
                    <w:t>1</w:t>
                  </w:r>
                </w:p>
              </w:tc>
              <w:tc>
                <w:tcPr>
                  <w:tcW w:w="799" w:type="pct"/>
                  <w:vAlign w:val="center"/>
                </w:tcPr>
                <w:p>
                  <w:pPr>
                    <w:snapToGrid w:val="0"/>
                    <w:jc w:val="center"/>
                    <w:rPr>
                      <w:kern w:val="21"/>
                      <w:szCs w:val="21"/>
                    </w:rPr>
                  </w:pPr>
                  <w:r>
                    <w:rPr>
                      <w:kern w:val="21"/>
                      <w:szCs w:val="21"/>
                    </w:rPr>
                    <w:t>80</w:t>
                  </w:r>
                </w:p>
              </w:tc>
              <w:tc>
                <w:tcPr>
                  <w:tcW w:w="1284" w:type="pct"/>
                  <w:vMerge w:val="continue"/>
                  <w:vAlign w:val="center"/>
                </w:tcPr>
                <w:p>
                  <w:pPr>
                    <w:widowControl/>
                    <w:jc w:val="center"/>
                    <w:rPr>
                      <w:kern w:val="21"/>
                      <w:szCs w:val="21"/>
                    </w:rPr>
                  </w:pPr>
                </w:p>
              </w:tc>
              <w:tc>
                <w:tcPr>
                  <w:tcW w:w="564" w:type="pct"/>
                  <w:vAlign w:val="center"/>
                </w:tcPr>
                <w:p>
                  <w:pPr>
                    <w:jc w:val="center"/>
                  </w:pPr>
                  <w:r>
                    <w:rPr>
                      <w:kern w:val="21"/>
                      <w:szCs w:val="21"/>
                    </w:rPr>
                    <w:t>连续</w:t>
                  </w:r>
                </w:p>
              </w:tc>
              <w:tc>
                <w:tcPr>
                  <w:tcW w:w="459" w:type="pct"/>
                  <w:vAlign w:val="center"/>
                </w:tcPr>
                <w:p>
                  <w:pPr>
                    <w:snapToGrid w:val="0"/>
                    <w:jc w:val="center"/>
                    <w:rPr>
                      <w:kern w:val="21"/>
                      <w:szCs w:val="21"/>
                    </w:rPr>
                  </w:pPr>
                  <w:r>
                    <w:rPr>
                      <w:kern w:val="21"/>
                      <w:szCs w:val="21"/>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8" w:hRule="atLeast"/>
                <w:jc w:val="center"/>
              </w:trPr>
              <w:tc>
                <w:tcPr>
                  <w:tcW w:w="394" w:type="pct"/>
                  <w:vAlign w:val="center"/>
                </w:tcPr>
                <w:p>
                  <w:pPr>
                    <w:snapToGrid w:val="0"/>
                    <w:jc w:val="center"/>
                    <w:rPr>
                      <w:kern w:val="21"/>
                      <w:szCs w:val="21"/>
                    </w:rPr>
                  </w:pPr>
                  <w:r>
                    <w:rPr>
                      <w:kern w:val="21"/>
                      <w:szCs w:val="21"/>
                    </w:rPr>
                    <w:t>3</w:t>
                  </w:r>
                </w:p>
              </w:tc>
              <w:tc>
                <w:tcPr>
                  <w:tcW w:w="372" w:type="pct"/>
                  <w:vMerge w:val="continue"/>
                  <w:vAlign w:val="center"/>
                </w:tcPr>
                <w:p>
                  <w:pPr>
                    <w:widowControl/>
                    <w:jc w:val="center"/>
                    <w:rPr>
                      <w:kern w:val="21"/>
                      <w:szCs w:val="21"/>
                    </w:rPr>
                  </w:pPr>
                </w:p>
              </w:tc>
              <w:tc>
                <w:tcPr>
                  <w:tcW w:w="721" w:type="pct"/>
                  <w:vAlign w:val="center"/>
                </w:tcPr>
                <w:p>
                  <w:pPr>
                    <w:tabs>
                      <w:tab w:val="left" w:pos="0"/>
                      <w:tab w:val="left" w:pos="3150"/>
                    </w:tabs>
                    <w:autoSpaceDE w:val="0"/>
                    <w:autoSpaceDN w:val="0"/>
                    <w:spacing w:line="360" w:lineRule="auto"/>
                    <w:jc w:val="center"/>
                    <w:rPr>
                      <w:szCs w:val="21"/>
                    </w:rPr>
                  </w:pPr>
                  <w:r>
                    <w:rPr>
                      <w:snapToGrid w:val="0"/>
                      <w:szCs w:val="21"/>
                    </w:rPr>
                    <w:t>振动筛</w:t>
                  </w:r>
                </w:p>
              </w:tc>
              <w:tc>
                <w:tcPr>
                  <w:tcW w:w="403" w:type="pct"/>
                  <w:vAlign w:val="center"/>
                </w:tcPr>
                <w:p>
                  <w:pPr>
                    <w:snapToGrid w:val="0"/>
                    <w:jc w:val="center"/>
                    <w:rPr>
                      <w:kern w:val="21"/>
                      <w:szCs w:val="21"/>
                    </w:rPr>
                  </w:pPr>
                  <w:r>
                    <w:rPr>
                      <w:rFonts w:hint="eastAsia"/>
                      <w:kern w:val="21"/>
                      <w:szCs w:val="21"/>
                    </w:rPr>
                    <w:t>5</w:t>
                  </w:r>
                </w:p>
              </w:tc>
              <w:tc>
                <w:tcPr>
                  <w:tcW w:w="799" w:type="pct"/>
                  <w:vAlign w:val="center"/>
                </w:tcPr>
                <w:p>
                  <w:pPr>
                    <w:snapToGrid w:val="0"/>
                    <w:jc w:val="center"/>
                    <w:rPr>
                      <w:kern w:val="21"/>
                      <w:szCs w:val="21"/>
                    </w:rPr>
                  </w:pPr>
                  <w:r>
                    <w:rPr>
                      <w:kern w:val="21"/>
                      <w:szCs w:val="21"/>
                    </w:rPr>
                    <w:t>80</w:t>
                  </w:r>
                </w:p>
              </w:tc>
              <w:tc>
                <w:tcPr>
                  <w:tcW w:w="1284" w:type="pct"/>
                  <w:vMerge w:val="continue"/>
                  <w:vAlign w:val="center"/>
                </w:tcPr>
                <w:p>
                  <w:pPr>
                    <w:widowControl/>
                    <w:jc w:val="center"/>
                    <w:rPr>
                      <w:kern w:val="21"/>
                      <w:szCs w:val="21"/>
                    </w:rPr>
                  </w:pPr>
                </w:p>
              </w:tc>
              <w:tc>
                <w:tcPr>
                  <w:tcW w:w="564" w:type="pct"/>
                  <w:vAlign w:val="center"/>
                </w:tcPr>
                <w:p>
                  <w:pPr>
                    <w:jc w:val="center"/>
                  </w:pPr>
                  <w:r>
                    <w:rPr>
                      <w:kern w:val="21"/>
                      <w:szCs w:val="21"/>
                    </w:rPr>
                    <w:t>连续</w:t>
                  </w:r>
                </w:p>
              </w:tc>
              <w:tc>
                <w:tcPr>
                  <w:tcW w:w="459" w:type="pct"/>
                  <w:vAlign w:val="center"/>
                </w:tcPr>
                <w:p>
                  <w:pPr>
                    <w:snapToGrid w:val="0"/>
                    <w:jc w:val="center"/>
                    <w:rPr>
                      <w:kern w:val="21"/>
                      <w:szCs w:val="21"/>
                    </w:rPr>
                  </w:pPr>
                  <w:r>
                    <w:rPr>
                      <w:kern w:val="21"/>
                      <w:szCs w:val="21"/>
                    </w:rPr>
                    <w:t>65</w:t>
                  </w:r>
                </w:p>
              </w:tc>
            </w:tr>
          </w:tbl>
          <w:p>
            <w:pPr>
              <w:spacing w:line="348" w:lineRule="auto"/>
              <w:ind w:left="474"/>
              <w:rPr>
                <w:b/>
                <w:spacing w:val="-2"/>
                <w:sz w:val="24"/>
              </w:rPr>
            </w:pPr>
            <w:r>
              <w:rPr>
                <w:b/>
                <w:spacing w:val="-2"/>
                <w:sz w:val="24"/>
              </w:rPr>
              <w:t>（四）固体废物</w:t>
            </w:r>
          </w:p>
          <w:p>
            <w:pPr>
              <w:widowControl/>
              <w:spacing w:line="360" w:lineRule="auto"/>
              <w:ind w:firstLine="480" w:firstLineChars="200"/>
              <w:rPr>
                <w:sz w:val="24"/>
              </w:rPr>
            </w:pPr>
            <w:r>
              <w:rPr>
                <w:rFonts w:hint="eastAsia"/>
                <w:sz w:val="24"/>
              </w:rPr>
              <w:t>本项目运营期租用居民房，</w:t>
            </w:r>
            <w:r>
              <w:rPr>
                <w:sz w:val="24"/>
              </w:rPr>
              <w:t>固体废物主要为</w:t>
            </w:r>
            <w:r>
              <w:rPr>
                <w:rFonts w:hint="eastAsia"/>
                <w:sz w:val="24"/>
              </w:rPr>
              <w:t>废润滑油</w:t>
            </w:r>
            <w:r>
              <w:rPr>
                <w:sz w:val="24"/>
              </w:rPr>
              <w:t>、员工</w:t>
            </w:r>
            <w:r>
              <w:rPr>
                <w:rFonts w:hint="eastAsia"/>
                <w:sz w:val="24"/>
              </w:rPr>
              <w:t>日常生活</w:t>
            </w:r>
            <w:r>
              <w:rPr>
                <w:sz w:val="24"/>
              </w:rPr>
              <w:t>垃圾</w:t>
            </w:r>
            <w:r>
              <w:rPr>
                <w:rFonts w:hint="eastAsia"/>
                <w:sz w:val="24"/>
              </w:rPr>
              <w:t>、</w:t>
            </w:r>
            <w:r>
              <w:rPr>
                <w:rFonts w:hAnsi="宋体"/>
                <w:sz w:val="24"/>
              </w:rPr>
              <w:t>除尘器收集的粉尘以及</w:t>
            </w:r>
            <w:r>
              <w:rPr>
                <w:rFonts w:hint="eastAsia" w:hAnsi="宋体"/>
                <w:sz w:val="24"/>
              </w:rPr>
              <w:t>洗车池</w:t>
            </w:r>
            <w:r>
              <w:rPr>
                <w:rFonts w:hAnsi="宋体"/>
                <w:sz w:val="24"/>
              </w:rPr>
              <w:t>沉渣。</w:t>
            </w:r>
          </w:p>
          <w:p>
            <w:pPr>
              <w:widowControl/>
              <w:spacing w:line="348" w:lineRule="auto"/>
              <w:ind w:firstLine="480" w:firstLineChars="200"/>
              <w:rPr>
                <w:kern w:val="0"/>
                <w:sz w:val="24"/>
              </w:rPr>
            </w:pPr>
            <w:r>
              <w:rPr>
                <w:kern w:val="0"/>
                <w:sz w:val="24"/>
              </w:rPr>
              <w:t>（1）</w:t>
            </w:r>
            <w:r>
              <w:rPr>
                <w:rFonts w:hint="eastAsia"/>
                <w:kern w:val="0"/>
                <w:sz w:val="24"/>
              </w:rPr>
              <w:t>废润滑油</w:t>
            </w:r>
          </w:p>
          <w:p>
            <w:pPr>
              <w:widowControl/>
              <w:spacing w:line="348" w:lineRule="auto"/>
              <w:ind w:firstLine="480" w:firstLineChars="200"/>
              <w:rPr>
                <w:kern w:val="0"/>
                <w:sz w:val="24"/>
              </w:rPr>
            </w:pPr>
            <w:r>
              <w:rPr>
                <w:kern w:val="0"/>
                <w:sz w:val="24"/>
              </w:rPr>
              <w:t>生产设备维护时会产生少量</w:t>
            </w:r>
            <w:r>
              <w:rPr>
                <w:rFonts w:hint="eastAsia"/>
                <w:kern w:val="0"/>
                <w:sz w:val="24"/>
              </w:rPr>
              <w:t>废润滑油</w:t>
            </w:r>
            <w:r>
              <w:rPr>
                <w:kern w:val="0"/>
                <w:sz w:val="24"/>
              </w:rPr>
              <w:t>，约0.0</w:t>
            </w:r>
            <w:r>
              <w:rPr>
                <w:rFonts w:hint="eastAsia"/>
                <w:kern w:val="0"/>
                <w:sz w:val="24"/>
              </w:rPr>
              <w:t>2</w:t>
            </w:r>
            <w:r>
              <w:rPr>
                <w:kern w:val="0"/>
                <w:sz w:val="24"/>
              </w:rPr>
              <w:t>t/a。根据《国家危险废物名录》（2016年），此类废物属于危险废物，其危废类别为HW08。</w:t>
            </w:r>
          </w:p>
          <w:p>
            <w:pPr>
              <w:widowControl/>
              <w:spacing w:line="348" w:lineRule="auto"/>
              <w:ind w:firstLine="480" w:firstLineChars="200"/>
              <w:rPr>
                <w:sz w:val="24"/>
              </w:rPr>
            </w:pPr>
            <w:r>
              <w:rPr>
                <w:kern w:val="0"/>
                <w:sz w:val="24"/>
              </w:rPr>
              <w:t>（2）</w:t>
            </w:r>
            <w:r>
              <w:rPr>
                <w:rFonts w:hint="eastAsia"/>
                <w:kern w:val="0"/>
                <w:sz w:val="24"/>
              </w:rPr>
              <w:t>员工日常</w:t>
            </w:r>
            <w:r>
              <w:rPr>
                <w:kern w:val="0"/>
                <w:sz w:val="24"/>
              </w:rPr>
              <w:t>垃圾</w:t>
            </w:r>
          </w:p>
          <w:p>
            <w:pPr>
              <w:spacing w:line="348" w:lineRule="auto"/>
              <w:ind w:firstLine="480"/>
              <w:rPr>
                <w:kern w:val="0"/>
                <w:sz w:val="24"/>
              </w:rPr>
            </w:pPr>
            <w:r>
              <w:rPr>
                <w:kern w:val="0"/>
                <w:sz w:val="24"/>
              </w:rPr>
              <w:t>本项目劳动定员</w:t>
            </w:r>
            <w:r>
              <w:rPr>
                <w:rFonts w:hint="eastAsia"/>
                <w:kern w:val="0"/>
                <w:sz w:val="24"/>
              </w:rPr>
              <w:t>6</w:t>
            </w:r>
            <w:r>
              <w:rPr>
                <w:kern w:val="0"/>
                <w:sz w:val="24"/>
              </w:rPr>
              <w:t>人，参考《第一次全国污染源普查城镇生活源产排污系数手册》，</w:t>
            </w:r>
            <w:r>
              <w:rPr>
                <w:bCs/>
                <w:sz w:val="24"/>
              </w:rPr>
              <w:t>垃圾产生量按0.5kg/人·d计</w:t>
            </w:r>
            <w:r>
              <w:rPr>
                <w:bCs/>
                <w:sz w:val="24"/>
                <w:szCs w:val="22"/>
              </w:rPr>
              <w:t>，算得</w:t>
            </w:r>
            <w:r>
              <w:rPr>
                <w:rFonts w:hint="eastAsia"/>
                <w:kern w:val="0"/>
                <w:sz w:val="24"/>
              </w:rPr>
              <w:t>员工日常</w:t>
            </w:r>
            <w:r>
              <w:rPr>
                <w:kern w:val="0"/>
                <w:sz w:val="24"/>
              </w:rPr>
              <w:t>生活垃圾产生量为</w:t>
            </w:r>
            <w:r>
              <w:rPr>
                <w:rFonts w:hint="eastAsia"/>
                <w:kern w:val="0"/>
                <w:sz w:val="24"/>
              </w:rPr>
              <w:t>3</w:t>
            </w:r>
            <w:r>
              <w:rPr>
                <w:kern w:val="0"/>
                <w:sz w:val="24"/>
              </w:rPr>
              <w:t>kg/d，即</w:t>
            </w:r>
            <w:r>
              <w:rPr>
                <w:rFonts w:hint="eastAsia"/>
                <w:kern w:val="0"/>
                <w:sz w:val="24"/>
              </w:rPr>
              <w:t>0.6</w:t>
            </w:r>
            <w:r>
              <w:rPr>
                <w:kern w:val="0"/>
                <w:sz w:val="24"/>
              </w:rPr>
              <w:t>t/a。</w:t>
            </w:r>
          </w:p>
          <w:p>
            <w:pPr>
              <w:spacing w:line="348" w:lineRule="auto"/>
              <w:ind w:firstLine="480"/>
              <w:rPr>
                <w:kern w:val="0"/>
                <w:sz w:val="24"/>
              </w:rPr>
            </w:pPr>
            <w:r>
              <w:rPr>
                <w:rFonts w:hint="eastAsia"/>
                <w:kern w:val="0"/>
                <w:sz w:val="24"/>
              </w:rPr>
              <w:t>（3）</w:t>
            </w:r>
            <w:r>
              <w:rPr>
                <w:rFonts w:hAnsi="宋体"/>
                <w:sz w:val="24"/>
              </w:rPr>
              <w:t>除尘器收集的粉尘</w:t>
            </w:r>
          </w:p>
          <w:p>
            <w:pPr>
              <w:spacing w:line="360" w:lineRule="auto"/>
              <w:ind w:firstLine="480" w:firstLineChars="200"/>
              <w:rPr>
                <w:sz w:val="24"/>
              </w:rPr>
            </w:pPr>
            <w:r>
              <w:rPr>
                <w:rFonts w:hint="eastAsia" w:hAnsi="宋体"/>
                <w:sz w:val="24"/>
              </w:rPr>
              <w:t>根据工程分析，</w:t>
            </w:r>
            <w:r>
              <w:rPr>
                <w:rFonts w:hAnsi="宋体"/>
                <w:sz w:val="24"/>
              </w:rPr>
              <w:t>本项目除尘器年收集粉尘</w:t>
            </w:r>
            <w:r>
              <w:rPr>
                <w:rFonts w:hint="eastAsia" w:hAnsi="宋体"/>
                <w:sz w:val="24"/>
              </w:rPr>
              <w:t>43.8</w:t>
            </w:r>
            <w:r>
              <w:rPr>
                <w:sz w:val="24"/>
              </w:rPr>
              <w:t>t/a</w:t>
            </w:r>
            <w:r>
              <w:rPr>
                <w:rFonts w:hAnsi="宋体"/>
                <w:sz w:val="24"/>
              </w:rPr>
              <w:t>，可作为</w:t>
            </w:r>
            <w:r>
              <w:rPr>
                <w:rFonts w:hint="eastAsia" w:hAnsi="宋体"/>
                <w:sz w:val="24"/>
              </w:rPr>
              <w:t>石粉砂成品外售</w:t>
            </w:r>
            <w:r>
              <w:rPr>
                <w:rFonts w:hAnsi="宋体"/>
                <w:sz w:val="24"/>
              </w:rPr>
              <w:t>。</w:t>
            </w:r>
          </w:p>
          <w:p>
            <w:pPr>
              <w:spacing w:line="348" w:lineRule="auto"/>
              <w:ind w:firstLine="480"/>
              <w:rPr>
                <w:kern w:val="0"/>
                <w:sz w:val="24"/>
              </w:rPr>
            </w:pPr>
            <w:r>
              <w:rPr>
                <w:kern w:val="0"/>
                <w:sz w:val="24"/>
              </w:rPr>
              <w:t>（</w:t>
            </w:r>
            <w:r>
              <w:rPr>
                <w:rFonts w:hint="eastAsia"/>
                <w:kern w:val="0"/>
                <w:sz w:val="24"/>
              </w:rPr>
              <w:t>4</w:t>
            </w:r>
            <w:r>
              <w:rPr>
                <w:kern w:val="0"/>
                <w:sz w:val="24"/>
              </w:rPr>
              <w:t>）</w:t>
            </w:r>
            <w:r>
              <w:rPr>
                <w:rFonts w:hint="eastAsia"/>
                <w:kern w:val="0"/>
                <w:sz w:val="24"/>
              </w:rPr>
              <w:t>洗车池</w:t>
            </w:r>
            <w:r>
              <w:rPr>
                <w:kern w:val="0"/>
                <w:sz w:val="24"/>
              </w:rPr>
              <w:t>沉渣</w:t>
            </w:r>
          </w:p>
          <w:p>
            <w:pPr>
              <w:spacing w:line="360" w:lineRule="auto"/>
              <w:ind w:firstLine="480" w:firstLineChars="200"/>
              <w:rPr>
                <w:sz w:val="24"/>
                <w:szCs w:val="22"/>
                <w:highlight w:val="yellow"/>
              </w:rPr>
            </w:pPr>
            <w:r>
              <w:rPr>
                <w:rFonts w:hAnsi="宋体"/>
                <w:sz w:val="24"/>
              </w:rPr>
              <w:t>本项目</w:t>
            </w:r>
            <w:r>
              <w:rPr>
                <w:rFonts w:hint="eastAsia" w:hAnsi="宋体"/>
                <w:sz w:val="24"/>
              </w:rPr>
              <w:t>设置</w:t>
            </w:r>
            <w:r>
              <w:rPr>
                <w:rFonts w:hAnsi="宋体"/>
                <w:sz w:val="24"/>
              </w:rPr>
              <w:t>车辆</w:t>
            </w:r>
            <w:r>
              <w:rPr>
                <w:rFonts w:hint="eastAsia" w:hAnsi="宋体"/>
                <w:sz w:val="24"/>
              </w:rPr>
              <w:t>洗车池</w:t>
            </w:r>
            <w:r>
              <w:rPr>
                <w:rFonts w:hAnsi="宋体"/>
                <w:sz w:val="24"/>
              </w:rPr>
              <w:t>，</w:t>
            </w:r>
            <w:r>
              <w:rPr>
                <w:rFonts w:hint="eastAsia" w:hAnsi="宋体"/>
                <w:sz w:val="24"/>
              </w:rPr>
              <w:t>沉渣</w:t>
            </w:r>
            <w:r>
              <w:rPr>
                <w:rFonts w:hAnsi="宋体"/>
                <w:sz w:val="24"/>
              </w:rPr>
              <w:t>合计产生量约为</w:t>
            </w:r>
            <w:r>
              <w:rPr>
                <w:sz w:val="24"/>
              </w:rPr>
              <w:t>2.53t/a</w:t>
            </w:r>
            <w:r>
              <w:rPr>
                <w:rFonts w:hAnsi="宋体"/>
                <w:sz w:val="24"/>
              </w:rPr>
              <w:t>，</w:t>
            </w:r>
            <w:r>
              <w:rPr>
                <w:rFonts w:hint="eastAsia" w:hAnsi="宋体"/>
                <w:sz w:val="24"/>
              </w:rPr>
              <w:t>回用作为原料。</w:t>
            </w:r>
          </w:p>
        </w:tc>
      </w:tr>
    </w:tbl>
    <w:p>
      <w:pPr>
        <w:pStyle w:val="7"/>
        <w:spacing w:after="0" w:line="360" w:lineRule="auto"/>
        <w:ind w:left="0" w:leftChars="0"/>
        <w:rPr>
          <w:sz w:val="28"/>
          <w:szCs w:val="28"/>
        </w:rPr>
        <w:sectPr>
          <w:pgSz w:w="11906" w:h="16838"/>
          <w:pgMar w:top="1418" w:right="1418" w:bottom="1418" w:left="1418" w:header="851" w:footer="992" w:gutter="0"/>
          <w:cols w:space="720" w:num="1"/>
          <w:docGrid w:type="linesAndChars" w:linePitch="312" w:charSpace="0"/>
        </w:sectPr>
      </w:pPr>
    </w:p>
    <w:p>
      <w:pPr>
        <w:pStyle w:val="15"/>
        <w:spacing w:before="0" w:after="0" w:line="360" w:lineRule="auto"/>
        <w:jc w:val="left"/>
        <w:rPr>
          <w:rFonts w:ascii="Times New Roman" w:hAnsi="Times New Roman"/>
        </w:rPr>
      </w:pPr>
      <w:r>
        <w:rPr>
          <w:rFonts w:ascii="Times New Roman" w:hAnsi="Times New Roman"/>
        </w:rPr>
        <w:t>项目主要污染物产生及排放情况</w:t>
      </w:r>
    </w:p>
    <w:tbl>
      <w:tblPr>
        <w:tblStyle w:val="1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729"/>
        <w:gridCol w:w="739"/>
        <w:gridCol w:w="1355"/>
        <w:gridCol w:w="1160"/>
        <w:gridCol w:w="2019"/>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51" w:type="pct"/>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ind w:left="480" w:hanging="480" w:hangingChars="200"/>
              <w:jc w:val="center"/>
              <w:rPr>
                <w:sz w:val="24"/>
              </w:rPr>
            </w:pPr>
            <w:r>
              <w:rPr>
                <w:sz w:val="24"/>
              </w:rPr>
              <w:t>内容</w:t>
            </w:r>
          </w:p>
          <w:p>
            <w:pPr>
              <w:rPr>
                <w:sz w:val="24"/>
              </w:rPr>
            </w:pPr>
            <w:r>
              <w:rPr>
                <w:sz w:val="24"/>
              </w:rPr>
              <w:t>类型</w:t>
            </w:r>
          </w:p>
        </w:tc>
        <w:tc>
          <w:tcPr>
            <w:tcW w:w="1128" w:type="pct"/>
            <w:gridSpan w:val="2"/>
            <w:tcBorders>
              <w:top w:val="single" w:color="auto" w:sz="12" w:space="0"/>
              <w:left w:val="nil"/>
              <w:bottom w:val="single" w:color="auto" w:sz="4" w:space="0"/>
              <w:right w:val="single" w:color="auto" w:sz="4" w:space="0"/>
            </w:tcBorders>
            <w:vAlign w:val="center"/>
          </w:tcPr>
          <w:p>
            <w:pPr>
              <w:jc w:val="center"/>
              <w:rPr>
                <w:sz w:val="24"/>
              </w:rPr>
            </w:pPr>
            <w:r>
              <w:rPr>
                <w:sz w:val="24"/>
              </w:rPr>
              <w:t>排放源</w:t>
            </w:r>
          </w:p>
        </w:tc>
        <w:tc>
          <w:tcPr>
            <w:tcW w:w="625" w:type="pct"/>
            <w:tcBorders>
              <w:top w:val="single" w:color="auto" w:sz="12" w:space="0"/>
              <w:left w:val="nil"/>
              <w:bottom w:val="single" w:color="auto" w:sz="4" w:space="0"/>
              <w:right w:val="single" w:color="auto" w:sz="4" w:space="0"/>
            </w:tcBorders>
            <w:vAlign w:val="center"/>
          </w:tcPr>
          <w:p>
            <w:pPr>
              <w:jc w:val="center"/>
              <w:rPr>
                <w:sz w:val="24"/>
              </w:rPr>
            </w:pPr>
            <w:r>
              <w:rPr>
                <w:sz w:val="24"/>
              </w:rPr>
              <w:t>污染物</w:t>
            </w:r>
          </w:p>
          <w:p>
            <w:pPr>
              <w:jc w:val="center"/>
              <w:rPr>
                <w:sz w:val="24"/>
              </w:rPr>
            </w:pPr>
            <w:r>
              <w:rPr>
                <w:sz w:val="24"/>
              </w:rPr>
              <w:t>名称</w:t>
            </w:r>
          </w:p>
        </w:tc>
        <w:tc>
          <w:tcPr>
            <w:tcW w:w="1087" w:type="pct"/>
            <w:tcBorders>
              <w:top w:val="single" w:color="auto" w:sz="12" w:space="0"/>
              <w:left w:val="nil"/>
              <w:bottom w:val="single" w:color="auto" w:sz="4" w:space="0"/>
              <w:right w:val="single" w:color="auto" w:sz="4" w:space="0"/>
            </w:tcBorders>
            <w:vAlign w:val="center"/>
          </w:tcPr>
          <w:p>
            <w:pPr>
              <w:jc w:val="center"/>
              <w:rPr>
                <w:sz w:val="24"/>
              </w:rPr>
            </w:pPr>
            <w:r>
              <w:rPr>
                <w:sz w:val="24"/>
              </w:rPr>
              <w:t>产生浓度及产生量</w:t>
            </w:r>
          </w:p>
        </w:tc>
        <w:tc>
          <w:tcPr>
            <w:tcW w:w="1507" w:type="pct"/>
            <w:tcBorders>
              <w:top w:val="single" w:color="auto" w:sz="12" w:space="0"/>
              <w:left w:val="nil"/>
              <w:bottom w:val="single" w:color="auto" w:sz="4" w:space="0"/>
              <w:right w:val="single" w:color="auto" w:sz="12" w:space="0"/>
            </w:tcBorders>
            <w:vAlign w:val="center"/>
          </w:tcPr>
          <w:p>
            <w:pPr>
              <w:jc w:val="center"/>
              <w:rPr>
                <w:sz w:val="24"/>
              </w:rPr>
            </w:pPr>
            <w:r>
              <w:rPr>
                <w:sz w:val="24"/>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651" w:type="pct"/>
            <w:gridSpan w:val="2"/>
            <w:vMerge w:val="restart"/>
            <w:tcBorders>
              <w:top w:val="nil"/>
              <w:left w:val="single" w:color="auto" w:sz="12" w:space="0"/>
              <w:bottom w:val="single" w:color="auto" w:sz="4" w:space="0"/>
              <w:right w:val="single" w:color="auto" w:sz="4" w:space="0"/>
            </w:tcBorders>
            <w:vAlign w:val="center"/>
          </w:tcPr>
          <w:p>
            <w:pPr>
              <w:widowControl/>
              <w:jc w:val="center"/>
              <w:rPr>
                <w:sz w:val="24"/>
              </w:rPr>
            </w:pPr>
            <w:r>
              <w:rPr>
                <w:sz w:val="24"/>
              </w:rPr>
              <w:t>大</w:t>
            </w:r>
          </w:p>
          <w:p>
            <w:pPr>
              <w:widowControl/>
              <w:jc w:val="center"/>
              <w:rPr>
                <w:sz w:val="24"/>
              </w:rPr>
            </w:pPr>
            <w:r>
              <w:rPr>
                <w:sz w:val="24"/>
              </w:rPr>
              <w:t>气</w:t>
            </w:r>
          </w:p>
          <w:p>
            <w:pPr>
              <w:widowControl/>
              <w:jc w:val="center"/>
              <w:rPr>
                <w:sz w:val="24"/>
              </w:rPr>
            </w:pPr>
            <w:r>
              <w:rPr>
                <w:sz w:val="24"/>
              </w:rPr>
              <w:t>污</w:t>
            </w:r>
          </w:p>
          <w:p>
            <w:pPr>
              <w:widowControl/>
              <w:jc w:val="center"/>
              <w:rPr>
                <w:sz w:val="24"/>
              </w:rPr>
            </w:pPr>
            <w:r>
              <w:rPr>
                <w:sz w:val="24"/>
              </w:rPr>
              <w:t>染</w:t>
            </w:r>
          </w:p>
          <w:p>
            <w:pPr>
              <w:widowControl/>
              <w:jc w:val="center"/>
              <w:rPr>
                <w:sz w:val="24"/>
              </w:rPr>
            </w:pPr>
            <w:r>
              <w:rPr>
                <w:sz w:val="24"/>
              </w:rPr>
              <w:t>物</w:t>
            </w:r>
          </w:p>
        </w:tc>
        <w:tc>
          <w:tcPr>
            <w:tcW w:w="398" w:type="pct"/>
            <w:tcBorders>
              <w:top w:val="nil"/>
              <w:left w:val="nil"/>
              <w:bottom w:val="single" w:color="auto" w:sz="4" w:space="0"/>
              <w:right w:val="single" w:color="auto" w:sz="4" w:space="0"/>
            </w:tcBorders>
            <w:vAlign w:val="center"/>
          </w:tcPr>
          <w:p>
            <w:pPr>
              <w:adjustRightInd w:val="0"/>
              <w:snapToGrid w:val="0"/>
              <w:spacing w:line="320" w:lineRule="exact"/>
              <w:jc w:val="center"/>
              <w:rPr>
                <w:sz w:val="24"/>
              </w:rPr>
            </w:pPr>
            <w:r>
              <w:rPr>
                <w:rFonts w:hint="eastAsia"/>
                <w:sz w:val="24"/>
              </w:rPr>
              <w:t>有组织粉尘</w:t>
            </w:r>
          </w:p>
        </w:tc>
        <w:tc>
          <w:tcPr>
            <w:tcW w:w="730"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sz w:val="24"/>
              </w:rPr>
            </w:pPr>
            <w:r>
              <w:rPr>
                <w:rFonts w:hint="eastAsia"/>
                <w:sz w:val="24"/>
              </w:rPr>
              <w:t>破碎、筛分</w:t>
            </w:r>
          </w:p>
        </w:tc>
        <w:tc>
          <w:tcPr>
            <w:tcW w:w="625"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sz w:val="24"/>
              </w:rPr>
            </w:pPr>
            <w:r>
              <w:rPr>
                <w:rFonts w:hint="eastAsia"/>
                <w:sz w:val="24"/>
              </w:rPr>
              <w:t>粉尘</w:t>
            </w:r>
          </w:p>
        </w:tc>
        <w:tc>
          <w:tcPr>
            <w:tcW w:w="1087" w:type="pct"/>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sz w:val="24"/>
              </w:rPr>
            </w:pPr>
            <w:r>
              <w:rPr>
                <w:rFonts w:hint="eastAsia"/>
                <w:sz w:val="24"/>
              </w:rPr>
              <w:t>52t/a</w:t>
            </w:r>
          </w:p>
        </w:tc>
        <w:tc>
          <w:tcPr>
            <w:tcW w:w="1507" w:type="pct"/>
            <w:tcBorders>
              <w:top w:val="single" w:color="auto" w:sz="4" w:space="0"/>
              <w:left w:val="nil"/>
              <w:bottom w:val="single" w:color="auto" w:sz="4" w:space="0"/>
              <w:right w:val="single" w:color="auto" w:sz="12" w:space="0"/>
            </w:tcBorders>
            <w:vAlign w:val="center"/>
          </w:tcPr>
          <w:p>
            <w:pPr>
              <w:jc w:val="center"/>
              <w:rPr>
                <w:sz w:val="24"/>
              </w:rPr>
            </w:pPr>
            <w:r>
              <w:rPr>
                <w:rFonts w:hint="eastAsia"/>
                <w:sz w:val="24"/>
              </w:rPr>
              <w:t>0.4t/a，0.16kg/h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trPr>
        <w:tc>
          <w:tcPr>
            <w:tcW w:w="651" w:type="pct"/>
            <w:gridSpan w:val="2"/>
            <w:vMerge w:val="continue"/>
            <w:tcBorders>
              <w:top w:val="nil"/>
              <w:left w:val="single" w:color="auto" w:sz="12" w:space="0"/>
              <w:bottom w:val="single" w:color="auto" w:sz="4" w:space="0"/>
              <w:right w:val="single" w:color="auto" w:sz="4" w:space="0"/>
            </w:tcBorders>
            <w:vAlign w:val="center"/>
          </w:tcPr>
          <w:p>
            <w:pPr>
              <w:widowControl/>
              <w:jc w:val="left"/>
              <w:rPr>
                <w:sz w:val="24"/>
              </w:rPr>
            </w:pPr>
          </w:p>
        </w:tc>
        <w:tc>
          <w:tcPr>
            <w:tcW w:w="398" w:type="pct"/>
            <w:tcBorders>
              <w:top w:val="nil"/>
              <w:left w:val="nil"/>
              <w:bottom w:val="single" w:color="auto" w:sz="4" w:space="0"/>
              <w:right w:val="single" w:color="auto" w:sz="4" w:space="0"/>
            </w:tcBorders>
            <w:vAlign w:val="center"/>
          </w:tcPr>
          <w:p>
            <w:pPr>
              <w:widowControl/>
              <w:jc w:val="left"/>
              <w:rPr>
                <w:color w:val="auto"/>
                <w:sz w:val="24"/>
              </w:rPr>
            </w:pPr>
            <w:r>
              <w:rPr>
                <w:rFonts w:hint="eastAsia"/>
                <w:color w:val="auto"/>
                <w:sz w:val="24"/>
              </w:rPr>
              <w:t>无组织粉尘</w:t>
            </w:r>
          </w:p>
        </w:tc>
        <w:tc>
          <w:tcPr>
            <w:tcW w:w="730" w:type="pct"/>
            <w:tcBorders>
              <w:top w:val="single" w:color="000000" w:sz="4" w:space="0"/>
              <w:left w:val="nil"/>
              <w:bottom w:val="single" w:color="auto" w:sz="4" w:space="0"/>
              <w:right w:val="single" w:color="auto" w:sz="4" w:space="0"/>
            </w:tcBorders>
            <w:vAlign w:val="center"/>
          </w:tcPr>
          <w:p>
            <w:pPr>
              <w:widowControl/>
              <w:jc w:val="center"/>
              <w:rPr>
                <w:color w:val="auto"/>
                <w:sz w:val="24"/>
              </w:rPr>
            </w:pPr>
            <w:r>
              <w:rPr>
                <w:rFonts w:hint="eastAsia"/>
                <w:color w:val="auto"/>
                <w:sz w:val="24"/>
              </w:rPr>
              <w:t>装卸、原料成品堆场、投料粉尘及未捕集的破碎筛分粉尘</w:t>
            </w:r>
          </w:p>
        </w:tc>
        <w:tc>
          <w:tcPr>
            <w:tcW w:w="625" w:type="pct"/>
            <w:tcBorders>
              <w:top w:val="single" w:color="000000" w:sz="4" w:space="0"/>
              <w:left w:val="nil"/>
              <w:bottom w:val="single" w:color="auto" w:sz="4" w:space="0"/>
              <w:right w:val="single" w:color="auto" w:sz="4" w:space="0"/>
            </w:tcBorders>
            <w:vAlign w:val="center"/>
          </w:tcPr>
          <w:p>
            <w:pPr>
              <w:pStyle w:val="61"/>
              <w:widowControl w:val="0"/>
              <w:snapToGrid w:val="0"/>
              <w:jc w:val="center"/>
              <w:rPr>
                <w:rFonts w:ascii="Times New Roman" w:hAnsi="Times New Roman" w:cs="Times New Roman"/>
                <w:color w:val="auto"/>
              </w:rPr>
            </w:pPr>
            <w:r>
              <w:rPr>
                <w:rFonts w:hint="eastAsia" w:ascii="Times New Roman" w:hAnsi="Times New Roman" w:cs="Times New Roman"/>
                <w:color w:val="auto"/>
              </w:rPr>
              <w:t>粉尘</w:t>
            </w:r>
          </w:p>
        </w:tc>
        <w:tc>
          <w:tcPr>
            <w:tcW w:w="1087" w:type="pct"/>
            <w:tcBorders>
              <w:top w:val="single" w:color="000000" w:sz="4" w:space="0"/>
              <w:left w:val="nil"/>
              <w:bottom w:val="single" w:color="auto" w:sz="4" w:space="0"/>
              <w:right w:val="single" w:color="auto" w:sz="4" w:space="0"/>
            </w:tcBorders>
            <w:vAlign w:val="center"/>
          </w:tcPr>
          <w:p>
            <w:pPr>
              <w:jc w:val="center"/>
              <w:rPr>
                <w:color w:val="auto"/>
                <w:sz w:val="24"/>
              </w:rPr>
            </w:pPr>
            <w:r>
              <w:rPr>
                <w:rFonts w:hint="eastAsia"/>
                <w:color w:val="FF0000"/>
                <w:sz w:val="24"/>
              </w:rPr>
              <w:t>9.38t/a</w:t>
            </w:r>
          </w:p>
        </w:tc>
        <w:tc>
          <w:tcPr>
            <w:tcW w:w="1507" w:type="pct"/>
            <w:tcBorders>
              <w:top w:val="single" w:color="000000" w:sz="4" w:space="0"/>
              <w:left w:val="nil"/>
              <w:bottom w:val="single" w:color="auto" w:sz="4" w:space="0"/>
              <w:right w:val="single" w:color="auto" w:sz="12" w:space="0"/>
            </w:tcBorders>
            <w:vAlign w:val="center"/>
          </w:tcPr>
          <w:p>
            <w:pPr>
              <w:jc w:val="center"/>
              <w:rPr>
                <w:color w:val="auto"/>
                <w:sz w:val="24"/>
              </w:rPr>
            </w:pPr>
            <w:r>
              <w:rPr>
                <w:rFonts w:hint="eastAsia"/>
                <w:color w:val="auto"/>
                <w:sz w:val="24"/>
              </w:rPr>
              <w:t>0.47t/a，0.19kg/h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651" w:type="pct"/>
            <w:gridSpan w:val="2"/>
            <w:vMerge w:val="continue"/>
            <w:tcBorders>
              <w:top w:val="nil"/>
              <w:left w:val="single" w:color="auto" w:sz="12" w:space="0"/>
              <w:bottom w:val="single" w:color="auto" w:sz="4" w:space="0"/>
              <w:right w:val="single" w:color="auto" w:sz="4" w:space="0"/>
            </w:tcBorders>
            <w:vAlign w:val="center"/>
          </w:tcPr>
          <w:p>
            <w:pPr>
              <w:widowControl/>
              <w:jc w:val="left"/>
              <w:rPr>
                <w:sz w:val="24"/>
              </w:rPr>
            </w:pPr>
          </w:p>
        </w:tc>
        <w:tc>
          <w:tcPr>
            <w:tcW w:w="1128" w:type="pct"/>
            <w:gridSpan w:val="2"/>
            <w:tcBorders>
              <w:top w:val="single" w:color="auto" w:sz="4" w:space="0"/>
              <w:left w:val="nil"/>
              <w:bottom w:val="single" w:color="auto" w:sz="4" w:space="0"/>
              <w:right w:val="single" w:color="auto" w:sz="4" w:space="0"/>
            </w:tcBorders>
            <w:vAlign w:val="center"/>
          </w:tcPr>
          <w:p>
            <w:pPr>
              <w:widowControl/>
              <w:jc w:val="center"/>
              <w:rPr>
                <w:sz w:val="24"/>
              </w:rPr>
            </w:pPr>
            <w:r>
              <w:rPr>
                <w:rFonts w:hint="eastAsia"/>
                <w:sz w:val="24"/>
              </w:rPr>
              <w:t>场内交通</w:t>
            </w:r>
            <w:r>
              <w:rPr>
                <w:sz w:val="24"/>
              </w:rPr>
              <w:t>运输</w:t>
            </w:r>
          </w:p>
        </w:tc>
        <w:tc>
          <w:tcPr>
            <w:tcW w:w="625" w:type="pct"/>
            <w:tcBorders>
              <w:top w:val="single" w:color="auto" w:sz="4" w:space="0"/>
              <w:left w:val="nil"/>
              <w:bottom w:val="single" w:color="auto" w:sz="4" w:space="0"/>
              <w:right w:val="single" w:color="auto" w:sz="4" w:space="0"/>
            </w:tcBorders>
            <w:vAlign w:val="center"/>
          </w:tcPr>
          <w:p>
            <w:pPr>
              <w:pStyle w:val="61"/>
              <w:widowControl w:val="0"/>
              <w:snapToGrid w:val="0"/>
              <w:jc w:val="center"/>
              <w:rPr>
                <w:rFonts w:ascii="Times New Roman" w:hAnsi="Times New Roman" w:cs="Times New Roman"/>
              </w:rPr>
            </w:pPr>
            <w:r>
              <w:rPr>
                <w:rFonts w:ascii="Times New Roman" w:hAnsi="Times New Roman" w:cs="Times New Roman"/>
              </w:rPr>
              <w:t>粉尘</w:t>
            </w:r>
          </w:p>
        </w:tc>
        <w:tc>
          <w:tcPr>
            <w:tcW w:w="2595" w:type="pct"/>
            <w:gridSpan w:val="2"/>
            <w:tcBorders>
              <w:top w:val="single" w:color="auto" w:sz="4" w:space="0"/>
              <w:left w:val="nil"/>
              <w:bottom w:val="single" w:color="auto" w:sz="4" w:space="0"/>
              <w:right w:val="single" w:color="auto" w:sz="12" w:space="0"/>
            </w:tcBorders>
            <w:vAlign w:val="center"/>
          </w:tcPr>
          <w:p>
            <w:pPr>
              <w:jc w:val="center"/>
              <w:rPr>
                <w:sz w:val="24"/>
              </w:rPr>
            </w:pPr>
            <w:r>
              <w:rPr>
                <w:sz w:val="24"/>
              </w:rPr>
              <w:t>0.</w:t>
            </w:r>
            <w:r>
              <w:rPr>
                <w:rFonts w:hint="eastAsia"/>
                <w:sz w:val="24"/>
              </w:rPr>
              <w:t>05</w:t>
            </w:r>
            <w:r>
              <w:rPr>
                <w:sz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651" w:type="pct"/>
            <w:gridSpan w:val="2"/>
            <w:vMerge w:val="restart"/>
            <w:tcBorders>
              <w:top w:val="nil"/>
              <w:left w:val="single" w:color="auto" w:sz="12" w:space="0"/>
              <w:right w:val="single" w:color="auto" w:sz="4" w:space="0"/>
            </w:tcBorders>
            <w:vAlign w:val="center"/>
          </w:tcPr>
          <w:p>
            <w:pPr>
              <w:jc w:val="center"/>
              <w:rPr>
                <w:sz w:val="24"/>
              </w:rPr>
            </w:pPr>
            <w:r>
              <w:rPr>
                <w:sz w:val="24"/>
              </w:rPr>
              <w:t>水污</w:t>
            </w:r>
          </w:p>
          <w:p>
            <w:pPr>
              <w:jc w:val="center"/>
              <w:rPr>
                <w:sz w:val="24"/>
              </w:rPr>
            </w:pPr>
            <w:r>
              <w:rPr>
                <w:sz w:val="24"/>
              </w:rPr>
              <w:t>染物</w:t>
            </w:r>
          </w:p>
        </w:tc>
        <w:tc>
          <w:tcPr>
            <w:tcW w:w="1128" w:type="pct"/>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洗车废水</w:t>
            </w:r>
          </w:p>
        </w:tc>
        <w:tc>
          <w:tcPr>
            <w:tcW w:w="625" w:type="pct"/>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SS</w:t>
            </w:r>
          </w:p>
        </w:tc>
        <w:tc>
          <w:tcPr>
            <w:tcW w:w="1087" w:type="pct"/>
            <w:tcBorders>
              <w:top w:val="single" w:color="auto" w:sz="4" w:space="0"/>
              <w:left w:val="nil"/>
              <w:bottom w:val="single" w:color="auto" w:sz="4" w:space="0"/>
              <w:right w:val="single" w:color="auto" w:sz="4" w:space="0"/>
            </w:tcBorders>
            <w:vAlign w:val="center"/>
          </w:tcPr>
          <w:p>
            <w:pPr>
              <w:jc w:val="center"/>
              <w:rPr>
                <w:rFonts w:hAnsi="宋体"/>
                <w:kern w:val="0"/>
                <w:sz w:val="24"/>
              </w:rPr>
            </w:pPr>
            <w:r>
              <w:rPr>
                <w:rFonts w:hint="eastAsia" w:hAnsi="宋体"/>
                <w:kern w:val="0"/>
                <w:sz w:val="24"/>
              </w:rPr>
              <w:t>废水产生量约729</w:t>
            </w:r>
            <w:r>
              <w:rPr>
                <w:sz w:val="24"/>
              </w:rPr>
              <w:t>m</w:t>
            </w:r>
            <w:r>
              <w:rPr>
                <w:sz w:val="24"/>
                <w:vertAlign w:val="superscript"/>
              </w:rPr>
              <w:t>3</w:t>
            </w:r>
            <w:r>
              <w:rPr>
                <w:sz w:val="24"/>
              </w:rPr>
              <w:t>/</w:t>
            </w:r>
            <w:r>
              <w:rPr>
                <w:rFonts w:hint="eastAsia"/>
                <w:sz w:val="24"/>
              </w:rPr>
              <w:t>a</w:t>
            </w:r>
          </w:p>
        </w:tc>
        <w:tc>
          <w:tcPr>
            <w:tcW w:w="1507" w:type="pct"/>
            <w:tcBorders>
              <w:top w:val="nil"/>
              <w:left w:val="nil"/>
              <w:bottom w:val="single" w:color="auto" w:sz="4" w:space="0"/>
              <w:right w:val="single" w:color="auto" w:sz="12" w:space="0"/>
            </w:tcBorders>
            <w:vAlign w:val="center"/>
          </w:tcPr>
          <w:p>
            <w:pPr>
              <w:jc w:val="center"/>
              <w:rPr>
                <w:sz w:val="24"/>
              </w:rPr>
            </w:pPr>
            <w:r>
              <w:rPr>
                <w:rFonts w:hint="eastAsia"/>
                <w:sz w:val="24"/>
              </w:rPr>
              <w:t>经沉淀后循环回用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651" w:type="pct"/>
            <w:gridSpan w:val="2"/>
            <w:vMerge w:val="continue"/>
            <w:tcBorders>
              <w:left w:val="single" w:color="auto" w:sz="12" w:space="0"/>
              <w:bottom w:val="single" w:color="auto" w:sz="4" w:space="0"/>
              <w:right w:val="single" w:color="auto" w:sz="4" w:space="0"/>
            </w:tcBorders>
            <w:vAlign w:val="center"/>
          </w:tcPr>
          <w:p>
            <w:pPr>
              <w:jc w:val="center"/>
              <w:rPr>
                <w:sz w:val="24"/>
              </w:rPr>
            </w:pPr>
          </w:p>
        </w:tc>
        <w:tc>
          <w:tcPr>
            <w:tcW w:w="1128" w:type="pct"/>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生活污水</w:t>
            </w:r>
          </w:p>
        </w:tc>
        <w:tc>
          <w:tcPr>
            <w:tcW w:w="625" w:type="pct"/>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COD、BOD、氨氮、SS</w:t>
            </w:r>
          </w:p>
        </w:tc>
        <w:tc>
          <w:tcPr>
            <w:tcW w:w="1087" w:type="pct"/>
            <w:tcBorders>
              <w:top w:val="single" w:color="auto" w:sz="4" w:space="0"/>
              <w:left w:val="nil"/>
              <w:bottom w:val="single" w:color="auto" w:sz="4" w:space="0"/>
              <w:right w:val="single" w:color="auto" w:sz="4" w:space="0"/>
            </w:tcBorders>
            <w:vAlign w:val="center"/>
          </w:tcPr>
          <w:p>
            <w:pPr>
              <w:jc w:val="center"/>
              <w:rPr>
                <w:rFonts w:hAnsi="宋体"/>
                <w:kern w:val="0"/>
                <w:sz w:val="24"/>
              </w:rPr>
            </w:pPr>
            <w:r>
              <w:rPr>
                <w:rFonts w:hint="eastAsia"/>
                <w:kern w:val="0"/>
                <w:sz w:val="24"/>
              </w:rPr>
              <w:t>43.2m</w:t>
            </w:r>
            <w:r>
              <w:rPr>
                <w:rFonts w:hint="eastAsia"/>
                <w:kern w:val="0"/>
                <w:sz w:val="24"/>
                <w:vertAlign w:val="superscript"/>
              </w:rPr>
              <w:t>3</w:t>
            </w:r>
            <w:r>
              <w:rPr>
                <w:rFonts w:hint="eastAsia"/>
                <w:kern w:val="0"/>
                <w:sz w:val="24"/>
              </w:rPr>
              <w:t>/a</w:t>
            </w:r>
            <w:bookmarkStart w:id="28" w:name="_GoBack"/>
            <w:bookmarkEnd w:id="28"/>
          </w:p>
        </w:tc>
        <w:tc>
          <w:tcPr>
            <w:tcW w:w="1507" w:type="pct"/>
            <w:tcBorders>
              <w:top w:val="nil"/>
              <w:left w:val="nil"/>
              <w:bottom w:val="single" w:color="auto" w:sz="4" w:space="0"/>
              <w:right w:val="single" w:color="auto" w:sz="12" w:space="0"/>
            </w:tcBorders>
            <w:vAlign w:val="center"/>
          </w:tcPr>
          <w:p>
            <w:pPr>
              <w:jc w:val="center"/>
              <w:rPr>
                <w:sz w:val="24"/>
              </w:rPr>
            </w:pPr>
            <w:r>
              <w:rPr>
                <w:rFonts w:hint="eastAsia"/>
                <w:sz w:val="24"/>
              </w:rPr>
              <w:t>排入旱厕，定期清淘用于周围农田灌溉施肥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58" w:type="pct"/>
            <w:vMerge w:val="restart"/>
            <w:tcBorders>
              <w:top w:val="nil"/>
              <w:left w:val="single" w:color="auto" w:sz="12" w:space="0"/>
              <w:right w:val="single" w:color="auto" w:sz="4" w:space="0"/>
            </w:tcBorders>
            <w:vAlign w:val="center"/>
          </w:tcPr>
          <w:p>
            <w:pPr>
              <w:jc w:val="center"/>
              <w:rPr>
                <w:sz w:val="24"/>
              </w:rPr>
            </w:pPr>
            <w:r>
              <w:rPr>
                <w:sz w:val="24"/>
              </w:rPr>
              <w:t>固体废物</w:t>
            </w:r>
          </w:p>
        </w:tc>
        <w:tc>
          <w:tcPr>
            <w:tcW w:w="392" w:type="pct"/>
            <w:vMerge w:val="restart"/>
            <w:tcBorders>
              <w:top w:val="nil"/>
              <w:left w:val="nil"/>
              <w:bottom w:val="single" w:color="auto" w:sz="4" w:space="0"/>
              <w:right w:val="single" w:color="auto" w:sz="4" w:space="0"/>
            </w:tcBorders>
            <w:vAlign w:val="center"/>
          </w:tcPr>
          <w:p>
            <w:pPr>
              <w:jc w:val="center"/>
              <w:rPr>
                <w:sz w:val="24"/>
              </w:rPr>
            </w:pPr>
            <w:r>
              <w:rPr>
                <w:rFonts w:hint="eastAsia"/>
                <w:sz w:val="24"/>
              </w:rPr>
              <w:t>一般</w:t>
            </w:r>
            <w:r>
              <w:rPr>
                <w:sz w:val="24"/>
              </w:rPr>
              <w:t>固废</w:t>
            </w:r>
          </w:p>
        </w:tc>
        <w:tc>
          <w:tcPr>
            <w:tcW w:w="1128" w:type="pct"/>
            <w:gridSpan w:val="2"/>
            <w:tcBorders>
              <w:top w:val="single" w:color="auto" w:sz="4" w:space="0"/>
              <w:left w:val="nil"/>
              <w:bottom w:val="single" w:color="000000" w:sz="4" w:space="0"/>
              <w:right w:val="single" w:color="auto" w:sz="4" w:space="0"/>
            </w:tcBorders>
            <w:vAlign w:val="center"/>
          </w:tcPr>
          <w:p>
            <w:pPr>
              <w:jc w:val="center"/>
              <w:rPr>
                <w:sz w:val="24"/>
              </w:rPr>
            </w:pPr>
            <w:r>
              <w:rPr>
                <w:sz w:val="24"/>
              </w:rPr>
              <w:t>生活垃圾</w:t>
            </w:r>
          </w:p>
        </w:tc>
        <w:tc>
          <w:tcPr>
            <w:tcW w:w="1713" w:type="pct"/>
            <w:gridSpan w:val="2"/>
            <w:tcBorders>
              <w:top w:val="single" w:color="auto" w:sz="4" w:space="0"/>
              <w:left w:val="nil"/>
              <w:bottom w:val="single" w:color="000000" w:sz="4" w:space="0"/>
              <w:right w:val="single" w:color="auto" w:sz="4" w:space="0"/>
            </w:tcBorders>
            <w:vAlign w:val="center"/>
          </w:tcPr>
          <w:p>
            <w:pPr>
              <w:jc w:val="center"/>
              <w:rPr>
                <w:sz w:val="24"/>
              </w:rPr>
            </w:pPr>
            <w:r>
              <w:rPr>
                <w:rFonts w:hint="eastAsia"/>
                <w:sz w:val="24"/>
              </w:rPr>
              <w:t>0.6</w:t>
            </w:r>
            <w:r>
              <w:rPr>
                <w:sz w:val="24"/>
              </w:rPr>
              <w:t>t/a</w:t>
            </w:r>
          </w:p>
        </w:tc>
        <w:tc>
          <w:tcPr>
            <w:tcW w:w="1507" w:type="pct"/>
            <w:tcBorders>
              <w:top w:val="single" w:color="auto" w:sz="4" w:space="0"/>
              <w:left w:val="nil"/>
              <w:bottom w:val="single" w:color="000000" w:sz="4" w:space="0"/>
              <w:right w:val="single" w:color="auto" w:sz="12" w:space="0"/>
            </w:tcBorders>
            <w:vAlign w:val="center"/>
          </w:tcPr>
          <w:p>
            <w:pPr>
              <w:jc w:val="center"/>
              <w:rPr>
                <w:sz w:val="24"/>
              </w:rPr>
            </w:pPr>
            <w:r>
              <w:rPr>
                <w:sz w:val="24"/>
              </w:rPr>
              <w:t>委托当地的环卫部门统一处理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258" w:type="pct"/>
            <w:vMerge w:val="continue"/>
            <w:tcBorders>
              <w:left w:val="single" w:color="auto" w:sz="12" w:space="0"/>
              <w:right w:val="single" w:color="auto" w:sz="4" w:space="0"/>
            </w:tcBorders>
            <w:vAlign w:val="center"/>
          </w:tcPr>
          <w:p>
            <w:pPr>
              <w:widowControl/>
              <w:jc w:val="left"/>
              <w:rPr>
                <w:sz w:val="24"/>
              </w:rPr>
            </w:pPr>
          </w:p>
        </w:tc>
        <w:tc>
          <w:tcPr>
            <w:tcW w:w="392" w:type="pct"/>
            <w:vMerge w:val="continue"/>
            <w:tcBorders>
              <w:top w:val="nil"/>
              <w:left w:val="nil"/>
              <w:bottom w:val="single" w:color="auto" w:sz="4" w:space="0"/>
              <w:right w:val="single" w:color="auto" w:sz="4" w:space="0"/>
            </w:tcBorders>
            <w:vAlign w:val="center"/>
          </w:tcPr>
          <w:p>
            <w:pPr>
              <w:widowControl/>
              <w:jc w:val="left"/>
              <w:rPr>
                <w:sz w:val="24"/>
              </w:rPr>
            </w:pPr>
          </w:p>
        </w:tc>
        <w:tc>
          <w:tcPr>
            <w:tcW w:w="1128" w:type="pct"/>
            <w:gridSpan w:val="2"/>
            <w:tcBorders>
              <w:top w:val="single" w:color="000000" w:sz="4" w:space="0"/>
              <w:left w:val="nil"/>
              <w:bottom w:val="single" w:color="000000" w:sz="4" w:space="0"/>
              <w:right w:val="single" w:color="auto" w:sz="4" w:space="0"/>
            </w:tcBorders>
            <w:vAlign w:val="center"/>
          </w:tcPr>
          <w:p>
            <w:pPr>
              <w:jc w:val="center"/>
              <w:rPr>
                <w:sz w:val="24"/>
              </w:rPr>
            </w:pPr>
            <w:r>
              <w:rPr>
                <w:sz w:val="24"/>
              </w:rPr>
              <w:t>除尘器</w:t>
            </w:r>
          </w:p>
        </w:tc>
        <w:tc>
          <w:tcPr>
            <w:tcW w:w="625" w:type="pct"/>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rPr>
              <w:t>收尘灰</w:t>
            </w:r>
          </w:p>
        </w:tc>
        <w:tc>
          <w:tcPr>
            <w:tcW w:w="1087" w:type="pct"/>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rPr>
              <w:t>43.8</w:t>
            </w:r>
            <w:r>
              <w:rPr>
                <w:sz w:val="24"/>
              </w:rPr>
              <w:t>t/a</w:t>
            </w:r>
          </w:p>
        </w:tc>
        <w:tc>
          <w:tcPr>
            <w:tcW w:w="1507" w:type="pct"/>
            <w:tcBorders>
              <w:top w:val="single" w:color="000000" w:sz="4" w:space="0"/>
              <w:left w:val="nil"/>
              <w:bottom w:val="single" w:color="000000" w:sz="4" w:space="0"/>
              <w:right w:val="single" w:color="auto" w:sz="12" w:space="0"/>
            </w:tcBorders>
            <w:vAlign w:val="center"/>
          </w:tcPr>
          <w:p>
            <w:pPr>
              <w:jc w:val="center"/>
              <w:rPr>
                <w:sz w:val="24"/>
              </w:rPr>
            </w:pPr>
            <w:r>
              <w:rPr>
                <w:rFonts w:hint="eastAsia"/>
                <w:sz w:val="24"/>
              </w:rPr>
              <w:t>作成品石粉砂外售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258" w:type="pct"/>
            <w:vMerge w:val="continue"/>
            <w:tcBorders>
              <w:left w:val="single" w:color="auto" w:sz="12" w:space="0"/>
              <w:right w:val="single" w:color="auto" w:sz="4" w:space="0"/>
            </w:tcBorders>
            <w:vAlign w:val="center"/>
          </w:tcPr>
          <w:p>
            <w:pPr>
              <w:widowControl/>
              <w:jc w:val="left"/>
              <w:rPr>
                <w:sz w:val="24"/>
              </w:rPr>
            </w:pPr>
          </w:p>
        </w:tc>
        <w:tc>
          <w:tcPr>
            <w:tcW w:w="392" w:type="pct"/>
            <w:vMerge w:val="continue"/>
            <w:tcBorders>
              <w:top w:val="single" w:color="auto" w:sz="4" w:space="0"/>
              <w:left w:val="nil"/>
              <w:bottom w:val="single" w:color="auto" w:sz="4" w:space="0"/>
              <w:right w:val="single" w:color="auto" w:sz="4" w:space="0"/>
            </w:tcBorders>
            <w:vAlign w:val="center"/>
          </w:tcPr>
          <w:p>
            <w:pPr>
              <w:widowControl/>
              <w:jc w:val="left"/>
              <w:rPr>
                <w:sz w:val="24"/>
              </w:rPr>
            </w:pPr>
          </w:p>
        </w:tc>
        <w:tc>
          <w:tcPr>
            <w:tcW w:w="1128" w:type="pct"/>
            <w:gridSpan w:val="2"/>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洗车</w:t>
            </w:r>
            <w:r>
              <w:rPr>
                <w:sz w:val="24"/>
              </w:rPr>
              <w:t>池</w:t>
            </w:r>
          </w:p>
        </w:tc>
        <w:tc>
          <w:tcPr>
            <w:tcW w:w="625" w:type="pct"/>
            <w:tcBorders>
              <w:top w:val="single" w:color="auto" w:sz="4" w:space="0"/>
              <w:left w:val="nil"/>
              <w:bottom w:val="single" w:color="auto" w:sz="4" w:space="0"/>
              <w:right w:val="single" w:color="auto" w:sz="4" w:space="0"/>
            </w:tcBorders>
            <w:vAlign w:val="center"/>
          </w:tcPr>
          <w:p>
            <w:pPr>
              <w:jc w:val="center"/>
              <w:rPr>
                <w:sz w:val="24"/>
              </w:rPr>
            </w:pPr>
            <w:r>
              <w:rPr>
                <w:sz w:val="24"/>
              </w:rPr>
              <w:t>沉渣</w:t>
            </w:r>
          </w:p>
        </w:tc>
        <w:tc>
          <w:tcPr>
            <w:tcW w:w="1087" w:type="pct"/>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2.53t/a</w:t>
            </w:r>
          </w:p>
        </w:tc>
        <w:tc>
          <w:tcPr>
            <w:tcW w:w="1507" w:type="pct"/>
            <w:tcBorders>
              <w:top w:val="single" w:color="auto" w:sz="4" w:space="0"/>
              <w:left w:val="nil"/>
              <w:bottom w:val="single" w:color="auto" w:sz="4" w:space="0"/>
              <w:right w:val="single" w:color="auto" w:sz="12" w:space="0"/>
            </w:tcBorders>
            <w:vAlign w:val="center"/>
          </w:tcPr>
          <w:p>
            <w:pPr>
              <w:jc w:val="center"/>
              <w:rPr>
                <w:sz w:val="24"/>
              </w:rPr>
            </w:pPr>
            <w:r>
              <w:rPr>
                <w:rFonts w:hint="eastAsia"/>
                <w:sz w:val="24"/>
              </w:rPr>
              <w:t>作为原料用于生产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258" w:type="pct"/>
            <w:vMerge w:val="continue"/>
            <w:tcBorders>
              <w:left w:val="single" w:color="auto" w:sz="12" w:space="0"/>
              <w:right w:val="single" w:color="auto" w:sz="4" w:space="0"/>
            </w:tcBorders>
            <w:vAlign w:val="center"/>
          </w:tcPr>
          <w:p>
            <w:pPr>
              <w:widowControl/>
              <w:jc w:val="left"/>
              <w:rPr>
                <w:sz w:val="24"/>
              </w:rPr>
            </w:pPr>
          </w:p>
        </w:tc>
        <w:tc>
          <w:tcPr>
            <w:tcW w:w="392" w:type="pct"/>
            <w:tcBorders>
              <w:top w:val="single" w:color="auto" w:sz="4" w:space="0"/>
              <w:left w:val="nil"/>
              <w:right w:val="single" w:color="auto" w:sz="4" w:space="0"/>
            </w:tcBorders>
            <w:vAlign w:val="center"/>
          </w:tcPr>
          <w:p>
            <w:pPr>
              <w:jc w:val="center"/>
              <w:rPr>
                <w:sz w:val="24"/>
              </w:rPr>
            </w:pPr>
            <w:r>
              <w:rPr>
                <w:rFonts w:hint="eastAsia"/>
                <w:sz w:val="24"/>
              </w:rPr>
              <w:t>危险固废</w:t>
            </w:r>
          </w:p>
        </w:tc>
        <w:tc>
          <w:tcPr>
            <w:tcW w:w="1128" w:type="pct"/>
            <w:gridSpan w:val="2"/>
            <w:tcBorders>
              <w:top w:val="single" w:color="auto" w:sz="4" w:space="0"/>
              <w:left w:val="nil"/>
              <w:right w:val="single" w:color="auto" w:sz="4" w:space="0"/>
            </w:tcBorders>
            <w:vAlign w:val="center"/>
          </w:tcPr>
          <w:p>
            <w:pPr>
              <w:jc w:val="center"/>
              <w:rPr>
                <w:sz w:val="24"/>
              </w:rPr>
            </w:pPr>
            <w:r>
              <w:rPr>
                <w:rFonts w:hint="eastAsia"/>
                <w:sz w:val="24"/>
              </w:rPr>
              <w:t>机械设备</w:t>
            </w:r>
          </w:p>
        </w:tc>
        <w:tc>
          <w:tcPr>
            <w:tcW w:w="625" w:type="pct"/>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废润滑油</w:t>
            </w:r>
          </w:p>
        </w:tc>
        <w:tc>
          <w:tcPr>
            <w:tcW w:w="1087" w:type="pct"/>
            <w:tcBorders>
              <w:top w:val="single" w:color="auto" w:sz="4" w:space="0"/>
              <w:left w:val="nil"/>
              <w:bottom w:val="single" w:color="auto" w:sz="4" w:space="0"/>
              <w:right w:val="single" w:color="auto" w:sz="4" w:space="0"/>
            </w:tcBorders>
            <w:vAlign w:val="center"/>
          </w:tcPr>
          <w:p>
            <w:pPr>
              <w:jc w:val="center"/>
              <w:rPr>
                <w:sz w:val="24"/>
              </w:rPr>
            </w:pPr>
            <w:r>
              <w:rPr>
                <w:sz w:val="24"/>
              </w:rPr>
              <w:t>0.</w:t>
            </w:r>
            <w:r>
              <w:rPr>
                <w:rFonts w:hint="eastAsia"/>
                <w:sz w:val="24"/>
              </w:rPr>
              <w:t>02</w:t>
            </w:r>
            <w:r>
              <w:rPr>
                <w:sz w:val="24"/>
              </w:rPr>
              <w:t>t/a</w:t>
            </w:r>
          </w:p>
        </w:tc>
        <w:tc>
          <w:tcPr>
            <w:tcW w:w="1507" w:type="pct"/>
            <w:tcBorders>
              <w:top w:val="single" w:color="auto" w:sz="4" w:space="0"/>
              <w:left w:val="nil"/>
              <w:right w:val="single" w:color="auto" w:sz="12" w:space="0"/>
            </w:tcBorders>
            <w:vAlign w:val="center"/>
          </w:tcPr>
          <w:p>
            <w:pPr>
              <w:jc w:val="center"/>
              <w:rPr>
                <w:sz w:val="24"/>
              </w:rPr>
            </w:pPr>
            <w:r>
              <w:rPr>
                <w:rFonts w:hint="eastAsia"/>
                <w:sz w:val="24"/>
              </w:rPr>
              <w:t>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7" w:hRule="atLeast"/>
        </w:trPr>
        <w:tc>
          <w:tcPr>
            <w:tcW w:w="651" w:type="pct"/>
            <w:gridSpan w:val="2"/>
            <w:tcBorders>
              <w:top w:val="single" w:color="auto" w:sz="4" w:space="0"/>
              <w:left w:val="single" w:color="auto" w:sz="12" w:space="0"/>
              <w:bottom w:val="single" w:color="auto" w:sz="4" w:space="0"/>
              <w:right w:val="single" w:color="auto" w:sz="4" w:space="0"/>
            </w:tcBorders>
            <w:vAlign w:val="center"/>
          </w:tcPr>
          <w:p>
            <w:pPr>
              <w:pStyle w:val="61"/>
              <w:widowControl w:val="0"/>
              <w:snapToGrid w:val="0"/>
              <w:jc w:val="center"/>
              <w:rPr>
                <w:rFonts w:ascii="Times New Roman" w:hAnsi="Times New Roman" w:cs="Times New Roman"/>
              </w:rPr>
            </w:pPr>
            <w:r>
              <w:rPr>
                <w:rFonts w:ascii="Times New Roman" w:hAnsi="Times New Roman" w:cs="Times New Roman"/>
              </w:rPr>
              <w:t>噪声</w:t>
            </w:r>
          </w:p>
        </w:tc>
        <w:tc>
          <w:tcPr>
            <w:tcW w:w="4348" w:type="pct"/>
            <w:gridSpan w:val="5"/>
            <w:tcBorders>
              <w:top w:val="single" w:color="auto" w:sz="4" w:space="0"/>
              <w:left w:val="nil"/>
              <w:bottom w:val="single" w:color="auto" w:sz="4" w:space="0"/>
              <w:right w:val="single" w:color="auto" w:sz="12" w:space="0"/>
            </w:tcBorders>
            <w:vAlign w:val="center"/>
          </w:tcPr>
          <w:p>
            <w:pPr>
              <w:pStyle w:val="61"/>
              <w:widowControl w:val="0"/>
              <w:spacing w:before="0" w:beforeAutospacing="0" w:after="0" w:afterAutospacing="0" w:line="360" w:lineRule="auto"/>
              <w:jc w:val="center"/>
              <w:rPr>
                <w:rFonts w:ascii="Times New Roman" w:hAnsi="Times New Roman" w:cs="Times New Roman"/>
              </w:rPr>
            </w:pPr>
            <w:bookmarkStart w:id="7" w:name="OLE_LINK2"/>
            <w:r>
              <w:rPr>
                <w:rFonts w:ascii="Times New Roman" w:hAnsi="Times New Roman" w:cs="Times New Roman"/>
              </w:rPr>
              <w:t>选用低噪设备，</w:t>
            </w:r>
            <w:bookmarkEnd w:id="7"/>
            <w:r>
              <w:rPr>
                <w:rFonts w:hint="eastAsia" w:ascii="Times New Roman" w:hAnsi="Times New Roman" w:cs="Times New Roman"/>
              </w:rPr>
              <w:t>并</w:t>
            </w:r>
            <w:r>
              <w:rPr>
                <w:rFonts w:ascii="Times New Roman" w:hAnsi="Times New Roman" w:cs="Times New Roman"/>
              </w:rPr>
              <w:t>采用基础</w:t>
            </w:r>
            <w:r>
              <w:rPr>
                <w:rFonts w:hint="eastAsia" w:ascii="Times New Roman" w:hAnsi="Times New Roman" w:cs="Times New Roman"/>
              </w:rPr>
              <w:t>减振</w:t>
            </w:r>
            <w:r>
              <w:rPr>
                <w:rFonts w:ascii="Times New Roman" w:hAnsi="Times New Roman" w:cs="Times New Roman"/>
              </w:rPr>
              <w:t>，密闭生产车间等措施后，项目运营期间，厂界昼间噪声能够满足《工业企业厂界环境噪声排放标准》（GB12348-2008</w:t>
            </w:r>
            <w:r>
              <w:rPr>
                <w:rFonts w:cs="Times New Roman"/>
              </w:rPr>
              <w:t>）</w:t>
            </w:r>
            <w:r>
              <w:rPr>
                <w:rFonts w:hint="eastAsia" w:ascii="Times New Roman" w:hAnsi="Times New Roman" w:cs="Times New Roman"/>
              </w:rPr>
              <w:t>2</w:t>
            </w:r>
            <w:r>
              <w:rPr>
                <w:rFonts w:ascii="Times New Roman" w:hAnsi="Times New Roman" w:cs="Times New Roman"/>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5000" w:type="pct"/>
            <w:gridSpan w:val="7"/>
            <w:tcBorders>
              <w:top w:val="single" w:color="auto" w:sz="4" w:space="0"/>
              <w:left w:val="single" w:color="auto" w:sz="12" w:space="0"/>
              <w:bottom w:val="single" w:color="auto" w:sz="12" w:space="0"/>
              <w:right w:val="single" w:color="auto" w:sz="12" w:space="0"/>
            </w:tcBorders>
            <w:vAlign w:val="center"/>
          </w:tcPr>
          <w:p>
            <w:pPr>
              <w:spacing w:line="360" w:lineRule="auto"/>
              <w:rPr>
                <w:b/>
                <w:bCs/>
                <w:sz w:val="24"/>
              </w:rPr>
            </w:pPr>
            <w:r>
              <w:rPr>
                <w:b/>
                <w:bCs/>
                <w:sz w:val="24"/>
              </w:rPr>
              <w:t>主要生态影响（不够时可附另页）</w:t>
            </w:r>
          </w:p>
          <w:p>
            <w:pPr>
              <w:spacing w:line="360" w:lineRule="auto"/>
              <w:ind w:firstLine="480" w:firstLineChars="200"/>
              <w:rPr>
                <w:kern w:val="0"/>
                <w:sz w:val="24"/>
              </w:rPr>
            </w:pPr>
            <w:r>
              <w:rPr>
                <w:kern w:val="0"/>
                <w:sz w:val="24"/>
              </w:rPr>
              <w:t>项目所在地为无珍稀动植物。对施工期间造成一定的水土流失，建设单位应尽可能在空地及建筑物周围种植树木，增加植被覆盖率，以便净化空气，降低噪声。</w:t>
            </w:r>
            <w:r>
              <w:rPr>
                <w:rFonts w:hint="eastAsia"/>
                <w:kern w:val="0"/>
                <w:sz w:val="24"/>
              </w:rPr>
              <w:t>且</w:t>
            </w:r>
            <w:r>
              <w:rPr>
                <w:kern w:val="0"/>
                <w:sz w:val="24"/>
              </w:rPr>
              <w:t>项目运营期污染物产生量较少且各项目污染物均有合理的治理措施。因此，该项目的建设对周围生态环境产生破坏和影响较小</w:t>
            </w:r>
            <w:r>
              <w:rPr>
                <w:rFonts w:hint="eastAsia"/>
                <w:kern w:val="0"/>
                <w:sz w:val="24"/>
              </w:rPr>
              <w:t>。</w:t>
            </w:r>
          </w:p>
          <w:p>
            <w:pPr>
              <w:spacing w:line="360" w:lineRule="auto"/>
              <w:ind w:firstLine="420" w:firstLineChars="200"/>
            </w:pPr>
          </w:p>
        </w:tc>
      </w:tr>
    </w:tbl>
    <w:p>
      <w:pPr>
        <w:rPr>
          <w:b/>
          <w:sz w:val="32"/>
          <w:szCs w:val="32"/>
        </w:rPr>
      </w:pPr>
    </w:p>
    <w:p>
      <w:pPr>
        <w:rPr>
          <w:b/>
          <w:sz w:val="32"/>
          <w:szCs w:val="32"/>
        </w:rPr>
      </w:pPr>
      <w:r>
        <w:rPr>
          <w:b/>
          <w:sz w:val="32"/>
          <w:szCs w:val="32"/>
        </w:rPr>
        <w:t>环境影响分析</w:t>
      </w:r>
    </w:p>
    <w:tbl>
      <w:tblPr>
        <w:tblStyle w:val="19"/>
        <w:tblW w:w="928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9" w:hRule="atLeast"/>
        </w:trPr>
        <w:tc>
          <w:tcPr>
            <w:tcW w:w="9286" w:type="dxa"/>
          </w:tcPr>
          <w:p>
            <w:pPr>
              <w:pStyle w:val="33"/>
              <w:numPr>
                <w:ilvl w:val="0"/>
                <w:numId w:val="7"/>
              </w:numPr>
              <w:spacing w:line="360" w:lineRule="auto"/>
              <w:ind w:firstLineChars="0"/>
              <w:rPr>
                <w:b/>
                <w:sz w:val="24"/>
              </w:rPr>
            </w:pPr>
            <w:r>
              <w:rPr>
                <w:b/>
                <w:sz w:val="24"/>
              </w:rPr>
              <w:t>施工期环境影响分析</w:t>
            </w:r>
          </w:p>
          <w:p>
            <w:pPr>
              <w:spacing w:line="360" w:lineRule="auto"/>
              <w:ind w:firstLine="480" w:firstLineChars="200"/>
              <w:rPr>
                <w:b/>
                <w:bCs/>
                <w:sz w:val="24"/>
              </w:rPr>
            </w:pPr>
            <w:r>
              <w:rPr>
                <w:b/>
                <w:bCs/>
                <w:sz w:val="24"/>
              </w:rPr>
              <w:t>1、大气环境影响分析</w:t>
            </w:r>
          </w:p>
          <w:p>
            <w:pPr>
              <w:spacing w:line="360" w:lineRule="auto"/>
              <w:ind w:firstLine="470" w:firstLineChars="196"/>
              <w:rPr>
                <w:bCs/>
                <w:sz w:val="24"/>
              </w:rPr>
            </w:pPr>
            <w:r>
              <w:rPr>
                <w:rFonts w:hint="eastAsia"/>
                <w:bCs/>
                <w:sz w:val="24"/>
              </w:rPr>
              <w:t>（1）扬尘</w:t>
            </w:r>
          </w:p>
          <w:p>
            <w:pPr>
              <w:spacing w:line="360" w:lineRule="auto"/>
              <w:ind w:firstLine="480" w:firstLineChars="200"/>
              <w:rPr>
                <w:sz w:val="24"/>
              </w:rPr>
            </w:pPr>
            <w:r>
              <w:rPr>
                <w:sz w:val="24"/>
              </w:rPr>
              <w:t>本工程施工期大气污染物主要为扬尘，主要是运输车辆行驶时产生的，约占扬尘总量的60%。而扬尘又与车速有关，在相同清洁路面车速越快扬尘量越大，在同样车速下路面越脏扬尘量越大。表</w:t>
            </w:r>
            <w:r>
              <w:rPr>
                <w:rFonts w:hint="eastAsia"/>
                <w:sz w:val="24"/>
              </w:rPr>
              <w:t>19</w:t>
            </w:r>
            <w:r>
              <w:rPr>
                <w:sz w:val="24"/>
              </w:rPr>
              <w:t>为一辆10t卡车，通过1km路面不同行驶速度的扬尘量。</w:t>
            </w:r>
          </w:p>
          <w:p>
            <w:pPr>
              <w:ind w:firstLine="420" w:firstLineChars="200"/>
              <w:jc w:val="center"/>
              <w:textAlignment w:val="baseline"/>
              <w:rPr>
                <w:b/>
                <w:szCs w:val="21"/>
              </w:rPr>
            </w:pPr>
            <w:r>
              <w:rPr>
                <w:b/>
                <w:szCs w:val="21"/>
              </w:rPr>
              <w:t>表</w:t>
            </w:r>
            <w:r>
              <w:rPr>
                <w:rFonts w:hint="eastAsia"/>
                <w:b/>
                <w:szCs w:val="21"/>
              </w:rPr>
              <w:t>19</w:t>
            </w:r>
            <w:r>
              <w:rPr>
                <w:b/>
                <w:szCs w:val="21"/>
              </w:rPr>
              <w:t xml:space="preserve">  不同车速，相同清洁度路面的汽车扬尘（单位：kg/km.辆）</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05"/>
              <w:gridCol w:w="982"/>
              <w:gridCol w:w="1070"/>
              <w:gridCol w:w="1070"/>
              <w:gridCol w:w="1070"/>
              <w:gridCol w:w="1222"/>
              <w:gridCol w:w="12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1330" w:type="pct"/>
                  <w:vAlign w:val="center"/>
                </w:tcPr>
                <w:p>
                  <w:pPr>
                    <w:adjustRightInd w:val="0"/>
                    <w:snapToGrid w:val="0"/>
                    <w:jc w:val="center"/>
                  </w:pPr>
                  <w:r>
                    <mc:AlternateContent>
                      <mc:Choice Requires="wps">
                        <w:drawing>
                          <wp:anchor distT="0" distB="0" distL="114300" distR="114300" simplePos="0" relativeHeight="251648000" behindDoc="0" locked="0" layoutInCell="1" allowOverlap="1">
                            <wp:simplePos x="0" y="0"/>
                            <wp:positionH relativeFrom="column">
                              <wp:posOffset>-59690</wp:posOffset>
                            </wp:positionH>
                            <wp:positionV relativeFrom="paragraph">
                              <wp:posOffset>8890</wp:posOffset>
                            </wp:positionV>
                            <wp:extent cx="1485900" cy="396240"/>
                            <wp:effectExtent l="1270" t="4445" r="17780" b="1841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485900" cy="39624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7pt;margin-top:0.7pt;height:31.2pt;width:117pt;z-index:251648000;mso-width-relative:page;mso-height-relative:page;" filled="f" stroked="t" coordsize="21600,21600" o:gfxdata="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PeDd1gAAAAcBAAAPAAAAAAAAAAEAIAAAACIAAABkcnMvZG93bnJldi54bWxQSwECFAAUAAAA&#10;CACHTuJAAy1vivABAAC9AwAADgAAAAAAAAABACAAAAAlAQAAZHJzL2Uyb0RvYy54bWxQSwUGAAAA&#10;AAYABgBZAQAAhwUAAAAA&#10;">
                            <v:fill on="f" focussize="0,0"/>
                            <v:stroke color="#000000" joinstyle="round"/>
                            <v:imagedata o:title=""/>
                            <o:lock v:ext="edit" aspectratio="f"/>
                          </v:line>
                        </w:pict>
                      </mc:Fallback>
                    </mc:AlternateContent>
                  </w:r>
                  <w:r>
                    <w:t>距离(km)</w:t>
                  </w:r>
                </w:p>
                <w:p>
                  <w:pPr>
                    <w:adjustRightInd w:val="0"/>
                    <w:snapToGrid w:val="0"/>
                  </w:pPr>
                  <w:r>
                    <w:t>车速(km/h)</w:t>
                  </w:r>
                </w:p>
              </w:tc>
              <w:tc>
                <w:tcPr>
                  <w:tcW w:w="543" w:type="pct"/>
                  <w:vAlign w:val="center"/>
                </w:tcPr>
                <w:p>
                  <w:pPr>
                    <w:adjustRightInd w:val="0"/>
                    <w:snapToGrid w:val="0"/>
                    <w:jc w:val="center"/>
                  </w:pPr>
                  <w:r>
                    <w:t>0.1</w:t>
                  </w:r>
                </w:p>
              </w:tc>
              <w:tc>
                <w:tcPr>
                  <w:tcW w:w="592" w:type="pct"/>
                  <w:vAlign w:val="center"/>
                </w:tcPr>
                <w:p>
                  <w:pPr>
                    <w:adjustRightInd w:val="0"/>
                    <w:snapToGrid w:val="0"/>
                    <w:jc w:val="center"/>
                  </w:pPr>
                  <w:r>
                    <w:t>0.2</w:t>
                  </w:r>
                </w:p>
              </w:tc>
              <w:tc>
                <w:tcPr>
                  <w:tcW w:w="592" w:type="pct"/>
                  <w:vAlign w:val="center"/>
                </w:tcPr>
                <w:p>
                  <w:pPr>
                    <w:adjustRightInd w:val="0"/>
                    <w:snapToGrid w:val="0"/>
                    <w:jc w:val="center"/>
                  </w:pPr>
                  <w:r>
                    <w:t>0.3</w:t>
                  </w:r>
                </w:p>
              </w:tc>
              <w:tc>
                <w:tcPr>
                  <w:tcW w:w="592" w:type="pct"/>
                  <w:vAlign w:val="center"/>
                </w:tcPr>
                <w:p>
                  <w:pPr>
                    <w:adjustRightInd w:val="0"/>
                    <w:snapToGrid w:val="0"/>
                    <w:jc w:val="center"/>
                  </w:pPr>
                  <w:r>
                    <w:t>0.4</w:t>
                  </w:r>
                </w:p>
              </w:tc>
              <w:tc>
                <w:tcPr>
                  <w:tcW w:w="676" w:type="pct"/>
                  <w:vAlign w:val="center"/>
                </w:tcPr>
                <w:p>
                  <w:pPr>
                    <w:adjustRightInd w:val="0"/>
                    <w:snapToGrid w:val="0"/>
                    <w:jc w:val="center"/>
                  </w:pPr>
                  <w:r>
                    <w:t>0.5</w:t>
                  </w:r>
                </w:p>
              </w:tc>
              <w:tc>
                <w:tcPr>
                  <w:tcW w:w="676" w:type="pct"/>
                  <w:vAlign w:val="center"/>
                </w:tcPr>
                <w:p>
                  <w:pPr>
                    <w:adjustRightInd w:val="0"/>
                    <w:snapToGrid w:val="0"/>
                    <w:jc w:val="center"/>
                  </w:pPr>
                  <w: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330" w:type="pct"/>
                  <w:vAlign w:val="center"/>
                </w:tcPr>
                <w:p>
                  <w:pPr>
                    <w:adjustRightInd w:val="0"/>
                    <w:snapToGrid w:val="0"/>
                    <w:jc w:val="center"/>
                  </w:pPr>
                  <w:r>
                    <w:t>5</w:t>
                  </w:r>
                </w:p>
              </w:tc>
              <w:tc>
                <w:tcPr>
                  <w:tcW w:w="543" w:type="pct"/>
                  <w:vAlign w:val="center"/>
                </w:tcPr>
                <w:p>
                  <w:pPr>
                    <w:adjustRightInd w:val="0"/>
                    <w:snapToGrid w:val="0"/>
                    <w:jc w:val="center"/>
                  </w:pPr>
                  <w:r>
                    <w:t>0.051</w:t>
                  </w:r>
                </w:p>
              </w:tc>
              <w:tc>
                <w:tcPr>
                  <w:tcW w:w="592" w:type="pct"/>
                  <w:vAlign w:val="center"/>
                </w:tcPr>
                <w:p>
                  <w:pPr>
                    <w:adjustRightInd w:val="0"/>
                    <w:snapToGrid w:val="0"/>
                    <w:jc w:val="center"/>
                  </w:pPr>
                  <w:r>
                    <w:t>0.086</w:t>
                  </w:r>
                </w:p>
              </w:tc>
              <w:tc>
                <w:tcPr>
                  <w:tcW w:w="592" w:type="pct"/>
                  <w:vAlign w:val="center"/>
                </w:tcPr>
                <w:p>
                  <w:pPr>
                    <w:adjustRightInd w:val="0"/>
                    <w:snapToGrid w:val="0"/>
                    <w:jc w:val="center"/>
                  </w:pPr>
                  <w:r>
                    <w:t>0.116</w:t>
                  </w:r>
                </w:p>
              </w:tc>
              <w:tc>
                <w:tcPr>
                  <w:tcW w:w="592" w:type="pct"/>
                  <w:vAlign w:val="center"/>
                </w:tcPr>
                <w:p>
                  <w:pPr>
                    <w:adjustRightInd w:val="0"/>
                    <w:snapToGrid w:val="0"/>
                    <w:jc w:val="center"/>
                  </w:pPr>
                  <w:r>
                    <w:t>0.144</w:t>
                  </w:r>
                </w:p>
              </w:tc>
              <w:tc>
                <w:tcPr>
                  <w:tcW w:w="676" w:type="pct"/>
                  <w:vAlign w:val="center"/>
                </w:tcPr>
                <w:p>
                  <w:pPr>
                    <w:adjustRightInd w:val="0"/>
                    <w:snapToGrid w:val="0"/>
                    <w:jc w:val="center"/>
                  </w:pPr>
                  <w:r>
                    <w:t>0.171</w:t>
                  </w:r>
                </w:p>
              </w:tc>
              <w:tc>
                <w:tcPr>
                  <w:tcW w:w="676" w:type="pct"/>
                  <w:vAlign w:val="center"/>
                </w:tcPr>
                <w:p>
                  <w:pPr>
                    <w:adjustRightInd w:val="0"/>
                    <w:snapToGrid w:val="0"/>
                    <w:jc w:val="center"/>
                  </w:pPr>
                  <w:r>
                    <w:t>0.287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330" w:type="pct"/>
                  <w:vAlign w:val="center"/>
                </w:tcPr>
                <w:p>
                  <w:pPr>
                    <w:adjustRightInd w:val="0"/>
                    <w:snapToGrid w:val="0"/>
                    <w:jc w:val="center"/>
                  </w:pPr>
                  <w:r>
                    <w:t>10</w:t>
                  </w:r>
                </w:p>
              </w:tc>
              <w:tc>
                <w:tcPr>
                  <w:tcW w:w="543" w:type="pct"/>
                  <w:vAlign w:val="center"/>
                </w:tcPr>
                <w:p>
                  <w:pPr>
                    <w:adjustRightInd w:val="0"/>
                    <w:snapToGrid w:val="0"/>
                    <w:jc w:val="center"/>
                  </w:pPr>
                  <w:r>
                    <w:t>0.102</w:t>
                  </w:r>
                </w:p>
              </w:tc>
              <w:tc>
                <w:tcPr>
                  <w:tcW w:w="592" w:type="pct"/>
                  <w:vAlign w:val="center"/>
                </w:tcPr>
                <w:p>
                  <w:pPr>
                    <w:adjustRightInd w:val="0"/>
                    <w:snapToGrid w:val="0"/>
                    <w:jc w:val="center"/>
                  </w:pPr>
                  <w:r>
                    <w:t>0.171</w:t>
                  </w:r>
                </w:p>
              </w:tc>
              <w:tc>
                <w:tcPr>
                  <w:tcW w:w="592" w:type="pct"/>
                  <w:vAlign w:val="center"/>
                </w:tcPr>
                <w:p>
                  <w:pPr>
                    <w:adjustRightInd w:val="0"/>
                    <w:snapToGrid w:val="0"/>
                    <w:jc w:val="center"/>
                  </w:pPr>
                  <w:r>
                    <w:t>0.232</w:t>
                  </w:r>
                </w:p>
              </w:tc>
              <w:tc>
                <w:tcPr>
                  <w:tcW w:w="592" w:type="pct"/>
                  <w:vAlign w:val="center"/>
                </w:tcPr>
                <w:p>
                  <w:pPr>
                    <w:adjustRightInd w:val="0"/>
                    <w:snapToGrid w:val="0"/>
                    <w:jc w:val="center"/>
                  </w:pPr>
                  <w:r>
                    <w:t>0.289</w:t>
                  </w:r>
                </w:p>
              </w:tc>
              <w:tc>
                <w:tcPr>
                  <w:tcW w:w="676" w:type="pct"/>
                  <w:vAlign w:val="center"/>
                </w:tcPr>
                <w:p>
                  <w:pPr>
                    <w:adjustRightInd w:val="0"/>
                    <w:snapToGrid w:val="0"/>
                    <w:jc w:val="center"/>
                  </w:pPr>
                  <w:r>
                    <w:t>0.341</w:t>
                  </w:r>
                </w:p>
              </w:tc>
              <w:tc>
                <w:tcPr>
                  <w:tcW w:w="676" w:type="pct"/>
                  <w:vAlign w:val="center"/>
                </w:tcPr>
                <w:p>
                  <w:pPr>
                    <w:adjustRightInd w:val="0"/>
                    <w:snapToGrid w:val="0"/>
                    <w:jc w:val="center"/>
                  </w:pPr>
                  <w:r>
                    <w:t>0.574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330" w:type="pct"/>
                  <w:vAlign w:val="center"/>
                </w:tcPr>
                <w:p>
                  <w:pPr>
                    <w:adjustRightInd w:val="0"/>
                    <w:snapToGrid w:val="0"/>
                    <w:jc w:val="center"/>
                  </w:pPr>
                  <w:r>
                    <w:t>15</w:t>
                  </w:r>
                </w:p>
              </w:tc>
              <w:tc>
                <w:tcPr>
                  <w:tcW w:w="543" w:type="pct"/>
                  <w:vAlign w:val="center"/>
                </w:tcPr>
                <w:p>
                  <w:pPr>
                    <w:adjustRightInd w:val="0"/>
                    <w:snapToGrid w:val="0"/>
                    <w:jc w:val="center"/>
                  </w:pPr>
                  <w:r>
                    <w:t>0.153</w:t>
                  </w:r>
                </w:p>
              </w:tc>
              <w:tc>
                <w:tcPr>
                  <w:tcW w:w="592" w:type="pct"/>
                  <w:vAlign w:val="center"/>
                </w:tcPr>
                <w:p>
                  <w:pPr>
                    <w:adjustRightInd w:val="0"/>
                    <w:snapToGrid w:val="0"/>
                    <w:jc w:val="center"/>
                  </w:pPr>
                  <w:r>
                    <w:t>0.257</w:t>
                  </w:r>
                </w:p>
              </w:tc>
              <w:tc>
                <w:tcPr>
                  <w:tcW w:w="592" w:type="pct"/>
                  <w:vAlign w:val="center"/>
                </w:tcPr>
                <w:p>
                  <w:pPr>
                    <w:adjustRightInd w:val="0"/>
                    <w:snapToGrid w:val="0"/>
                    <w:jc w:val="center"/>
                  </w:pPr>
                  <w:r>
                    <w:t>0.349</w:t>
                  </w:r>
                </w:p>
              </w:tc>
              <w:tc>
                <w:tcPr>
                  <w:tcW w:w="592" w:type="pct"/>
                  <w:vAlign w:val="center"/>
                </w:tcPr>
                <w:p>
                  <w:pPr>
                    <w:adjustRightInd w:val="0"/>
                    <w:snapToGrid w:val="0"/>
                    <w:jc w:val="center"/>
                  </w:pPr>
                  <w:r>
                    <w:t>0.433</w:t>
                  </w:r>
                </w:p>
              </w:tc>
              <w:tc>
                <w:tcPr>
                  <w:tcW w:w="676" w:type="pct"/>
                  <w:vAlign w:val="center"/>
                </w:tcPr>
                <w:p>
                  <w:pPr>
                    <w:adjustRightInd w:val="0"/>
                    <w:snapToGrid w:val="0"/>
                    <w:jc w:val="center"/>
                  </w:pPr>
                  <w:r>
                    <w:t>0.512</w:t>
                  </w:r>
                </w:p>
              </w:tc>
              <w:tc>
                <w:tcPr>
                  <w:tcW w:w="676" w:type="pct"/>
                  <w:vAlign w:val="center"/>
                </w:tcPr>
                <w:p>
                  <w:pPr>
                    <w:adjustRightInd w:val="0"/>
                    <w:snapToGrid w:val="0"/>
                    <w:jc w:val="center"/>
                  </w:pPr>
                  <w:r>
                    <w:t>0.861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330" w:type="pct"/>
                  <w:vAlign w:val="center"/>
                </w:tcPr>
                <w:p>
                  <w:pPr>
                    <w:adjustRightInd w:val="0"/>
                    <w:snapToGrid w:val="0"/>
                    <w:jc w:val="center"/>
                  </w:pPr>
                  <w:r>
                    <w:t>20</w:t>
                  </w:r>
                </w:p>
              </w:tc>
              <w:tc>
                <w:tcPr>
                  <w:tcW w:w="543" w:type="pct"/>
                  <w:vAlign w:val="center"/>
                </w:tcPr>
                <w:p>
                  <w:pPr>
                    <w:adjustRightInd w:val="0"/>
                    <w:snapToGrid w:val="0"/>
                    <w:jc w:val="center"/>
                  </w:pPr>
                  <w:r>
                    <w:t>0.255</w:t>
                  </w:r>
                </w:p>
              </w:tc>
              <w:tc>
                <w:tcPr>
                  <w:tcW w:w="592" w:type="pct"/>
                  <w:vAlign w:val="center"/>
                </w:tcPr>
                <w:p>
                  <w:pPr>
                    <w:adjustRightInd w:val="0"/>
                    <w:snapToGrid w:val="0"/>
                    <w:jc w:val="center"/>
                  </w:pPr>
                  <w:r>
                    <w:t>0.429</w:t>
                  </w:r>
                </w:p>
              </w:tc>
              <w:tc>
                <w:tcPr>
                  <w:tcW w:w="592" w:type="pct"/>
                  <w:vAlign w:val="center"/>
                </w:tcPr>
                <w:p>
                  <w:pPr>
                    <w:adjustRightInd w:val="0"/>
                    <w:snapToGrid w:val="0"/>
                    <w:jc w:val="center"/>
                  </w:pPr>
                  <w:r>
                    <w:t>0.349</w:t>
                  </w:r>
                </w:p>
              </w:tc>
              <w:tc>
                <w:tcPr>
                  <w:tcW w:w="592" w:type="pct"/>
                  <w:vAlign w:val="center"/>
                </w:tcPr>
                <w:p>
                  <w:pPr>
                    <w:adjustRightInd w:val="0"/>
                    <w:snapToGrid w:val="0"/>
                    <w:jc w:val="center"/>
                  </w:pPr>
                  <w:r>
                    <w:t>0.722</w:t>
                  </w:r>
                </w:p>
              </w:tc>
              <w:tc>
                <w:tcPr>
                  <w:tcW w:w="676" w:type="pct"/>
                  <w:vAlign w:val="center"/>
                </w:tcPr>
                <w:p>
                  <w:pPr>
                    <w:adjustRightInd w:val="0"/>
                    <w:snapToGrid w:val="0"/>
                    <w:jc w:val="center"/>
                  </w:pPr>
                  <w:r>
                    <w:t>0.853</w:t>
                  </w:r>
                </w:p>
              </w:tc>
              <w:tc>
                <w:tcPr>
                  <w:tcW w:w="676" w:type="pct"/>
                  <w:vAlign w:val="center"/>
                </w:tcPr>
                <w:p>
                  <w:pPr>
                    <w:adjustRightInd w:val="0"/>
                    <w:snapToGrid w:val="0"/>
                    <w:jc w:val="center"/>
                  </w:pPr>
                  <w:r>
                    <w:t>1.435</w:t>
                  </w:r>
                </w:p>
              </w:tc>
            </w:tr>
          </w:tbl>
          <w:p>
            <w:pPr>
              <w:spacing w:line="360" w:lineRule="auto"/>
              <w:ind w:firstLine="480" w:firstLineChars="200"/>
              <w:rPr>
                <w:sz w:val="24"/>
              </w:rPr>
            </w:pPr>
            <w:r>
              <w:rPr>
                <w:sz w:val="24"/>
              </w:rPr>
              <w:t>由表</w:t>
            </w:r>
            <w:r>
              <w:rPr>
                <w:rFonts w:hint="eastAsia"/>
                <w:sz w:val="24"/>
              </w:rPr>
              <w:t>19</w:t>
            </w:r>
            <w:r>
              <w:rPr>
                <w:sz w:val="24"/>
              </w:rPr>
              <w:t>可知，车速每增加一倍，扬尘量增加1～2倍。如果施工阶段对车辆行驶路面勤洒水（每天4～5次），可使空气中扬尘量减少70％左右，收到很好的降尘效果。洒水作业的试验资料见表</w:t>
            </w:r>
            <w:r>
              <w:rPr>
                <w:rFonts w:hint="eastAsia"/>
                <w:sz w:val="24"/>
              </w:rPr>
              <w:t>20</w:t>
            </w:r>
            <w:r>
              <w:rPr>
                <w:sz w:val="24"/>
              </w:rPr>
              <w:t>。当施工场地洒水频率为4～5次时，扬尘造成的TSP污染距离可缩小到20～50m范围内，可有效地控制施工扬尘，不会造成较大范围粉尘污染。</w:t>
            </w:r>
          </w:p>
          <w:p>
            <w:pPr>
              <w:ind w:firstLine="420" w:firstLineChars="200"/>
              <w:jc w:val="center"/>
              <w:textAlignment w:val="baseline"/>
              <w:rPr>
                <w:b/>
                <w:szCs w:val="21"/>
              </w:rPr>
            </w:pPr>
            <w:r>
              <w:rPr>
                <w:rFonts w:hint="eastAsia"/>
                <w:b/>
                <w:szCs w:val="21"/>
              </w:rPr>
              <w:t xml:space="preserve">表20 </w:t>
            </w:r>
            <w:r>
              <w:rPr>
                <w:b/>
                <w:szCs w:val="21"/>
              </w:rPr>
              <w:t xml:space="preserve">  施工期使用洒水车降尘试验结果一览表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34"/>
              <w:gridCol w:w="1260"/>
              <w:gridCol w:w="1336"/>
              <w:gridCol w:w="1338"/>
              <w:gridCol w:w="1336"/>
              <w:gridCol w:w="13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jc w:val="center"/>
              </w:trPr>
              <w:tc>
                <w:tcPr>
                  <w:tcW w:w="2043" w:type="pct"/>
                  <w:gridSpan w:val="2"/>
                  <w:vAlign w:val="center"/>
                </w:tcPr>
                <w:p>
                  <w:pPr>
                    <w:adjustRightInd w:val="0"/>
                    <w:snapToGrid w:val="0"/>
                    <w:jc w:val="center"/>
                  </w:pPr>
                  <w:r>
                    <w:t>距路边距离（m）</w:t>
                  </w:r>
                </w:p>
              </w:tc>
              <w:tc>
                <w:tcPr>
                  <w:tcW w:w="739" w:type="pct"/>
                  <w:vAlign w:val="center"/>
                </w:tcPr>
                <w:p>
                  <w:pPr>
                    <w:adjustRightInd w:val="0"/>
                    <w:snapToGrid w:val="0"/>
                    <w:jc w:val="center"/>
                  </w:pPr>
                  <w:r>
                    <w:t>5</w:t>
                  </w:r>
                </w:p>
              </w:tc>
              <w:tc>
                <w:tcPr>
                  <w:tcW w:w="740" w:type="pct"/>
                  <w:vAlign w:val="center"/>
                </w:tcPr>
                <w:p>
                  <w:pPr>
                    <w:adjustRightInd w:val="0"/>
                    <w:snapToGrid w:val="0"/>
                    <w:jc w:val="center"/>
                  </w:pPr>
                  <w:r>
                    <w:t>20</w:t>
                  </w:r>
                </w:p>
              </w:tc>
              <w:tc>
                <w:tcPr>
                  <w:tcW w:w="739" w:type="pct"/>
                  <w:vAlign w:val="center"/>
                </w:tcPr>
                <w:p>
                  <w:pPr>
                    <w:adjustRightInd w:val="0"/>
                    <w:snapToGrid w:val="0"/>
                    <w:jc w:val="center"/>
                  </w:pPr>
                  <w:r>
                    <w:t>50</w:t>
                  </w:r>
                </w:p>
              </w:tc>
              <w:tc>
                <w:tcPr>
                  <w:tcW w:w="739" w:type="pct"/>
                  <w:vAlign w:val="center"/>
                </w:tcPr>
                <w:p>
                  <w:pPr>
                    <w:adjustRightInd w:val="0"/>
                    <w:snapToGrid w:val="0"/>
                    <w:jc w:val="center"/>
                  </w:pPr>
                  <w: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jc w:val="center"/>
              </w:trPr>
              <w:tc>
                <w:tcPr>
                  <w:tcW w:w="1346" w:type="pct"/>
                  <w:vMerge w:val="restart"/>
                  <w:vAlign w:val="center"/>
                </w:tcPr>
                <w:p>
                  <w:pPr>
                    <w:adjustRightInd w:val="0"/>
                    <w:snapToGrid w:val="0"/>
                    <w:jc w:val="center"/>
                  </w:pPr>
                  <w:r>
                    <w:t>TSP小时平均浓度（mg/Nm</w:t>
                  </w:r>
                  <w:r>
                    <w:rPr>
                      <w:vertAlign w:val="superscript"/>
                    </w:rPr>
                    <w:t>3</w:t>
                  </w:r>
                  <w:r>
                    <w:t>）</w:t>
                  </w:r>
                </w:p>
              </w:tc>
              <w:tc>
                <w:tcPr>
                  <w:tcW w:w="697" w:type="pct"/>
                  <w:vAlign w:val="center"/>
                </w:tcPr>
                <w:p>
                  <w:pPr>
                    <w:adjustRightInd w:val="0"/>
                    <w:snapToGrid w:val="0"/>
                    <w:jc w:val="center"/>
                  </w:pPr>
                  <w:r>
                    <w:t>不洒水</w:t>
                  </w:r>
                </w:p>
              </w:tc>
              <w:tc>
                <w:tcPr>
                  <w:tcW w:w="739" w:type="pct"/>
                  <w:vAlign w:val="center"/>
                </w:tcPr>
                <w:p>
                  <w:pPr>
                    <w:adjustRightInd w:val="0"/>
                    <w:snapToGrid w:val="0"/>
                    <w:jc w:val="center"/>
                  </w:pPr>
                  <w:r>
                    <w:t>10.14</w:t>
                  </w:r>
                </w:p>
              </w:tc>
              <w:tc>
                <w:tcPr>
                  <w:tcW w:w="740" w:type="pct"/>
                  <w:vAlign w:val="center"/>
                </w:tcPr>
                <w:p>
                  <w:pPr>
                    <w:adjustRightInd w:val="0"/>
                    <w:snapToGrid w:val="0"/>
                    <w:jc w:val="center"/>
                  </w:pPr>
                  <w:r>
                    <w:t>2.89</w:t>
                  </w:r>
                </w:p>
              </w:tc>
              <w:tc>
                <w:tcPr>
                  <w:tcW w:w="739" w:type="pct"/>
                  <w:vAlign w:val="center"/>
                </w:tcPr>
                <w:p>
                  <w:pPr>
                    <w:adjustRightInd w:val="0"/>
                    <w:snapToGrid w:val="0"/>
                    <w:jc w:val="center"/>
                  </w:pPr>
                  <w:r>
                    <w:t>1.15</w:t>
                  </w:r>
                </w:p>
              </w:tc>
              <w:tc>
                <w:tcPr>
                  <w:tcW w:w="739" w:type="pct"/>
                  <w:vAlign w:val="center"/>
                </w:tcPr>
                <w:p>
                  <w:pPr>
                    <w:adjustRightInd w:val="0"/>
                    <w:snapToGrid w:val="0"/>
                    <w:jc w:val="center"/>
                  </w:pPr>
                  <w:r>
                    <w:t>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jc w:val="center"/>
              </w:trPr>
              <w:tc>
                <w:tcPr>
                  <w:tcW w:w="1346" w:type="pct"/>
                  <w:vMerge w:val="continue"/>
                  <w:vAlign w:val="center"/>
                </w:tcPr>
                <w:p>
                  <w:pPr>
                    <w:adjustRightInd w:val="0"/>
                    <w:snapToGrid w:val="0"/>
                    <w:jc w:val="center"/>
                  </w:pPr>
                </w:p>
              </w:tc>
              <w:tc>
                <w:tcPr>
                  <w:tcW w:w="697" w:type="pct"/>
                  <w:vAlign w:val="center"/>
                </w:tcPr>
                <w:p>
                  <w:pPr>
                    <w:adjustRightInd w:val="0"/>
                    <w:snapToGrid w:val="0"/>
                    <w:jc w:val="center"/>
                  </w:pPr>
                  <w:r>
                    <w:t>洒水</w:t>
                  </w:r>
                </w:p>
              </w:tc>
              <w:tc>
                <w:tcPr>
                  <w:tcW w:w="739" w:type="pct"/>
                  <w:vAlign w:val="center"/>
                </w:tcPr>
                <w:p>
                  <w:pPr>
                    <w:adjustRightInd w:val="0"/>
                    <w:snapToGrid w:val="0"/>
                    <w:jc w:val="center"/>
                  </w:pPr>
                  <w:r>
                    <w:t>2.01</w:t>
                  </w:r>
                </w:p>
              </w:tc>
              <w:tc>
                <w:tcPr>
                  <w:tcW w:w="740" w:type="pct"/>
                  <w:vAlign w:val="center"/>
                </w:tcPr>
                <w:p>
                  <w:pPr>
                    <w:adjustRightInd w:val="0"/>
                    <w:snapToGrid w:val="0"/>
                    <w:jc w:val="center"/>
                  </w:pPr>
                  <w:r>
                    <w:t>1.40</w:t>
                  </w:r>
                </w:p>
              </w:tc>
              <w:tc>
                <w:tcPr>
                  <w:tcW w:w="739" w:type="pct"/>
                  <w:vAlign w:val="center"/>
                </w:tcPr>
                <w:p>
                  <w:pPr>
                    <w:adjustRightInd w:val="0"/>
                    <w:snapToGrid w:val="0"/>
                    <w:jc w:val="center"/>
                  </w:pPr>
                  <w:r>
                    <w:t>0.67</w:t>
                  </w:r>
                </w:p>
              </w:tc>
              <w:tc>
                <w:tcPr>
                  <w:tcW w:w="739" w:type="pct"/>
                  <w:vAlign w:val="center"/>
                </w:tcPr>
                <w:p>
                  <w:pPr>
                    <w:adjustRightInd w:val="0"/>
                    <w:snapToGrid w:val="0"/>
                    <w:jc w:val="center"/>
                  </w:pPr>
                  <w:r>
                    <w:t>0.60</w:t>
                  </w:r>
                </w:p>
              </w:tc>
            </w:tr>
          </w:tbl>
          <w:p>
            <w:pPr>
              <w:spacing w:line="360" w:lineRule="auto"/>
              <w:ind w:firstLine="480" w:firstLineChars="200"/>
              <w:rPr>
                <w:sz w:val="24"/>
              </w:rPr>
            </w:pPr>
            <w:r>
              <w:rPr>
                <w:sz w:val="24"/>
              </w:rPr>
              <w:t>因此，限速行驶及保持路面清洁，同时适当洒水是减少汽车扬尘的有效手段。施工扬尘的另一种情况是露天堆场和裸露场地的风力扬尘。由于施工需要，一些建材露天堆放，一些施工点表层土壤需开挖、堆放，在气候干燥又有风的情况下，会产生扬尘。这类扬尘的主要特点是与风速和尘粒含水率有关，因此，禁止大风天气作业和减少建材的露天堆放、保证一定的含水率是抑制这类扬尘的有效手段。</w:t>
            </w:r>
          </w:p>
          <w:p>
            <w:pPr>
              <w:spacing w:line="360" w:lineRule="auto"/>
              <w:ind w:firstLine="480" w:firstLineChars="200"/>
              <w:rPr>
                <w:sz w:val="24"/>
              </w:rPr>
            </w:pPr>
            <w:r>
              <w:rPr>
                <w:sz w:val="24"/>
              </w:rPr>
              <w:t>（2）施工扬尘防治措施</w:t>
            </w:r>
          </w:p>
          <w:p>
            <w:pPr>
              <w:shd w:val="clear" w:color="auto" w:fill="FFFFFF"/>
              <w:spacing w:line="360" w:lineRule="auto"/>
              <w:ind w:firstLine="480" w:firstLineChars="200"/>
              <w:rPr>
                <w:sz w:val="24"/>
              </w:rPr>
            </w:pPr>
            <w:r>
              <w:rPr>
                <w:sz w:val="24"/>
              </w:rPr>
              <w:t>依照《国务院关于印发大气污染防治行动计划的通知》（国发[2013]37号）、《陕西省大气污染防治条例》（2014.1.1）、陕西省人民政府《陕西省铁腕治霾打赢蓝天保卫战三年行动方案（2018-2020年）》（陕政发[2018]16号）</w:t>
            </w:r>
            <w:r>
              <w:rPr>
                <w:rFonts w:hint="eastAsia"/>
                <w:sz w:val="24"/>
              </w:rPr>
              <w:t>、安康市铁腕治霾打赢蓝天保卫战三年行动方案（2018-2020年）</w:t>
            </w:r>
            <w:r>
              <w:rPr>
                <w:sz w:val="24"/>
              </w:rPr>
              <w:t>（</w:t>
            </w:r>
            <w:r>
              <w:rPr>
                <w:rFonts w:hint="eastAsia"/>
                <w:sz w:val="24"/>
              </w:rPr>
              <w:t>安</w:t>
            </w:r>
            <w:r>
              <w:rPr>
                <w:sz w:val="24"/>
              </w:rPr>
              <w:t>政发[2018]</w:t>
            </w:r>
            <w:r>
              <w:rPr>
                <w:rFonts w:hint="eastAsia"/>
                <w:sz w:val="24"/>
              </w:rPr>
              <w:t>21</w:t>
            </w:r>
            <w:r>
              <w:rPr>
                <w:sz w:val="24"/>
              </w:rPr>
              <w:t>号）要求，评价对项目建设施工过程提出以下具体要求：</w:t>
            </w:r>
          </w:p>
          <w:p>
            <w:pPr>
              <w:spacing w:line="360" w:lineRule="auto"/>
              <w:ind w:firstLine="480" w:firstLineChars="200"/>
              <w:rPr>
                <w:sz w:val="24"/>
              </w:rPr>
            </w:pPr>
            <w:r>
              <w:rPr>
                <w:sz w:val="24"/>
              </w:rPr>
              <w:fldChar w:fldCharType="begin"/>
            </w:r>
            <w:r>
              <w:rPr>
                <w:sz w:val="24"/>
              </w:rPr>
              <w:instrText xml:space="preserve">= 1 \* GB3</w:instrText>
            </w:r>
            <w:r>
              <w:rPr>
                <w:sz w:val="24"/>
              </w:rPr>
              <w:fldChar w:fldCharType="separate"/>
            </w:r>
            <w:r>
              <w:rPr>
                <w:rFonts w:hint="eastAsia" w:ascii="宋体" w:hAnsi="宋体" w:cs="宋体"/>
                <w:sz w:val="24"/>
              </w:rPr>
              <w:t>①</w:t>
            </w:r>
            <w:r>
              <w:rPr>
                <w:sz w:val="24"/>
              </w:rPr>
              <w:fldChar w:fldCharType="end"/>
            </w:r>
            <w:r>
              <w:rPr>
                <w:sz w:val="24"/>
              </w:rPr>
              <w:t>建筑工地场界应设置1.8m以上的硬质围档。</w:t>
            </w:r>
          </w:p>
          <w:p>
            <w:pPr>
              <w:spacing w:line="360" w:lineRule="auto"/>
              <w:ind w:firstLine="480" w:firstLineChars="200"/>
              <w:rPr>
                <w:sz w:val="24"/>
              </w:rPr>
            </w:pPr>
            <w:r>
              <w:rPr>
                <w:sz w:val="24"/>
              </w:rPr>
              <w:fldChar w:fldCharType="begin"/>
            </w:r>
            <w:r>
              <w:rPr>
                <w:sz w:val="24"/>
              </w:rPr>
              <w:instrText xml:space="preserve">= 2 \* GB3</w:instrText>
            </w:r>
            <w:r>
              <w:rPr>
                <w:sz w:val="24"/>
              </w:rPr>
              <w:fldChar w:fldCharType="separate"/>
            </w:r>
            <w:r>
              <w:rPr>
                <w:rFonts w:hint="eastAsia" w:ascii="宋体" w:hAnsi="宋体" w:cs="宋体"/>
                <w:sz w:val="24"/>
              </w:rPr>
              <w:t>②</w:t>
            </w:r>
            <w:r>
              <w:rPr>
                <w:sz w:val="24"/>
              </w:rPr>
              <w:fldChar w:fldCharType="end"/>
            </w:r>
            <w:r>
              <w:rPr>
                <w:sz w:val="24"/>
              </w:rPr>
              <w:t>施工场地可视化，安装视频监控设施监控堆场扬尘。</w:t>
            </w:r>
          </w:p>
          <w:p>
            <w:pPr>
              <w:tabs>
                <w:tab w:val="left" w:leader="middleDot" w:pos="8399"/>
              </w:tabs>
              <w:spacing w:line="360" w:lineRule="auto"/>
              <w:ind w:firstLine="480" w:firstLineChars="200"/>
              <w:rPr>
                <w:bCs/>
                <w:sz w:val="24"/>
              </w:rPr>
            </w:pPr>
            <w:r>
              <w:rPr>
                <w:rFonts w:hint="eastAsia" w:ascii="宋体" w:hAnsi="宋体" w:cs="宋体"/>
                <w:sz w:val="24"/>
              </w:rPr>
              <w:t>③</w:t>
            </w:r>
            <w:r>
              <w:rPr>
                <w:sz w:val="24"/>
              </w:rPr>
              <w:t>遇到干燥、易起尘的土方工程作业时，应辅以洒水压尘，尽量缩短起尘操作时间。四级或四级以上大风天气，应停止土方作业，同时作业处覆以防尘网。</w:t>
            </w:r>
            <w:r>
              <w:rPr>
                <w:bCs/>
                <w:sz w:val="24"/>
              </w:rPr>
              <w:t>施工期间在12月~2月禁止土石方作业。</w:t>
            </w:r>
          </w:p>
          <w:p>
            <w:pPr>
              <w:spacing w:line="360" w:lineRule="auto"/>
              <w:ind w:firstLine="480" w:firstLineChars="200"/>
              <w:rPr>
                <w:sz w:val="24"/>
              </w:rPr>
            </w:pPr>
            <w:r>
              <w:rPr>
                <w:rFonts w:hint="eastAsia" w:ascii="宋体" w:hAnsi="宋体" w:cs="宋体"/>
                <w:sz w:val="24"/>
              </w:rPr>
              <w:t>④</w:t>
            </w:r>
            <w:r>
              <w:rPr>
                <w:sz w:val="24"/>
              </w:rPr>
              <w:t>施工过程中产生的弃土、弃料及其它建筑垃圾，应及时清运。若在工地内堆置超过一周的，则应采取覆盖防尘布、防尘网，定期喷水压尘等措施，防止风蚀起尘及水蚀迁移。</w:t>
            </w:r>
          </w:p>
          <w:p>
            <w:pPr>
              <w:spacing w:line="360" w:lineRule="auto"/>
              <w:ind w:firstLine="480" w:firstLineChars="200"/>
              <w:rPr>
                <w:sz w:val="24"/>
              </w:rPr>
            </w:pPr>
            <w:r>
              <w:rPr>
                <w:rFonts w:hint="eastAsia" w:ascii="宋体" w:hAnsi="宋体" w:cs="宋体"/>
                <w:sz w:val="24"/>
              </w:rPr>
              <w:t>⑤</w:t>
            </w:r>
            <w:r>
              <w:rPr>
                <w:sz w:val="24"/>
              </w:rPr>
              <w:t>设置洗车平台，完善排水设施，防止泥土粘带。车辆驶离工地前，应在洗车平台清洗轮胎及车身，不得带泥上路。同时洗车平台四周应设置废水导流渠、收集池、沉砂池等。</w:t>
            </w:r>
          </w:p>
          <w:p>
            <w:pPr>
              <w:spacing w:line="360" w:lineRule="auto"/>
              <w:ind w:firstLine="480" w:firstLineChars="200"/>
              <w:rPr>
                <w:sz w:val="24"/>
              </w:rPr>
            </w:pPr>
            <w:r>
              <w:rPr>
                <w:rFonts w:hint="eastAsia" w:ascii="宋体" w:hAnsi="宋体" w:cs="宋体"/>
                <w:sz w:val="24"/>
              </w:rPr>
              <w:t>⑥</w:t>
            </w:r>
            <w:r>
              <w:rPr>
                <w:sz w:val="24"/>
              </w:rPr>
              <w:t>运输车辆尽可能采用密闭车斗，并保证物料不遗撒外漏。若无密闭车斗，物料、垃圾、渣土的装载高度不得超过车辆槽帮上沿，车斗应用苫布遮盖严实，保证物料、渣土、垃圾不露出。车辆应按照批准的路线和时间进行运输。</w:t>
            </w:r>
          </w:p>
          <w:p>
            <w:pPr>
              <w:spacing w:line="360" w:lineRule="auto"/>
              <w:ind w:firstLine="480" w:firstLineChars="200"/>
              <w:rPr>
                <w:sz w:val="24"/>
              </w:rPr>
            </w:pPr>
            <w:r>
              <w:rPr>
                <w:rFonts w:hint="eastAsia" w:ascii="宋体" w:hAnsi="宋体" w:cs="宋体"/>
                <w:sz w:val="24"/>
              </w:rPr>
              <w:t>⑦</w:t>
            </w:r>
            <w:r>
              <w:rPr>
                <w:sz w:val="24"/>
              </w:rPr>
              <w:t>施工工地内及工地出口至道路间的车行道路，应保持清洁，可采取铺设钢板、铺设混凝土路面方式，辅以洒水、喷洒抑尘剂，防止机动车扬尘：妥善合理地安排工地建筑材料及其它物件的运输时间，确保周围道路畅通。</w:t>
            </w:r>
          </w:p>
          <w:p>
            <w:pPr>
              <w:spacing w:line="360" w:lineRule="auto"/>
              <w:ind w:firstLine="480" w:firstLineChars="200"/>
              <w:rPr>
                <w:sz w:val="24"/>
              </w:rPr>
            </w:pPr>
            <w:r>
              <w:rPr>
                <w:rFonts w:hint="eastAsia" w:ascii="宋体" w:hAnsi="宋体" w:cs="宋体"/>
                <w:sz w:val="24"/>
              </w:rPr>
              <w:t>⑧</w:t>
            </w:r>
            <w:r>
              <w:rPr>
                <w:sz w:val="24"/>
              </w:rPr>
              <w:t>工地裸地防尘要做到：覆盖防尘布或防尘网、植被绿化、天晴勤洒水、工地建筑结构脚手架外侧设置有效抑尘的密目防尘网或防尘布。</w:t>
            </w:r>
          </w:p>
          <w:p>
            <w:pPr>
              <w:spacing w:line="360" w:lineRule="auto"/>
              <w:ind w:firstLine="480" w:firstLineChars="200"/>
              <w:rPr>
                <w:sz w:val="24"/>
              </w:rPr>
            </w:pPr>
            <w:r>
              <w:rPr>
                <w:rFonts w:hint="eastAsia" w:ascii="宋体" w:hAnsi="宋体" w:cs="宋体"/>
                <w:sz w:val="24"/>
              </w:rPr>
              <w:t>⑨</w:t>
            </w:r>
            <w:r>
              <w:rPr>
                <w:sz w:val="24"/>
              </w:rPr>
              <w:t>建议使用商品混凝土和预拌砂浆，不得现场搅拌、消化石灰及拌石灰土等，应尽量使用成品或半成品石材、木制品，实施装配式施工，减少因切割造成的扬尘。</w:t>
            </w:r>
          </w:p>
          <w:p>
            <w:pPr>
              <w:spacing w:line="480" w:lineRule="exact"/>
              <w:ind w:firstLine="480" w:firstLineChars="200"/>
              <w:rPr>
                <w:sz w:val="24"/>
              </w:rPr>
            </w:pPr>
            <w:r>
              <w:rPr>
                <w:sz w:val="24"/>
              </w:rPr>
              <w:t>综上所述，本项目施工现场采取以上措施后，不会对周围大气环境产生明显不利影响。</w:t>
            </w:r>
          </w:p>
          <w:p>
            <w:pPr>
              <w:spacing w:line="360" w:lineRule="auto"/>
              <w:ind w:firstLine="480" w:firstLineChars="200"/>
              <w:rPr>
                <w:sz w:val="24"/>
              </w:rPr>
            </w:pPr>
            <w:r>
              <w:rPr>
                <w:rFonts w:hint="eastAsia"/>
                <w:sz w:val="24"/>
              </w:rPr>
              <w:t>（2）</w:t>
            </w:r>
            <w:r>
              <w:rPr>
                <w:sz w:val="24"/>
              </w:rPr>
              <w:t>.施工机械废气影响分析</w:t>
            </w:r>
          </w:p>
          <w:p>
            <w:pPr>
              <w:spacing w:line="360" w:lineRule="auto"/>
              <w:ind w:firstLine="480" w:firstLineChars="200"/>
              <w:rPr>
                <w:sz w:val="24"/>
              </w:rPr>
            </w:pPr>
            <w:r>
              <w:rPr>
                <w:sz w:val="24"/>
              </w:rPr>
              <w:t>施工建设期间，废气主要来自施工机械排放废气、各种物料运输车辆排放汽车尾气等，均属于无组织排放。废气中主要污染物为CO、NOx及HC等，间断运行。环评要求：</w:t>
            </w:r>
          </w:p>
          <w:p>
            <w:pPr>
              <w:spacing w:line="360" w:lineRule="auto"/>
              <w:ind w:firstLine="480" w:firstLineChars="200"/>
              <w:rPr>
                <w:kern w:val="0"/>
                <w:sz w:val="24"/>
              </w:rPr>
            </w:pPr>
            <w:r>
              <w:rPr>
                <w:rFonts w:hint="eastAsia" w:ascii="宋体" w:hAnsi="宋体" w:cs="宋体"/>
                <w:sz w:val="24"/>
              </w:rPr>
              <w:t>①</w:t>
            </w:r>
            <w:r>
              <w:rPr>
                <w:kern w:val="0"/>
                <w:sz w:val="24"/>
              </w:rPr>
              <w:t>强化管理，运输车辆要统一调度，尽可能正常装载和行驶，避免出现拥挤，以免在交通不畅通的情况下，引起尾气排放源强的不正常增加而污染周围空气。</w:t>
            </w:r>
          </w:p>
          <w:p>
            <w:pPr>
              <w:spacing w:line="360" w:lineRule="auto"/>
              <w:ind w:firstLine="480" w:firstLineChars="200"/>
              <w:rPr>
                <w:kern w:val="0"/>
                <w:sz w:val="24"/>
              </w:rPr>
            </w:pPr>
            <w:r>
              <w:rPr>
                <w:rFonts w:hint="eastAsia" w:ascii="宋体" w:hAnsi="宋体" w:cs="宋体"/>
                <w:sz w:val="24"/>
              </w:rPr>
              <w:t>②</w:t>
            </w:r>
            <w:r>
              <w:rPr>
                <w:kern w:val="0"/>
                <w:sz w:val="24"/>
              </w:rPr>
              <w:t>加强日常施工机械管理和保养，确保机器运转正常，尾气排放正常（达标）。</w:t>
            </w:r>
          </w:p>
          <w:p>
            <w:pPr>
              <w:spacing w:line="360" w:lineRule="auto"/>
              <w:ind w:firstLine="480" w:firstLineChars="200"/>
            </w:pPr>
            <w:r>
              <w:rPr>
                <w:sz w:val="24"/>
              </w:rPr>
              <w:t>经上述措施后，可减少尾气排放对环境的污染，对环境影响小。</w:t>
            </w:r>
          </w:p>
          <w:p>
            <w:pPr>
              <w:spacing w:line="360" w:lineRule="auto"/>
              <w:ind w:firstLine="470" w:firstLineChars="196"/>
              <w:rPr>
                <w:b/>
                <w:sz w:val="24"/>
              </w:rPr>
            </w:pPr>
            <w:r>
              <w:rPr>
                <w:rFonts w:hint="eastAsia"/>
                <w:b/>
                <w:sz w:val="24"/>
              </w:rPr>
              <w:t xml:space="preserve"> 2、废水影响分析</w:t>
            </w:r>
          </w:p>
          <w:p>
            <w:pPr>
              <w:spacing w:line="360" w:lineRule="auto"/>
              <w:ind w:left="420" w:leftChars="200"/>
              <w:rPr>
                <w:sz w:val="24"/>
              </w:rPr>
            </w:pPr>
            <w:r>
              <w:rPr>
                <w:rFonts w:hint="eastAsia"/>
                <w:sz w:val="24"/>
              </w:rPr>
              <w:t xml:space="preserve"> </w:t>
            </w:r>
            <w:r>
              <w:rPr>
                <w:sz w:val="24"/>
              </w:rPr>
              <w:t>施工期废水主要为生活污水和施工废水。</w:t>
            </w:r>
          </w:p>
          <w:p>
            <w:pPr>
              <w:spacing w:line="360" w:lineRule="auto"/>
              <w:ind w:firstLine="480" w:firstLineChars="200"/>
              <w:rPr>
                <w:sz w:val="24"/>
              </w:rPr>
            </w:pPr>
            <w:r>
              <w:rPr>
                <w:sz w:val="24"/>
              </w:rPr>
              <w:t>（1）生活污水</w:t>
            </w:r>
          </w:p>
          <w:p>
            <w:pPr>
              <w:spacing w:line="360" w:lineRule="auto"/>
              <w:ind w:firstLine="480" w:firstLineChars="200"/>
              <w:rPr>
                <w:sz w:val="24"/>
              </w:rPr>
            </w:pPr>
            <w:r>
              <w:rPr>
                <w:sz w:val="24"/>
              </w:rPr>
              <w:t>施工场地不设置生活</w:t>
            </w:r>
            <w:r>
              <w:rPr>
                <w:rFonts w:hint="eastAsia"/>
                <w:sz w:val="24"/>
              </w:rPr>
              <w:t>营地</w:t>
            </w:r>
            <w:r>
              <w:rPr>
                <w:sz w:val="24"/>
              </w:rPr>
              <w:t>，生活污水仅为少量的杂排水，直接洒水降尘，对环境影响较小。</w:t>
            </w:r>
          </w:p>
          <w:p>
            <w:pPr>
              <w:spacing w:line="360" w:lineRule="auto"/>
              <w:ind w:firstLine="480" w:firstLineChars="200"/>
              <w:rPr>
                <w:sz w:val="24"/>
              </w:rPr>
            </w:pPr>
            <w:r>
              <w:rPr>
                <w:sz w:val="24"/>
              </w:rPr>
              <w:t>（</w:t>
            </w:r>
            <w:r>
              <w:rPr>
                <w:rFonts w:hint="eastAsia"/>
                <w:sz w:val="24"/>
              </w:rPr>
              <w:t>2</w:t>
            </w:r>
            <w:r>
              <w:rPr>
                <w:sz w:val="24"/>
              </w:rPr>
              <w:t>）施工废水</w:t>
            </w:r>
          </w:p>
          <w:p>
            <w:pPr>
              <w:spacing w:line="360" w:lineRule="auto"/>
              <w:ind w:firstLine="480" w:firstLineChars="200"/>
              <w:rPr>
                <w:sz w:val="24"/>
              </w:rPr>
            </w:pPr>
            <w:r>
              <w:rPr>
                <w:sz w:val="24"/>
              </w:rPr>
              <w:t>施工期废水中污染物</w:t>
            </w:r>
            <w:r>
              <w:rPr>
                <w:rFonts w:hint="eastAsia"/>
                <w:sz w:val="24"/>
              </w:rPr>
              <w:t>主要为SS</w:t>
            </w:r>
            <w:r>
              <w:rPr>
                <w:sz w:val="24"/>
              </w:rPr>
              <w:t>，要求设置临时沉淀池，经沉淀后全部回用到</w:t>
            </w:r>
            <w:r>
              <w:rPr>
                <w:rFonts w:hint="eastAsia"/>
                <w:sz w:val="24"/>
              </w:rPr>
              <w:t>于</w:t>
            </w:r>
            <w:r>
              <w:rPr>
                <w:sz w:val="24"/>
              </w:rPr>
              <w:t>场地的洒水抑尘，禁止外排。</w:t>
            </w:r>
          </w:p>
          <w:p>
            <w:pPr>
              <w:spacing w:line="360" w:lineRule="auto"/>
              <w:ind w:firstLine="470" w:firstLineChars="196"/>
              <w:rPr>
                <w:b/>
                <w:sz w:val="24"/>
              </w:rPr>
            </w:pPr>
            <w:r>
              <w:rPr>
                <w:rFonts w:hint="eastAsia"/>
                <w:b/>
                <w:sz w:val="24"/>
              </w:rPr>
              <w:t>3、噪声影响分析</w:t>
            </w:r>
          </w:p>
          <w:p>
            <w:pPr>
              <w:spacing w:line="360" w:lineRule="auto"/>
              <w:ind w:firstLine="480" w:firstLineChars="200"/>
              <w:rPr>
                <w:sz w:val="24"/>
              </w:rPr>
            </w:pPr>
            <w:r>
              <w:rPr>
                <w:sz w:val="24"/>
              </w:rPr>
              <w:t>本工程施工阶段的主要噪声源为挖掘机、混凝土罐车、装载机、轻型载重卡车等，施工机械一般位于露天，噪声传播距离远，影响范围大，是重要的临时性噪声源。</w:t>
            </w:r>
          </w:p>
          <w:p>
            <w:pPr>
              <w:spacing w:line="360" w:lineRule="auto"/>
              <w:ind w:firstLine="480" w:firstLineChars="200"/>
              <w:rPr>
                <w:sz w:val="24"/>
              </w:rPr>
            </w:pPr>
            <w:r>
              <w:rPr>
                <w:sz w:val="24"/>
              </w:rPr>
              <w:t>（1）施工噪声预测计算</w:t>
            </w:r>
          </w:p>
          <w:p>
            <w:pPr>
              <w:spacing w:line="360" w:lineRule="auto"/>
              <w:ind w:firstLine="480" w:firstLineChars="200"/>
              <w:rPr>
                <w:sz w:val="24"/>
              </w:rPr>
            </w:pPr>
            <w:r>
              <w:rPr>
                <w:sz w:val="24"/>
              </w:rPr>
              <w:t>施工机械中除各种运输车辆外，一般可视作固定声源。因此，我们将施工机械噪声作为点声源处理，在不考虑其它因素情况下，施工机械噪声预测模式如下：</w:t>
            </w:r>
          </w:p>
          <w:p>
            <w:pPr>
              <w:spacing w:line="360" w:lineRule="auto"/>
              <w:ind w:firstLine="480" w:firstLineChars="200"/>
              <w:jc w:val="center"/>
              <w:rPr>
                <w:sz w:val="24"/>
                <w:lang w:val="pt-BR"/>
              </w:rPr>
            </w:pPr>
            <w:r>
              <w:rPr>
                <w:rFonts w:ascii="Cambria Math" w:hAnsi="Cambria Math" w:cs="Cambria Math"/>
                <w:sz w:val="24"/>
                <w:lang w:val="pt-BR"/>
              </w:rPr>
              <w:t>△</w:t>
            </w:r>
            <w:r>
              <w:rPr>
                <w:sz w:val="24"/>
                <w:lang w:val="pt-BR"/>
              </w:rPr>
              <w:t>L= L1 - L2  = 20 lg r2/r1    （dB）</w:t>
            </w:r>
          </w:p>
          <w:p>
            <w:pPr>
              <w:spacing w:line="360" w:lineRule="auto"/>
              <w:ind w:firstLine="480" w:firstLineChars="200"/>
              <w:rPr>
                <w:sz w:val="24"/>
              </w:rPr>
            </w:pPr>
            <w:r>
              <w:rPr>
                <w:sz w:val="24"/>
              </w:rPr>
              <w:t>式中：</w:t>
            </w:r>
            <w:r>
              <w:rPr>
                <w:rFonts w:ascii="Cambria Math" w:hAnsi="Cambria Math" w:cs="Cambria Math"/>
                <w:sz w:val="24"/>
              </w:rPr>
              <w:t>△</w:t>
            </w:r>
            <w:r>
              <w:rPr>
                <w:sz w:val="24"/>
              </w:rPr>
              <w:t>L——距离增加产生的噪声衰减值（dB）；</w:t>
            </w:r>
          </w:p>
          <w:p>
            <w:pPr>
              <w:spacing w:line="360" w:lineRule="auto"/>
              <w:ind w:firstLine="480" w:firstLineChars="200"/>
              <w:rPr>
                <w:sz w:val="24"/>
              </w:rPr>
            </w:pPr>
            <w:r>
              <w:rPr>
                <w:sz w:val="24"/>
              </w:rPr>
              <w:t>r1、r2——点声源至受声点的距离（m）；</w:t>
            </w:r>
          </w:p>
          <w:p>
            <w:pPr>
              <w:spacing w:line="360" w:lineRule="auto"/>
              <w:ind w:firstLine="480" w:firstLineChars="200"/>
              <w:rPr>
                <w:sz w:val="24"/>
              </w:rPr>
            </w:pPr>
            <w:r>
              <w:rPr>
                <w:sz w:val="24"/>
              </w:rPr>
              <w:t>L</w:t>
            </w:r>
            <w:r>
              <w:rPr>
                <w:sz w:val="24"/>
                <w:vertAlign w:val="subscript"/>
              </w:rPr>
              <w:t>1</w:t>
            </w:r>
            <w:r>
              <w:rPr>
                <w:sz w:val="24"/>
              </w:rPr>
              <w:t>——距点声源r</w:t>
            </w:r>
            <w:r>
              <w:rPr>
                <w:sz w:val="24"/>
                <w:vertAlign w:val="subscript"/>
              </w:rPr>
              <w:t>1</w:t>
            </w:r>
            <w:r>
              <w:rPr>
                <w:sz w:val="24"/>
              </w:rPr>
              <w:t>处的噪声值（dB）；</w:t>
            </w:r>
          </w:p>
          <w:p>
            <w:pPr>
              <w:spacing w:line="360" w:lineRule="auto"/>
              <w:ind w:firstLine="480" w:firstLineChars="200"/>
              <w:rPr>
                <w:sz w:val="24"/>
              </w:rPr>
            </w:pPr>
            <w:r>
              <w:rPr>
                <w:sz w:val="24"/>
              </w:rPr>
              <w:t>L</w:t>
            </w:r>
            <w:r>
              <w:rPr>
                <w:sz w:val="24"/>
                <w:vertAlign w:val="subscript"/>
              </w:rPr>
              <w:t>2</w:t>
            </w:r>
            <w:r>
              <w:rPr>
                <w:sz w:val="24"/>
              </w:rPr>
              <w:t>——距点声源r</w:t>
            </w:r>
            <w:r>
              <w:rPr>
                <w:sz w:val="24"/>
                <w:vertAlign w:val="subscript"/>
              </w:rPr>
              <w:t>2</w:t>
            </w:r>
            <w:r>
              <w:rPr>
                <w:sz w:val="24"/>
              </w:rPr>
              <w:t>处的噪声值（dB）；</w:t>
            </w:r>
          </w:p>
          <w:p>
            <w:pPr>
              <w:spacing w:line="360" w:lineRule="auto"/>
              <w:ind w:firstLine="480" w:firstLineChars="200"/>
              <w:rPr>
                <w:sz w:val="24"/>
              </w:rPr>
            </w:pPr>
            <w:r>
              <w:rPr>
                <w:sz w:val="24"/>
              </w:rPr>
              <w:t>根据《建筑施工</w:t>
            </w:r>
            <w:bookmarkStart w:id="8" w:name="OLE_LINK14"/>
            <w:bookmarkStart w:id="9" w:name="OLE_LINK13"/>
            <w:r>
              <w:rPr>
                <w:sz w:val="24"/>
              </w:rPr>
              <w:t>厂界环境噪声排放标准</w:t>
            </w:r>
            <w:bookmarkEnd w:id="8"/>
            <w:bookmarkEnd w:id="9"/>
            <w:r>
              <w:rPr>
                <w:sz w:val="24"/>
              </w:rPr>
              <w:t>》（GB12523-2011）的规定，经计算，各施工阶段主要设备噪声级及最大超标范围见下表。</w:t>
            </w:r>
          </w:p>
          <w:p>
            <w:pPr>
              <w:ind w:firstLine="420" w:firstLineChars="200"/>
              <w:jc w:val="center"/>
              <w:rPr>
                <w:b/>
                <w:szCs w:val="21"/>
              </w:rPr>
            </w:pPr>
            <w:r>
              <w:rPr>
                <w:b/>
                <w:szCs w:val="21"/>
              </w:rPr>
              <w:t>表</w:t>
            </w:r>
            <w:r>
              <w:rPr>
                <w:rFonts w:hint="eastAsia"/>
                <w:b/>
                <w:szCs w:val="21"/>
              </w:rPr>
              <w:t>21</w:t>
            </w:r>
            <w:r>
              <w:rPr>
                <w:b/>
                <w:szCs w:val="21"/>
              </w:rPr>
              <w:t xml:space="preserve">  施工机械环境噪声源及噪声影响预测结果表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06"/>
              <w:gridCol w:w="901"/>
              <w:gridCol w:w="814"/>
              <w:gridCol w:w="814"/>
              <w:gridCol w:w="815"/>
              <w:gridCol w:w="814"/>
              <w:gridCol w:w="814"/>
              <w:gridCol w:w="908"/>
              <w:gridCol w:w="841"/>
              <w:gridCol w:w="9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78" w:type="pct"/>
                  <w:vMerge w:val="restart"/>
                </w:tcPr>
                <w:p>
                  <w:pPr>
                    <w:pStyle w:val="36"/>
                    <w:tabs>
                      <w:tab w:val="left" w:pos="6855"/>
                    </w:tabs>
                    <w:rPr>
                      <w:szCs w:val="21"/>
                    </w:rPr>
                  </w:pPr>
                  <w:r>
                    <w:rPr>
                      <w:szCs w:val="21"/>
                    </w:rPr>
                    <w:t>噪声源</w:t>
                  </w:r>
                </w:p>
              </w:tc>
              <w:tc>
                <w:tcPr>
                  <w:tcW w:w="499" w:type="pct"/>
                  <w:vMerge w:val="restart"/>
                </w:tcPr>
                <w:p>
                  <w:pPr>
                    <w:pStyle w:val="36"/>
                    <w:tabs>
                      <w:tab w:val="left" w:pos="6855"/>
                    </w:tabs>
                    <w:rPr>
                      <w:szCs w:val="21"/>
                    </w:rPr>
                  </w:pPr>
                  <w:r>
                    <w:rPr>
                      <w:szCs w:val="21"/>
                    </w:rPr>
                    <w:t>源强</w:t>
                  </w:r>
                </w:p>
                <w:p>
                  <w:pPr>
                    <w:pStyle w:val="36"/>
                    <w:tabs>
                      <w:tab w:val="left" w:pos="6855"/>
                    </w:tabs>
                    <w:rPr>
                      <w:szCs w:val="21"/>
                    </w:rPr>
                  </w:pPr>
                  <w:r>
                    <w:rPr>
                      <w:szCs w:val="21"/>
                    </w:rPr>
                    <w:t>dB(A)</w:t>
                  </w:r>
                </w:p>
              </w:tc>
              <w:tc>
                <w:tcPr>
                  <w:tcW w:w="2753" w:type="pct"/>
                  <w:gridSpan w:val="6"/>
                </w:tcPr>
                <w:p>
                  <w:pPr>
                    <w:pStyle w:val="36"/>
                    <w:tabs>
                      <w:tab w:val="left" w:pos="6855"/>
                    </w:tabs>
                    <w:rPr>
                      <w:szCs w:val="21"/>
                    </w:rPr>
                  </w:pPr>
                  <w:r>
                    <w:rPr>
                      <w:szCs w:val="21"/>
                    </w:rPr>
                    <w:t>至不同距离噪声值dB(A)</w:t>
                  </w:r>
                </w:p>
              </w:tc>
              <w:tc>
                <w:tcPr>
                  <w:tcW w:w="970" w:type="pct"/>
                  <w:gridSpan w:val="2"/>
                </w:tcPr>
                <w:p>
                  <w:pPr>
                    <w:pStyle w:val="36"/>
                    <w:tabs>
                      <w:tab w:val="left" w:pos="6855"/>
                    </w:tabs>
                    <w:rPr>
                      <w:spacing w:val="-20"/>
                      <w:szCs w:val="21"/>
                    </w:rPr>
                  </w:pPr>
                  <w:r>
                    <w:rPr>
                      <w:spacing w:val="-20"/>
                      <w:szCs w:val="21"/>
                    </w:rPr>
                    <w:t>噪声排放标准</w:t>
                  </w:r>
                </w:p>
                <w:p>
                  <w:pPr>
                    <w:pStyle w:val="36"/>
                    <w:tabs>
                      <w:tab w:val="left" w:pos="6855"/>
                    </w:tabs>
                    <w:rPr>
                      <w:szCs w:val="21"/>
                    </w:rPr>
                  </w:pPr>
                  <w:r>
                    <w:rPr>
                      <w:szCs w:val="21"/>
                    </w:rPr>
                    <w:t>GB12523-2011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78" w:type="pct"/>
                  <w:vMerge w:val="continue"/>
                </w:tcPr>
                <w:p>
                  <w:pPr>
                    <w:pStyle w:val="36"/>
                    <w:tabs>
                      <w:tab w:val="left" w:pos="6855"/>
                    </w:tabs>
                    <w:rPr>
                      <w:szCs w:val="21"/>
                    </w:rPr>
                  </w:pPr>
                </w:p>
              </w:tc>
              <w:tc>
                <w:tcPr>
                  <w:tcW w:w="499" w:type="pct"/>
                  <w:vMerge w:val="continue"/>
                </w:tcPr>
                <w:p>
                  <w:pPr>
                    <w:pStyle w:val="36"/>
                    <w:tabs>
                      <w:tab w:val="left" w:pos="6855"/>
                    </w:tabs>
                    <w:rPr>
                      <w:szCs w:val="21"/>
                    </w:rPr>
                  </w:pPr>
                </w:p>
              </w:tc>
              <w:tc>
                <w:tcPr>
                  <w:tcW w:w="450" w:type="pct"/>
                </w:tcPr>
                <w:p>
                  <w:pPr>
                    <w:pStyle w:val="36"/>
                    <w:tabs>
                      <w:tab w:val="left" w:pos="6855"/>
                    </w:tabs>
                    <w:rPr>
                      <w:szCs w:val="21"/>
                    </w:rPr>
                  </w:pPr>
                  <w:r>
                    <w:rPr>
                      <w:szCs w:val="21"/>
                    </w:rPr>
                    <w:t>50m</w:t>
                  </w:r>
                </w:p>
              </w:tc>
              <w:tc>
                <w:tcPr>
                  <w:tcW w:w="450" w:type="pct"/>
                </w:tcPr>
                <w:p>
                  <w:pPr>
                    <w:pStyle w:val="36"/>
                    <w:tabs>
                      <w:tab w:val="left" w:pos="6855"/>
                    </w:tabs>
                    <w:rPr>
                      <w:szCs w:val="21"/>
                    </w:rPr>
                  </w:pPr>
                  <w:r>
                    <w:rPr>
                      <w:szCs w:val="21"/>
                    </w:rPr>
                    <w:t>100m</w:t>
                  </w:r>
                </w:p>
              </w:tc>
              <w:tc>
                <w:tcPr>
                  <w:tcW w:w="451" w:type="pct"/>
                </w:tcPr>
                <w:p>
                  <w:pPr>
                    <w:pStyle w:val="36"/>
                    <w:tabs>
                      <w:tab w:val="left" w:pos="6855"/>
                    </w:tabs>
                    <w:rPr>
                      <w:szCs w:val="21"/>
                    </w:rPr>
                  </w:pPr>
                  <w:r>
                    <w:rPr>
                      <w:szCs w:val="21"/>
                    </w:rPr>
                    <w:t>150m</w:t>
                  </w:r>
                </w:p>
              </w:tc>
              <w:tc>
                <w:tcPr>
                  <w:tcW w:w="450" w:type="pct"/>
                </w:tcPr>
                <w:p>
                  <w:pPr>
                    <w:pStyle w:val="36"/>
                    <w:tabs>
                      <w:tab w:val="left" w:pos="6855"/>
                    </w:tabs>
                    <w:rPr>
                      <w:szCs w:val="21"/>
                    </w:rPr>
                  </w:pPr>
                  <w:r>
                    <w:rPr>
                      <w:szCs w:val="21"/>
                    </w:rPr>
                    <w:t>300m</w:t>
                  </w:r>
                </w:p>
              </w:tc>
              <w:tc>
                <w:tcPr>
                  <w:tcW w:w="450" w:type="pct"/>
                </w:tcPr>
                <w:p>
                  <w:pPr>
                    <w:pStyle w:val="36"/>
                    <w:tabs>
                      <w:tab w:val="left" w:pos="6855"/>
                    </w:tabs>
                    <w:rPr>
                      <w:szCs w:val="21"/>
                    </w:rPr>
                  </w:pPr>
                  <w:r>
                    <w:rPr>
                      <w:szCs w:val="21"/>
                    </w:rPr>
                    <w:t>600m</w:t>
                  </w:r>
                </w:p>
              </w:tc>
              <w:tc>
                <w:tcPr>
                  <w:tcW w:w="501" w:type="pct"/>
                </w:tcPr>
                <w:p>
                  <w:pPr>
                    <w:pStyle w:val="36"/>
                    <w:tabs>
                      <w:tab w:val="left" w:pos="6855"/>
                    </w:tabs>
                    <w:rPr>
                      <w:szCs w:val="21"/>
                    </w:rPr>
                  </w:pPr>
                  <w:r>
                    <w:rPr>
                      <w:szCs w:val="21"/>
                    </w:rPr>
                    <w:t>1000m</w:t>
                  </w:r>
                </w:p>
              </w:tc>
              <w:tc>
                <w:tcPr>
                  <w:tcW w:w="465" w:type="pct"/>
                </w:tcPr>
                <w:p>
                  <w:pPr>
                    <w:pStyle w:val="36"/>
                    <w:tabs>
                      <w:tab w:val="left" w:pos="6855"/>
                    </w:tabs>
                    <w:rPr>
                      <w:szCs w:val="21"/>
                    </w:rPr>
                  </w:pPr>
                  <w:r>
                    <w:rPr>
                      <w:szCs w:val="21"/>
                    </w:rPr>
                    <w:t>昼</w:t>
                  </w:r>
                </w:p>
              </w:tc>
              <w:tc>
                <w:tcPr>
                  <w:tcW w:w="505" w:type="pct"/>
                </w:tcPr>
                <w:p>
                  <w:pPr>
                    <w:pStyle w:val="36"/>
                    <w:tabs>
                      <w:tab w:val="left" w:pos="6855"/>
                    </w:tabs>
                    <w:rPr>
                      <w:szCs w:val="21"/>
                    </w:rPr>
                  </w:pPr>
                  <w:r>
                    <w:rPr>
                      <w:szCs w:val="21"/>
                    </w:rPr>
                    <w:t>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78" w:type="pct"/>
                  <w:vAlign w:val="center"/>
                </w:tcPr>
                <w:p>
                  <w:pPr>
                    <w:jc w:val="center"/>
                    <w:rPr>
                      <w:szCs w:val="21"/>
                    </w:rPr>
                  </w:pPr>
                  <w:r>
                    <w:rPr>
                      <w:szCs w:val="21"/>
                    </w:rPr>
                    <w:t>挖掘机</w:t>
                  </w:r>
                </w:p>
              </w:tc>
              <w:tc>
                <w:tcPr>
                  <w:tcW w:w="499" w:type="pct"/>
                  <w:vAlign w:val="center"/>
                </w:tcPr>
                <w:p>
                  <w:pPr>
                    <w:jc w:val="center"/>
                    <w:rPr>
                      <w:szCs w:val="21"/>
                    </w:rPr>
                  </w:pPr>
                  <w:r>
                    <w:rPr>
                      <w:szCs w:val="21"/>
                    </w:rPr>
                    <w:t>84</w:t>
                  </w:r>
                </w:p>
              </w:tc>
              <w:tc>
                <w:tcPr>
                  <w:tcW w:w="450" w:type="pct"/>
                </w:tcPr>
                <w:p>
                  <w:pPr>
                    <w:pStyle w:val="36"/>
                    <w:tabs>
                      <w:tab w:val="left" w:pos="6855"/>
                    </w:tabs>
                    <w:rPr>
                      <w:szCs w:val="21"/>
                    </w:rPr>
                  </w:pPr>
                  <w:r>
                    <w:rPr>
                      <w:szCs w:val="21"/>
                    </w:rPr>
                    <w:t>64.0</w:t>
                  </w:r>
                </w:p>
              </w:tc>
              <w:tc>
                <w:tcPr>
                  <w:tcW w:w="450" w:type="pct"/>
                </w:tcPr>
                <w:p>
                  <w:pPr>
                    <w:pStyle w:val="36"/>
                    <w:tabs>
                      <w:tab w:val="left" w:pos="6855"/>
                    </w:tabs>
                    <w:rPr>
                      <w:szCs w:val="21"/>
                    </w:rPr>
                  </w:pPr>
                  <w:r>
                    <w:rPr>
                      <w:szCs w:val="21"/>
                    </w:rPr>
                    <w:t>58.0</w:t>
                  </w:r>
                </w:p>
              </w:tc>
              <w:tc>
                <w:tcPr>
                  <w:tcW w:w="451" w:type="pct"/>
                </w:tcPr>
                <w:p>
                  <w:pPr>
                    <w:pStyle w:val="36"/>
                    <w:tabs>
                      <w:tab w:val="left" w:pos="6855"/>
                    </w:tabs>
                    <w:rPr>
                      <w:szCs w:val="21"/>
                    </w:rPr>
                  </w:pPr>
                  <w:r>
                    <w:rPr>
                      <w:szCs w:val="21"/>
                    </w:rPr>
                    <w:t>54.5</w:t>
                  </w:r>
                </w:p>
              </w:tc>
              <w:tc>
                <w:tcPr>
                  <w:tcW w:w="450" w:type="pct"/>
                </w:tcPr>
                <w:p>
                  <w:pPr>
                    <w:pStyle w:val="36"/>
                    <w:tabs>
                      <w:tab w:val="left" w:pos="6855"/>
                    </w:tabs>
                    <w:rPr>
                      <w:szCs w:val="21"/>
                    </w:rPr>
                  </w:pPr>
                  <w:r>
                    <w:rPr>
                      <w:szCs w:val="21"/>
                    </w:rPr>
                    <w:t>48.4</w:t>
                  </w:r>
                </w:p>
              </w:tc>
              <w:tc>
                <w:tcPr>
                  <w:tcW w:w="450" w:type="pct"/>
                </w:tcPr>
                <w:p>
                  <w:pPr>
                    <w:pStyle w:val="36"/>
                    <w:tabs>
                      <w:tab w:val="left" w:pos="6855"/>
                    </w:tabs>
                    <w:rPr>
                      <w:szCs w:val="21"/>
                    </w:rPr>
                  </w:pPr>
                  <w:r>
                    <w:rPr>
                      <w:szCs w:val="21"/>
                    </w:rPr>
                    <w:t>44.0</w:t>
                  </w:r>
                </w:p>
              </w:tc>
              <w:tc>
                <w:tcPr>
                  <w:tcW w:w="501" w:type="pct"/>
                </w:tcPr>
                <w:p>
                  <w:pPr>
                    <w:pStyle w:val="36"/>
                    <w:tabs>
                      <w:tab w:val="left" w:pos="6855"/>
                    </w:tabs>
                    <w:rPr>
                      <w:szCs w:val="21"/>
                    </w:rPr>
                  </w:pPr>
                  <w:r>
                    <w:rPr>
                      <w:szCs w:val="21"/>
                    </w:rPr>
                    <w:t>38.0</w:t>
                  </w:r>
                </w:p>
              </w:tc>
              <w:tc>
                <w:tcPr>
                  <w:tcW w:w="465" w:type="pct"/>
                </w:tcPr>
                <w:p>
                  <w:pPr>
                    <w:pStyle w:val="36"/>
                    <w:tabs>
                      <w:tab w:val="left" w:pos="6855"/>
                    </w:tabs>
                    <w:rPr>
                      <w:bCs/>
                      <w:szCs w:val="21"/>
                    </w:rPr>
                  </w:pPr>
                  <w:r>
                    <w:rPr>
                      <w:bCs/>
                      <w:szCs w:val="21"/>
                    </w:rPr>
                    <w:t>70</w:t>
                  </w:r>
                </w:p>
              </w:tc>
              <w:tc>
                <w:tcPr>
                  <w:tcW w:w="505" w:type="pct"/>
                </w:tcPr>
                <w:p>
                  <w:pPr>
                    <w:pStyle w:val="36"/>
                    <w:tabs>
                      <w:tab w:val="left" w:pos="6855"/>
                    </w:tabs>
                    <w:rPr>
                      <w:bCs/>
                      <w:szCs w:val="21"/>
                    </w:rPr>
                  </w:pPr>
                  <w:r>
                    <w:rPr>
                      <w:bCs/>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78" w:type="pct"/>
                  <w:vAlign w:val="center"/>
                </w:tcPr>
                <w:p>
                  <w:pPr>
                    <w:jc w:val="center"/>
                    <w:rPr>
                      <w:szCs w:val="21"/>
                    </w:rPr>
                  </w:pPr>
                  <w:r>
                    <w:rPr>
                      <w:szCs w:val="21"/>
                    </w:rPr>
                    <w:t>混凝土罐车</w:t>
                  </w:r>
                </w:p>
              </w:tc>
              <w:tc>
                <w:tcPr>
                  <w:tcW w:w="499" w:type="pct"/>
                  <w:vAlign w:val="center"/>
                </w:tcPr>
                <w:p>
                  <w:pPr>
                    <w:jc w:val="center"/>
                    <w:rPr>
                      <w:szCs w:val="21"/>
                    </w:rPr>
                  </w:pPr>
                  <w:r>
                    <w:rPr>
                      <w:szCs w:val="21"/>
                    </w:rPr>
                    <w:t>81</w:t>
                  </w:r>
                </w:p>
              </w:tc>
              <w:tc>
                <w:tcPr>
                  <w:tcW w:w="450" w:type="pct"/>
                </w:tcPr>
                <w:p>
                  <w:pPr>
                    <w:pStyle w:val="36"/>
                    <w:tabs>
                      <w:tab w:val="left" w:pos="6855"/>
                    </w:tabs>
                    <w:rPr>
                      <w:szCs w:val="21"/>
                    </w:rPr>
                  </w:pPr>
                  <w:r>
                    <w:rPr>
                      <w:szCs w:val="21"/>
                    </w:rPr>
                    <w:t>61.0</w:t>
                  </w:r>
                </w:p>
              </w:tc>
              <w:tc>
                <w:tcPr>
                  <w:tcW w:w="450" w:type="pct"/>
                </w:tcPr>
                <w:p>
                  <w:pPr>
                    <w:pStyle w:val="36"/>
                    <w:tabs>
                      <w:tab w:val="left" w:pos="6855"/>
                    </w:tabs>
                    <w:rPr>
                      <w:szCs w:val="21"/>
                    </w:rPr>
                  </w:pPr>
                  <w:r>
                    <w:rPr>
                      <w:szCs w:val="21"/>
                    </w:rPr>
                    <w:t>55.0</w:t>
                  </w:r>
                </w:p>
              </w:tc>
              <w:tc>
                <w:tcPr>
                  <w:tcW w:w="451" w:type="pct"/>
                </w:tcPr>
                <w:p>
                  <w:pPr>
                    <w:pStyle w:val="36"/>
                    <w:tabs>
                      <w:tab w:val="left" w:pos="6855"/>
                    </w:tabs>
                    <w:rPr>
                      <w:szCs w:val="21"/>
                    </w:rPr>
                  </w:pPr>
                  <w:r>
                    <w:rPr>
                      <w:szCs w:val="21"/>
                    </w:rPr>
                    <w:t>51.5</w:t>
                  </w:r>
                </w:p>
              </w:tc>
              <w:tc>
                <w:tcPr>
                  <w:tcW w:w="450" w:type="pct"/>
                </w:tcPr>
                <w:p>
                  <w:pPr>
                    <w:pStyle w:val="36"/>
                    <w:tabs>
                      <w:tab w:val="left" w:pos="6855"/>
                    </w:tabs>
                    <w:rPr>
                      <w:szCs w:val="21"/>
                    </w:rPr>
                  </w:pPr>
                  <w:r>
                    <w:rPr>
                      <w:szCs w:val="21"/>
                    </w:rPr>
                    <w:t>43.4</w:t>
                  </w:r>
                </w:p>
              </w:tc>
              <w:tc>
                <w:tcPr>
                  <w:tcW w:w="450" w:type="pct"/>
                </w:tcPr>
                <w:p>
                  <w:pPr>
                    <w:pStyle w:val="36"/>
                    <w:tabs>
                      <w:tab w:val="left" w:pos="6855"/>
                    </w:tabs>
                    <w:rPr>
                      <w:szCs w:val="21"/>
                    </w:rPr>
                  </w:pPr>
                  <w:r>
                    <w:rPr>
                      <w:szCs w:val="21"/>
                    </w:rPr>
                    <w:t>41.0</w:t>
                  </w:r>
                </w:p>
              </w:tc>
              <w:tc>
                <w:tcPr>
                  <w:tcW w:w="501" w:type="pct"/>
                </w:tcPr>
                <w:p>
                  <w:pPr>
                    <w:pStyle w:val="36"/>
                    <w:tabs>
                      <w:tab w:val="left" w:pos="6855"/>
                    </w:tabs>
                    <w:rPr>
                      <w:szCs w:val="21"/>
                    </w:rPr>
                  </w:pPr>
                  <w:r>
                    <w:rPr>
                      <w:szCs w:val="21"/>
                    </w:rPr>
                    <w:t>33.0</w:t>
                  </w:r>
                </w:p>
              </w:tc>
              <w:tc>
                <w:tcPr>
                  <w:tcW w:w="465" w:type="pct"/>
                </w:tcPr>
                <w:p>
                  <w:pPr>
                    <w:pStyle w:val="36"/>
                    <w:tabs>
                      <w:tab w:val="left" w:pos="6855"/>
                    </w:tabs>
                    <w:rPr>
                      <w:bCs/>
                      <w:szCs w:val="21"/>
                    </w:rPr>
                  </w:pPr>
                  <w:r>
                    <w:rPr>
                      <w:bCs/>
                      <w:szCs w:val="21"/>
                    </w:rPr>
                    <w:t>70</w:t>
                  </w:r>
                </w:p>
              </w:tc>
              <w:tc>
                <w:tcPr>
                  <w:tcW w:w="505" w:type="pct"/>
                </w:tcPr>
                <w:p>
                  <w:pPr>
                    <w:pStyle w:val="36"/>
                    <w:tabs>
                      <w:tab w:val="left" w:pos="6855"/>
                    </w:tabs>
                    <w:rPr>
                      <w:bCs/>
                      <w:szCs w:val="21"/>
                    </w:rPr>
                  </w:pPr>
                  <w:r>
                    <w:rPr>
                      <w:bCs/>
                      <w:szCs w:val="21"/>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78" w:type="pct"/>
                  <w:vAlign w:val="center"/>
                </w:tcPr>
                <w:p>
                  <w:pPr>
                    <w:jc w:val="center"/>
                    <w:rPr>
                      <w:szCs w:val="21"/>
                    </w:rPr>
                  </w:pPr>
                  <w:r>
                    <w:rPr>
                      <w:szCs w:val="21"/>
                    </w:rPr>
                    <w:t>装载机</w:t>
                  </w:r>
                </w:p>
              </w:tc>
              <w:tc>
                <w:tcPr>
                  <w:tcW w:w="499" w:type="pct"/>
                  <w:vAlign w:val="center"/>
                </w:tcPr>
                <w:p>
                  <w:pPr>
                    <w:jc w:val="center"/>
                    <w:rPr>
                      <w:szCs w:val="21"/>
                    </w:rPr>
                  </w:pPr>
                  <w:r>
                    <w:rPr>
                      <w:szCs w:val="21"/>
                    </w:rPr>
                    <w:t>89</w:t>
                  </w:r>
                </w:p>
              </w:tc>
              <w:tc>
                <w:tcPr>
                  <w:tcW w:w="450" w:type="pct"/>
                </w:tcPr>
                <w:p>
                  <w:pPr>
                    <w:pStyle w:val="36"/>
                    <w:tabs>
                      <w:tab w:val="left" w:pos="6855"/>
                    </w:tabs>
                    <w:rPr>
                      <w:szCs w:val="21"/>
                    </w:rPr>
                  </w:pPr>
                  <w:r>
                    <w:rPr>
                      <w:szCs w:val="21"/>
                    </w:rPr>
                    <w:t>69.0</w:t>
                  </w:r>
                </w:p>
              </w:tc>
              <w:tc>
                <w:tcPr>
                  <w:tcW w:w="450" w:type="pct"/>
                </w:tcPr>
                <w:p>
                  <w:pPr>
                    <w:pStyle w:val="36"/>
                    <w:tabs>
                      <w:tab w:val="left" w:pos="6855"/>
                    </w:tabs>
                    <w:rPr>
                      <w:szCs w:val="21"/>
                    </w:rPr>
                  </w:pPr>
                  <w:r>
                    <w:rPr>
                      <w:szCs w:val="21"/>
                    </w:rPr>
                    <w:t>63.0</w:t>
                  </w:r>
                </w:p>
              </w:tc>
              <w:tc>
                <w:tcPr>
                  <w:tcW w:w="451" w:type="pct"/>
                </w:tcPr>
                <w:p>
                  <w:pPr>
                    <w:pStyle w:val="36"/>
                    <w:tabs>
                      <w:tab w:val="left" w:pos="6855"/>
                    </w:tabs>
                    <w:rPr>
                      <w:szCs w:val="21"/>
                    </w:rPr>
                  </w:pPr>
                  <w:r>
                    <w:rPr>
                      <w:szCs w:val="21"/>
                    </w:rPr>
                    <w:t>59.5</w:t>
                  </w:r>
                </w:p>
              </w:tc>
              <w:tc>
                <w:tcPr>
                  <w:tcW w:w="450" w:type="pct"/>
                </w:tcPr>
                <w:p>
                  <w:pPr>
                    <w:pStyle w:val="36"/>
                    <w:tabs>
                      <w:tab w:val="left" w:pos="6855"/>
                    </w:tabs>
                    <w:rPr>
                      <w:szCs w:val="21"/>
                    </w:rPr>
                  </w:pPr>
                  <w:r>
                    <w:rPr>
                      <w:szCs w:val="21"/>
                    </w:rPr>
                    <w:t>53.4</w:t>
                  </w:r>
                </w:p>
              </w:tc>
              <w:tc>
                <w:tcPr>
                  <w:tcW w:w="450" w:type="pct"/>
                </w:tcPr>
                <w:p>
                  <w:pPr>
                    <w:pStyle w:val="36"/>
                    <w:tabs>
                      <w:tab w:val="left" w:pos="6855"/>
                    </w:tabs>
                    <w:rPr>
                      <w:szCs w:val="21"/>
                    </w:rPr>
                  </w:pPr>
                  <w:r>
                    <w:rPr>
                      <w:szCs w:val="21"/>
                    </w:rPr>
                    <w:t>49.0</w:t>
                  </w:r>
                </w:p>
              </w:tc>
              <w:tc>
                <w:tcPr>
                  <w:tcW w:w="501" w:type="pct"/>
                </w:tcPr>
                <w:p>
                  <w:pPr>
                    <w:pStyle w:val="36"/>
                    <w:tabs>
                      <w:tab w:val="left" w:pos="6855"/>
                    </w:tabs>
                    <w:rPr>
                      <w:szCs w:val="21"/>
                    </w:rPr>
                  </w:pPr>
                  <w:r>
                    <w:rPr>
                      <w:szCs w:val="21"/>
                    </w:rPr>
                    <w:t>43.0</w:t>
                  </w:r>
                </w:p>
              </w:tc>
              <w:tc>
                <w:tcPr>
                  <w:tcW w:w="465" w:type="pct"/>
                </w:tcPr>
                <w:p>
                  <w:pPr>
                    <w:pStyle w:val="36"/>
                    <w:tabs>
                      <w:tab w:val="left" w:pos="6855"/>
                    </w:tabs>
                    <w:rPr>
                      <w:bCs/>
                      <w:szCs w:val="21"/>
                    </w:rPr>
                  </w:pPr>
                  <w:r>
                    <w:rPr>
                      <w:bCs/>
                      <w:szCs w:val="21"/>
                    </w:rPr>
                    <w:t>70</w:t>
                  </w:r>
                </w:p>
              </w:tc>
              <w:tc>
                <w:tcPr>
                  <w:tcW w:w="505" w:type="pct"/>
                </w:tcPr>
                <w:p>
                  <w:pPr>
                    <w:pStyle w:val="36"/>
                    <w:tabs>
                      <w:tab w:val="left" w:pos="6855"/>
                    </w:tabs>
                    <w:rPr>
                      <w:bCs/>
                      <w:szCs w:val="21"/>
                    </w:rPr>
                  </w:pPr>
                  <w:r>
                    <w:rPr>
                      <w:bCs/>
                      <w:szCs w:val="21"/>
                    </w:rPr>
                    <w:t>55</w:t>
                  </w:r>
                </w:p>
              </w:tc>
            </w:tr>
          </w:tbl>
          <w:p>
            <w:pPr>
              <w:pStyle w:val="37"/>
              <w:spacing w:line="360" w:lineRule="auto"/>
              <w:rPr>
                <w:rFonts w:cs="Times New Roman"/>
              </w:rPr>
            </w:pPr>
            <w:r>
              <w:rPr>
                <w:rFonts w:cs="Times New Roman"/>
              </w:rPr>
              <w:t>由上表可知，施工机械噪声源昼间最大影响范围在50m内，夜间在300m内。工程应严格控制高噪声设备的运行时段，合理布置高噪设备，严禁夜间施工（夜间22：00~06：00）。施工期噪声影响是暂时的，会随着施工期的结束而消失；</w:t>
            </w:r>
          </w:p>
          <w:p>
            <w:pPr>
              <w:spacing w:line="360" w:lineRule="auto"/>
              <w:ind w:firstLine="480" w:firstLineChars="200"/>
              <w:rPr>
                <w:sz w:val="24"/>
              </w:rPr>
            </w:pPr>
            <w:r>
              <w:rPr>
                <w:sz w:val="24"/>
              </w:rPr>
              <w:t>施工期间运输建筑材料车辆增多，将加重附近道路交通噪声污染。运输车辆噪声级一般在80dB，属间接运行，且运输量有限，加上车辆禁止夜间和午休间鸣笛，因此施工期间运输车辆产生噪声污染是短暂的，不会对沿线居民生活造成大的影响。</w:t>
            </w:r>
          </w:p>
          <w:p>
            <w:pPr>
              <w:spacing w:line="360" w:lineRule="auto"/>
              <w:ind w:firstLine="480" w:firstLineChars="200"/>
              <w:rPr>
                <w:sz w:val="24"/>
              </w:rPr>
            </w:pPr>
            <w:r>
              <w:rPr>
                <w:sz w:val="24"/>
              </w:rPr>
              <w:t>（2）施工期噪声控制要求</w:t>
            </w:r>
          </w:p>
          <w:p>
            <w:pPr>
              <w:spacing w:line="360" w:lineRule="auto"/>
              <w:ind w:firstLine="480" w:firstLineChars="200"/>
              <w:rPr>
                <w:sz w:val="24"/>
              </w:rPr>
            </w:pPr>
            <w:r>
              <w:rPr>
                <w:sz w:val="24"/>
              </w:rPr>
              <w:t>为进一步减小施工期噪声对环境的影响，要求建设单位在本项目施工过程中采取以下噪声控制措施：</w:t>
            </w:r>
          </w:p>
          <w:p>
            <w:pPr>
              <w:spacing w:line="360" w:lineRule="auto"/>
              <w:ind w:firstLine="480" w:firstLineChars="200"/>
              <w:rPr>
                <w:sz w:val="24"/>
              </w:rPr>
            </w:pPr>
            <w:r>
              <w:rPr>
                <w:rFonts w:hint="eastAsia" w:ascii="宋体" w:hAnsi="宋体" w:cs="宋体"/>
                <w:sz w:val="24"/>
              </w:rPr>
              <w:t>①</w:t>
            </w:r>
            <w:r>
              <w:rPr>
                <w:sz w:val="24"/>
              </w:rPr>
              <w:t>合理布置施工场地，安排施工方式，控制环境噪声污染</w:t>
            </w:r>
          </w:p>
          <w:p>
            <w:pPr>
              <w:spacing w:line="360" w:lineRule="auto"/>
              <w:ind w:firstLine="480" w:firstLineChars="200"/>
              <w:rPr>
                <w:sz w:val="24"/>
              </w:rPr>
            </w:pPr>
            <w:r>
              <w:rPr>
                <w:sz w:val="24"/>
              </w:rPr>
              <w:t>a、合理布置施工场地；选用低噪声施工机械，严格限制或禁止使用高噪声设备，推行混凝土灌注桩和静压桩等低噪音新工艺；</w:t>
            </w:r>
          </w:p>
          <w:p>
            <w:pPr>
              <w:spacing w:line="360" w:lineRule="auto"/>
              <w:ind w:firstLine="480" w:firstLineChars="200"/>
              <w:rPr>
                <w:sz w:val="24"/>
              </w:rPr>
            </w:pPr>
            <w:r>
              <w:rPr>
                <w:sz w:val="24"/>
              </w:rPr>
              <w:t>b、要求使用商品混凝土。与施工场地设置混凝土搅拌机相比，商品混凝土具有占地少、施工量小、施工方便、噪声污染小等特点，同时可大大减少建筑材料水泥、沙石的汽车运量，减轻车辆交通噪声影响。</w:t>
            </w:r>
          </w:p>
          <w:p>
            <w:pPr>
              <w:spacing w:line="360" w:lineRule="auto"/>
              <w:ind w:firstLine="480" w:firstLineChars="200"/>
              <w:rPr>
                <w:sz w:val="24"/>
              </w:rPr>
            </w:pPr>
            <w:r>
              <w:rPr>
                <w:rFonts w:hint="eastAsia" w:ascii="宋体" w:hAnsi="宋体" w:cs="宋体"/>
                <w:sz w:val="24"/>
              </w:rPr>
              <w:t>②</w:t>
            </w:r>
            <w:r>
              <w:rPr>
                <w:sz w:val="24"/>
              </w:rPr>
              <w:t>严格操作规程，加强施工机械管理，降低人为噪声影响</w:t>
            </w:r>
          </w:p>
          <w:p>
            <w:pPr>
              <w:spacing w:line="360" w:lineRule="auto"/>
              <w:ind w:firstLine="480" w:firstLineChars="200"/>
              <w:rPr>
                <w:sz w:val="24"/>
              </w:rPr>
            </w:pPr>
            <w:r>
              <w:rPr>
                <w:sz w:val="24"/>
              </w:rPr>
              <w:t>杜绝人为敲打、野蛮装卸现象，规范建筑物料、土石方清运车辆进出工地高速行驶、鸣笛等。</w:t>
            </w:r>
          </w:p>
          <w:p>
            <w:pPr>
              <w:spacing w:line="360" w:lineRule="auto"/>
              <w:ind w:firstLine="480" w:firstLineChars="200"/>
              <w:rPr>
                <w:sz w:val="24"/>
              </w:rPr>
            </w:pPr>
            <w:r>
              <w:rPr>
                <w:rFonts w:hint="eastAsia" w:ascii="宋体" w:hAnsi="宋体" w:cs="宋体"/>
                <w:sz w:val="24"/>
              </w:rPr>
              <w:t>③</w:t>
            </w:r>
            <w:r>
              <w:rPr>
                <w:sz w:val="24"/>
              </w:rPr>
              <w:t>采取有效的隔音、减振、消声措施，降低噪声级</w:t>
            </w:r>
          </w:p>
          <w:p>
            <w:pPr>
              <w:spacing w:line="360" w:lineRule="auto"/>
              <w:ind w:firstLine="480" w:firstLineChars="200"/>
              <w:rPr>
                <w:sz w:val="24"/>
              </w:rPr>
            </w:pPr>
            <w:r>
              <w:rPr>
                <w:sz w:val="24"/>
              </w:rPr>
              <w:t>对位置相对固定的施工机械，应将其设置在专门的工棚内，同时选用低噪声设备，并采取一定的隔声、降噪措施，控制施工机械噪声符合《建筑施工厂界环境噪声排放标准》（GB12523-2011）中表1要求限值，做到施工厂界噪声达标排放。</w:t>
            </w:r>
          </w:p>
          <w:p>
            <w:pPr>
              <w:spacing w:line="360" w:lineRule="auto"/>
              <w:ind w:firstLine="480" w:firstLineChars="200"/>
              <w:rPr>
                <w:sz w:val="24"/>
              </w:rPr>
            </w:pPr>
            <w:r>
              <w:rPr>
                <w:rFonts w:hint="eastAsia" w:ascii="宋体" w:hAnsi="宋体" w:cs="宋体"/>
                <w:sz w:val="24"/>
              </w:rPr>
              <w:t>④</w:t>
            </w:r>
            <w:r>
              <w:rPr>
                <w:sz w:val="24"/>
              </w:rPr>
              <w:t>严格控制施工时间</w:t>
            </w:r>
          </w:p>
          <w:p>
            <w:pPr>
              <w:widowControl/>
              <w:spacing w:line="360" w:lineRule="auto"/>
              <w:ind w:firstLine="480" w:firstLineChars="200"/>
              <w:jc w:val="left"/>
              <w:rPr>
                <w:kern w:val="0"/>
                <w:sz w:val="24"/>
              </w:rPr>
            </w:pPr>
            <w:r>
              <w:rPr>
                <w:kern w:val="0"/>
                <w:sz w:val="24"/>
              </w:rPr>
              <w:t>a.施工及物料运输车辆经过居民区等环境敏感点时限速20km/h行驶，并禁止随意鸣笛。</w:t>
            </w:r>
          </w:p>
          <w:p>
            <w:pPr>
              <w:widowControl/>
              <w:spacing w:line="360" w:lineRule="auto"/>
              <w:ind w:firstLine="480" w:firstLineChars="200"/>
              <w:jc w:val="left"/>
              <w:rPr>
                <w:kern w:val="0"/>
                <w:sz w:val="24"/>
              </w:rPr>
            </w:pPr>
            <w:r>
              <w:rPr>
                <w:kern w:val="0"/>
                <w:sz w:val="24"/>
              </w:rPr>
              <w:t>b.夜间22:00 至次日6:00 禁止进行物料运输。</w:t>
            </w:r>
          </w:p>
          <w:p>
            <w:pPr>
              <w:widowControl/>
              <w:spacing w:line="360" w:lineRule="auto"/>
              <w:ind w:firstLine="480" w:firstLineChars="200"/>
              <w:jc w:val="left"/>
              <w:rPr>
                <w:kern w:val="0"/>
                <w:sz w:val="24"/>
              </w:rPr>
            </w:pPr>
            <w:r>
              <w:rPr>
                <w:kern w:val="0"/>
                <w:sz w:val="24"/>
              </w:rPr>
              <w:t>c.加强道路的养护和车辆的维护保养，降低噪声源。</w:t>
            </w:r>
          </w:p>
          <w:p>
            <w:pPr>
              <w:widowControl/>
              <w:spacing w:line="360" w:lineRule="auto"/>
              <w:ind w:firstLine="480" w:firstLineChars="200"/>
              <w:jc w:val="left"/>
              <w:rPr>
                <w:kern w:val="0"/>
                <w:sz w:val="24"/>
              </w:rPr>
            </w:pPr>
            <w:r>
              <w:rPr>
                <w:kern w:val="0"/>
                <w:sz w:val="24"/>
              </w:rPr>
              <w:t>d.使用的车辆必须符合《汽车定置噪声限值》(GB 16170-1996)和《机动车辆允许噪声标准》（GB 1495-79）要求。</w:t>
            </w:r>
          </w:p>
          <w:p>
            <w:pPr>
              <w:widowControl/>
              <w:spacing w:line="360" w:lineRule="auto"/>
              <w:ind w:firstLine="480" w:firstLineChars="200"/>
              <w:jc w:val="left"/>
              <w:rPr>
                <w:b/>
                <w:bCs/>
                <w:sz w:val="24"/>
              </w:rPr>
            </w:pPr>
            <w:r>
              <w:rPr>
                <w:kern w:val="0"/>
                <w:sz w:val="24"/>
              </w:rPr>
              <w:t>采取上述措施后，施工期对周围环境的噪声影响较小。</w:t>
            </w:r>
          </w:p>
          <w:p>
            <w:pPr>
              <w:pStyle w:val="6"/>
              <w:spacing w:after="0" w:line="360" w:lineRule="auto"/>
              <w:ind w:firstLine="480" w:firstLineChars="200"/>
              <w:rPr>
                <w:b/>
                <w:bCs/>
                <w:sz w:val="24"/>
              </w:rPr>
            </w:pPr>
            <w:r>
              <w:rPr>
                <w:b/>
                <w:bCs/>
                <w:sz w:val="24"/>
              </w:rPr>
              <w:t>4、固废环境影响分析</w:t>
            </w:r>
          </w:p>
          <w:p>
            <w:pPr>
              <w:pStyle w:val="6"/>
              <w:spacing w:after="0" w:line="360" w:lineRule="auto"/>
              <w:ind w:firstLine="480" w:firstLineChars="200"/>
              <w:rPr>
                <w:sz w:val="24"/>
              </w:rPr>
            </w:pPr>
            <w:r>
              <w:rPr>
                <w:sz w:val="24"/>
              </w:rPr>
              <w:t>项目施工期的固体废弃物主要包括建筑垃圾</w:t>
            </w:r>
            <w:r>
              <w:rPr>
                <w:rFonts w:hint="eastAsia"/>
                <w:sz w:val="24"/>
              </w:rPr>
              <w:t>及</w:t>
            </w:r>
            <w:r>
              <w:rPr>
                <w:sz w:val="24"/>
              </w:rPr>
              <w:t>建筑土石方。</w:t>
            </w:r>
          </w:p>
          <w:p>
            <w:pPr>
              <w:pStyle w:val="6"/>
              <w:spacing w:after="0" w:line="360" w:lineRule="auto"/>
              <w:ind w:firstLine="480" w:firstLineChars="200"/>
              <w:rPr>
                <w:sz w:val="24"/>
              </w:rPr>
            </w:pPr>
            <w:r>
              <w:rPr>
                <w:sz w:val="24"/>
              </w:rPr>
              <w:t>（1）施工建筑垃圾</w:t>
            </w:r>
          </w:p>
          <w:p>
            <w:pPr>
              <w:pStyle w:val="6"/>
              <w:spacing w:after="0" w:line="360" w:lineRule="auto"/>
              <w:ind w:firstLine="480" w:firstLineChars="200"/>
              <w:rPr>
                <w:sz w:val="24"/>
              </w:rPr>
            </w:pPr>
            <w:r>
              <w:rPr>
                <w:sz w:val="24"/>
              </w:rPr>
              <w:t>经计算，施工期建筑垃圾产生量为</w:t>
            </w:r>
            <w:r>
              <w:rPr>
                <w:rFonts w:hint="eastAsia"/>
                <w:sz w:val="24"/>
              </w:rPr>
              <w:t>61.83</w:t>
            </w:r>
            <w:r>
              <w:rPr>
                <w:sz w:val="24"/>
              </w:rPr>
              <w:t>t。建筑垃圾主要成分为建筑碎片、废水泥、石子、泥土等，绝大部分为无害物，可以按当地建设部门或环卫部门规定收集外运处置，不得随意抛弃、转移和扩散，按规定处理后不会对周边环境产生较大影响。</w:t>
            </w:r>
          </w:p>
          <w:p>
            <w:pPr>
              <w:pStyle w:val="6"/>
              <w:spacing w:after="0" w:line="360" w:lineRule="auto"/>
              <w:ind w:firstLine="480" w:firstLineChars="200"/>
              <w:rPr>
                <w:sz w:val="24"/>
              </w:rPr>
            </w:pPr>
            <w:r>
              <w:rPr>
                <w:sz w:val="24"/>
              </w:rPr>
              <w:t>（2）建筑土石方</w:t>
            </w:r>
          </w:p>
          <w:p>
            <w:pPr>
              <w:pStyle w:val="6"/>
              <w:spacing w:after="0" w:line="360" w:lineRule="auto"/>
              <w:ind w:firstLine="480" w:firstLineChars="200"/>
              <w:rPr>
                <w:sz w:val="24"/>
              </w:rPr>
            </w:pPr>
            <w:r>
              <w:rPr>
                <w:sz w:val="24"/>
              </w:rPr>
              <w:t>本项目开挖产生的土方量主要用于项目区场地垫层、地基以及道路等，开挖土方均可全部回填于厂区。因此，本项目无弃土产生。</w:t>
            </w:r>
          </w:p>
          <w:p>
            <w:pPr>
              <w:pStyle w:val="6"/>
              <w:spacing w:after="0" w:line="360" w:lineRule="auto"/>
              <w:ind w:firstLine="480" w:firstLineChars="200"/>
              <w:rPr>
                <w:sz w:val="24"/>
              </w:rPr>
            </w:pPr>
            <w:r>
              <w:rPr>
                <w:sz w:val="24"/>
              </w:rPr>
              <w:t>环评要求：①合理安排挖掘的土石方路边临时堆放场地，在有风天气加强遮盖防尘布，减少风力扬尘，注意场内小环境的挖填方平衡，以减少因土石方临时堆放的不合理占地而影响施工进程等；②对路边临时堆土场地应加强管理，经常清扫并洒水抑尘，在临时堆土场地周边适当修建排水渠，防止雨天或暴雨冲刷引起局部的水土流失。在雨天土堆需提前覆盖防水布，将雨水引至排水渠，从而减少对土堆的浸泡侵蚀。</w:t>
            </w:r>
          </w:p>
          <w:p>
            <w:pPr>
              <w:spacing w:line="360" w:lineRule="auto"/>
              <w:ind w:firstLine="480" w:firstLineChars="200"/>
              <w:rPr>
                <w:sz w:val="24"/>
              </w:rPr>
            </w:pPr>
            <w:r>
              <w:rPr>
                <w:sz w:val="24"/>
              </w:rPr>
              <w:t>因此，在采取建议措施后，项目施工期固体废物对周围环境影响较小。</w:t>
            </w:r>
          </w:p>
          <w:p>
            <w:pPr>
              <w:numPr>
                <w:ilvl w:val="0"/>
                <w:numId w:val="8"/>
              </w:numPr>
              <w:spacing w:line="360" w:lineRule="auto"/>
              <w:ind w:firstLine="470" w:firstLineChars="196"/>
              <w:rPr>
                <w:b/>
                <w:sz w:val="24"/>
              </w:rPr>
            </w:pPr>
            <w:r>
              <w:rPr>
                <w:b/>
                <w:sz w:val="24"/>
              </w:rPr>
              <w:t>营运期环境影响分析</w:t>
            </w:r>
          </w:p>
          <w:p>
            <w:pPr>
              <w:spacing w:line="360" w:lineRule="auto"/>
              <w:ind w:firstLine="470" w:firstLineChars="196"/>
              <w:rPr>
                <w:b/>
                <w:sz w:val="24"/>
              </w:rPr>
            </w:pPr>
            <w:r>
              <w:rPr>
                <w:b/>
                <w:sz w:val="24"/>
              </w:rPr>
              <w:t>1、大气环境影响分析</w:t>
            </w:r>
          </w:p>
          <w:p>
            <w:pPr>
              <w:spacing w:line="360" w:lineRule="auto"/>
              <w:ind w:firstLine="480" w:firstLineChars="200"/>
              <w:rPr>
                <w:sz w:val="24"/>
              </w:rPr>
            </w:pPr>
            <w:r>
              <w:rPr>
                <w:sz w:val="24"/>
              </w:rPr>
              <w:t>根据工程分析本项目废气主要来源于原料装卸粉尘，</w:t>
            </w:r>
            <w:r>
              <w:rPr>
                <w:rFonts w:hint="eastAsia"/>
                <w:sz w:val="24"/>
              </w:rPr>
              <w:t>投料粉尘，</w:t>
            </w:r>
            <w:r>
              <w:rPr>
                <w:sz w:val="24"/>
              </w:rPr>
              <w:t>破碎、筛分时粉尘，</w:t>
            </w:r>
            <w:r>
              <w:rPr>
                <w:rFonts w:hint="eastAsia"/>
                <w:sz w:val="24"/>
              </w:rPr>
              <w:t>堆场粉尘，输送粉尘及</w:t>
            </w:r>
            <w:r>
              <w:rPr>
                <w:sz w:val="24"/>
              </w:rPr>
              <w:t>交通运输扬尘</w:t>
            </w:r>
            <w:r>
              <w:rPr>
                <w:rFonts w:hint="eastAsia"/>
                <w:sz w:val="24"/>
              </w:rPr>
              <w:t>。</w:t>
            </w:r>
          </w:p>
          <w:p>
            <w:pPr>
              <w:spacing w:line="360" w:lineRule="auto"/>
              <w:ind w:firstLine="480" w:firstLineChars="200"/>
              <w:rPr>
                <w:sz w:val="24"/>
              </w:rPr>
            </w:pPr>
            <w:r>
              <w:rPr>
                <w:sz w:val="24"/>
              </w:rPr>
              <w:t>本评价根据《环境影响评价技术导则 大气环境》(HJ2.2-2018)推荐的估算模式(AERSCREEN模型)预测本项目废气排放对环境的影响情况。</w:t>
            </w:r>
          </w:p>
          <w:p>
            <w:pPr>
              <w:spacing w:line="360" w:lineRule="auto"/>
              <w:ind w:firstLine="480" w:firstLineChars="200"/>
              <w:rPr>
                <w:sz w:val="24"/>
              </w:rPr>
            </w:pPr>
            <w:r>
              <w:rPr>
                <w:sz w:val="24"/>
              </w:rPr>
              <w:t>（1）预测参数及内容</w:t>
            </w:r>
          </w:p>
          <w:p>
            <w:pPr>
              <w:spacing w:line="360" w:lineRule="auto"/>
              <w:ind w:firstLine="480" w:firstLineChars="200"/>
              <w:rPr>
                <w:rFonts w:eastAsia="黑体"/>
              </w:rPr>
            </w:pP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估算模型参数</w:t>
            </w:r>
          </w:p>
          <w:p>
            <w:pPr>
              <w:pStyle w:val="43"/>
              <w:adjustRightInd w:val="0"/>
              <w:snapToGrid w:val="0"/>
              <w:spacing w:line="240" w:lineRule="auto"/>
              <w:ind w:firstLine="0" w:firstLineChars="0"/>
              <w:jc w:val="center"/>
              <w:rPr>
                <w:rFonts w:ascii="Times New Roman" w:hAnsi="Times New Roman"/>
                <w:b/>
                <w:sz w:val="21"/>
                <w:szCs w:val="21"/>
              </w:rPr>
            </w:pPr>
            <w:r>
              <w:rPr>
                <w:rFonts w:ascii="Times New Roman" w:hAnsi="Times New Roman"/>
                <w:b/>
                <w:sz w:val="21"/>
                <w:szCs w:val="21"/>
              </w:rPr>
              <w:t>表</w:t>
            </w:r>
            <w:r>
              <w:rPr>
                <w:rFonts w:hint="eastAsia" w:ascii="Times New Roman" w:hAnsi="Times New Roman"/>
                <w:b/>
                <w:sz w:val="21"/>
                <w:szCs w:val="21"/>
              </w:rPr>
              <w:t>22</w:t>
            </w:r>
            <w:r>
              <w:rPr>
                <w:rFonts w:ascii="Times New Roman" w:hAnsi="Times New Roman"/>
                <w:b/>
                <w:sz w:val="21"/>
                <w:szCs w:val="21"/>
              </w:rPr>
              <w:t xml:space="preserve">    估算模型参数表</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14"/>
              <w:gridCol w:w="3014"/>
              <w:gridCol w:w="30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4" w:type="pct"/>
                  <w:gridSpan w:val="2"/>
                  <w:vAlign w:val="center"/>
                </w:tcPr>
                <w:p>
                  <w:pPr>
                    <w:adjustRightInd w:val="0"/>
                    <w:snapToGrid w:val="0"/>
                    <w:jc w:val="center"/>
                    <w:rPr>
                      <w:bCs/>
                    </w:rPr>
                  </w:pPr>
                  <w:r>
                    <w:rPr>
                      <w:bCs/>
                    </w:rPr>
                    <w:t>参数</w:t>
                  </w:r>
                </w:p>
              </w:tc>
              <w:tc>
                <w:tcPr>
                  <w:tcW w:w="1666" w:type="pct"/>
                  <w:vAlign w:val="center"/>
                </w:tcPr>
                <w:p>
                  <w:pPr>
                    <w:adjustRightInd w:val="0"/>
                    <w:snapToGrid w:val="0"/>
                    <w:jc w:val="center"/>
                    <w:rPr>
                      <w:bCs/>
                    </w:rPr>
                  </w:pPr>
                  <w:r>
                    <w:rPr>
                      <w:bCs/>
                    </w:rPr>
                    <w:t>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restart"/>
                  <w:vAlign w:val="center"/>
                </w:tcPr>
                <w:p>
                  <w:pPr>
                    <w:adjustRightInd w:val="0"/>
                    <w:snapToGrid w:val="0"/>
                    <w:jc w:val="center"/>
                    <w:rPr>
                      <w:bCs/>
                    </w:rPr>
                  </w:pPr>
                  <w:r>
                    <w:rPr>
                      <w:bCs/>
                    </w:rPr>
                    <w:t>城市/农村选项</w:t>
                  </w: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城市/农村</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农村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continue"/>
                  <w:vAlign w:val="center"/>
                </w:tcPr>
                <w:p>
                  <w:pPr>
                    <w:adjustRightInd w:val="0"/>
                    <w:snapToGrid w:val="0"/>
                    <w:jc w:val="center"/>
                    <w:rPr>
                      <w:bCs/>
                    </w:rPr>
                  </w:pP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人口数（城市选项时）</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4" w:type="pct"/>
                  <w:gridSpan w:val="2"/>
                  <w:vAlign w:val="center"/>
                </w:tcPr>
                <w:p>
                  <w:pPr>
                    <w:adjustRightInd w:val="0"/>
                    <w:snapToGrid w:val="0"/>
                    <w:jc w:val="center"/>
                    <w:rPr>
                      <w:bCs/>
                    </w:rPr>
                  </w:pPr>
                  <w:r>
                    <w:rPr>
                      <w:szCs w:val="21"/>
                    </w:rPr>
                    <w:t>最高环境温度/</w:t>
                  </w:r>
                  <w:r>
                    <w:rPr>
                      <w:rFonts w:hint="eastAsia" w:ascii="宋体" w:hAnsi="宋体" w:cs="宋体"/>
                      <w:szCs w:val="21"/>
                    </w:rPr>
                    <w:t>℃</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4" w:type="pct"/>
                  <w:gridSpan w:val="2"/>
                  <w:vAlign w:val="center"/>
                </w:tcPr>
                <w:p>
                  <w:pPr>
                    <w:adjustRightInd w:val="0"/>
                    <w:snapToGrid w:val="0"/>
                    <w:jc w:val="center"/>
                    <w:rPr>
                      <w:bCs/>
                    </w:rPr>
                  </w:pPr>
                  <w:r>
                    <w:rPr>
                      <w:szCs w:val="21"/>
                    </w:rPr>
                    <w:t>最低环境温度/</w:t>
                  </w:r>
                  <w:r>
                    <w:rPr>
                      <w:rFonts w:hint="eastAsia" w:ascii="宋体" w:hAnsi="宋体" w:cs="宋体"/>
                      <w:szCs w:val="21"/>
                    </w:rPr>
                    <w:t>℃</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4" w:type="pct"/>
                  <w:gridSpan w:val="2"/>
                  <w:vAlign w:val="center"/>
                </w:tcPr>
                <w:p>
                  <w:pPr>
                    <w:adjustRightInd w:val="0"/>
                    <w:snapToGrid w:val="0"/>
                    <w:jc w:val="center"/>
                    <w:rPr>
                      <w:bCs/>
                    </w:rPr>
                  </w:pPr>
                  <w:r>
                    <w:rPr>
                      <w:szCs w:val="21"/>
                    </w:rPr>
                    <w:t>土地利用类型</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草地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334" w:type="pct"/>
                  <w:gridSpan w:val="2"/>
                  <w:vAlign w:val="center"/>
                </w:tcPr>
                <w:p>
                  <w:pPr>
                    <w:adjustRightInd w:val="0"/>
                    <w:snapToGrid w:val="0"/>
                    <w:jc w:val="center"/>
                    <w:rPr>
                      <w:bCs/>
                    </w:rPr>
                  </w:pPr>
                  <w:r>
                    <w:rPr>
                      <w:szCs w:val="21"/>
                    </w:rPr>
                    <w:t>区域湿度类型</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中等湿度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restart"/>
                  <w:vAlign w:val="center"/>
                </w:tcPr>
                <w:p>
                  <w:pPr>
                    <w:adjustRightInd w:val="0"/>
                    <w:snapToGrid w:val="0"/>
                    <w:jc w:val="center"/>
                    <w:rPr>
                      <w:bCs/>
                    </w:rPr>
                  </w:pPr>
                  <w:r>
                    <w:rPr>
                      <w:bCs/>
                    </w:rPr>
                    <w:t>是否考虑地形</w:t>
                  </w: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考虑地形</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continue"/>
                  <w:vAlign w:val="center"/>
                </w:tcPr>
                <w:p>
                  <w:pPr>
                    <w:adjustRightInd w:val="0"/>
                    <w:snapToGrid w:val="0"/>
                    <w:jc w:val="center"/>
                    <w:rPr>
                      <w:bCs/>
                    </w:rPr>
                  </w:pP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地形数据分辨率/m</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restart"/>
                  <w:vAlign w:val="center"/>
                </w:tcPr>
                <w:p>
                  <w:pPr>
                    <w:adjustRightInd w:val="0"/>
                    <w:snapToGrid w:val="0"/>
                    <w:jc w:val="center"/>
                    <w:rPr>
                      <w:bCs/>
                    </w:rPr>
                  </w:pPr>
                  <w:r>
                    <w:rPr>
                      <w:bCs/>
                    </w:rPr>
                    <w:t>是否考虑岸线熏烟</w:t>
                  </w: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考虑岸线熏烟</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continue"/>
                  <w:vAlign w:val="center"/>
                </w:tcPr>
                <w:p>
                  <w:pPr>
                    <w:adjustRightInd w:val="0"/>
                    <w:snapToGrid w:val="0"/>
                    <w:jc w:val="center"/>
                    <w:rPr>
                      <w:bCs/>
                    </w:rPr>
                  </w:pP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岸线距离/m</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67" w:type="pct"/>
                  <w:vMerge w:val="continue"/>
                  <w:vAlign w:val="center"/>
                </w:tcPr>
                <w:p>
                  <w:pPr>
                    <w:adjustRightInd w:val="0"/>
                    <w:snapToGrid w:val="0"/>
                    <w:jc w:val="center"/>
                    <w:rPr>
                      <w:bCs/>
                    </w:rPr>
                  </w:pPr>
                </w:p>
              </w:tc>
              <w:tc>
                <w:tcPr>
                  <w:tcW w:w="1667"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岸线方向/°</w:t>
                  </w:r>
                </w:p>
              </w:tc>
              <w:tc>
                <w:tcPr>
                  <w:tcW w:w="1666" w:type="pct"/>
                  <w:vAlign w:val="center"/>
                </w:tcPr>
                <w:p>
                  <w:pPr>
                    <w:pStyle w:val="43"/>
                    <w:adjustRightInd w:val="0"/>
                    <w:snapToGrid w:val="0"/>
                    <w:spacing w:line="240" w:lineRule="auto"/>
                    <w:ind w:firstLine="0" w:firstLineChars="0"/>
                    <w:jc w:val="center"/>
                    <w:rPr>
                      <w:rFonts w:ascii="Times New Roman" w:hAnsi="Times New Roman"/>
                      <w:sz w:val="21"/>
                      <w:szCs w:val="21"/>
                    </w:rPr>
                  </w:pPr>
                  <w:r>
                    <w:rPr>
                      <w:rFonts w:ascii="Times New Roman" w:hAnsi="Times New Roman"/>
                      <w:sz w:val="21"/>
                      <w:szCs w:val="21"/>
                    </w:rPr>
                    <w:t>--</w:t>
                  </w:r>
                </w:p>
              </w:tc>
            </w:tr>
          </w:tbl>
          <w:p>
            <w:pPr>
              <w:spacing w:line="360" w:lineRule="auto"/>
              <w:ind w:firstLine="480" w:firstLineChars="200"/>
              <w:rPr>
                <w:sz w:val="24"/>
              </w:rPr>
            </w:pP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rFonts w:hint="eastAsia"/>
                <w:sz w:val="24"/>
              </w:rPr>
              <w:t>评价</w:t>
            </w:r>
            <w:r>
              <w:rPr>
                <w:sz w:val="24"/>
              </w:rPr>
              <w:t>因子</w:t>
            </w:r>
          </w:p>
          <w:p>
            <w:pPr>
              <w:pStyle w:val="43"/>
              <w:adjustRightInd w:val="0"/>
              <w:snapToGrid w:val="0"/>
              <w:spacing w:line="240" w:lineRule="auto"/>
              <w:ind w:firstLine="0" w:firstLineChars="0"/>
              <w:jc w:val="center"/>
              <w:rPr>
                <w:rFonts w:ascii="Times New Roman" w:hAnsi="Times New Roman"/>
                <w:b/>
                <w:sz w:val="21"/>
                <w:szCs w:val="21"/>
              </w:rPr>
            </w:pPr>
            <w:r>
              <w:rPr>
                <w:rFonts w:ascii="Times New Roman" w:hAnsi="Times New Roman"/>
                <w:b/>
                <w:sz w:val="21"/>
                <w:szCs w:val="21"/>
              </w:rPr>
              <w:t>表</w:t>
            </w:r>
            <w:r>
              <w:rPr>
                <w:rFonts w:hint="eastAsia" w:ascii="Times New Roman" w:hAnsi="Times New Roman"/>
                <w:b/>
                <w:sz w:val="21"/>
                <w:szCs w:val="21"/>
              </w:rPr>
              <w:t xml:space="preserve">23 </w:t>
            </w:r>
            <w:r>
              <w:rPr>
                <w:rFonts w:ascii="Times New Roman" w:hAnsi="Times New Roman"/>
                <w:b/>
                <w:sz w:val="21"/>
                <w:szCs w:val="21"/>
              </w:rPr>
              <w:t xml:space="preserve">    建设项目评价因子和评价标准表</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31"/>
              <w:gridCol w:w="1560"/>
              <w:gridCol w:w="1841"/>
              <w:gridCol w:w="40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902" w:type="pct"/>
                  <w:vAlign w:val="center"/>
                </w:tcPr>
                <w:p>
                  <w:pPr>
                    <w:adjustRightInd w:val="0"/>
                    <w:snapToGrid w:val="0"/>
                    <w:jc w:val="center"/>
                  </w:pPr>
                  <w:r>
                    <w:t>评价因子</w:t>
                  </w:r>
                </w:p>
              </w:tc>
              <w:tc>
                <w:tcPr>
                  <w:tcW w:w="863" w:type="pct"/>
                  <w:vAlign w:val="center"/>
                </w:tcPr>
                <w:p>
                  <w:pPr>
                    <w:adjustRightInd w:val="0"/>
                    <w:snapToGrid w:val="0"/>
                    <w:jc w:val="center"/>
                  </w:pPr>
                  <w:r>
                    <w:t>平均时段</w:t>
                  </w:r>
                </w:p>
              </w:tc>
              <w:tc>
                <w:tcPr>
                  <w:tcW w:w="1018" w:type="pct"/>
                  <w:vAlign w:val="center"/>
                </w:tcPr>
                <w:p>
                  <w:pPr>
                    <w:adjustRightInd w:val="0"/>
                    <w:snapToGrid w:val="0"/>
                    <w:jc w:val="center"/>
                  </w:pPr>
                  <w:r>
                    <w:t>标准值（ug/m</w:t>
                  </w:r>
                  <w:r>
                    <w:rPr>
                      <w:vertAlign w:val="superscript"/>
                    </w:rPr>
                    <w:t>3</w:t>
                  </w:r>
                  <w:r>
                    <w:t>）</w:t>
                  </w:r>
                </w:p>
              </w:tc>
              <w:tc>
                <w:tcPr>
                  <w:tcW w:w="2217" w:type="pct"/>
                  <w:vAlign w:val="center"/>
                </w:tcPr>
                <w:p>
                  <w:pPr>
                    <w:adjustRightInd w:val="0"/>
                    <w:snapToGrid w:val="0"/>
                    <w:jc w:val="center"/>
                  </w:pPr>
                  <w: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902" w:type="pct"/>
                  <w:vAlign w:val="center"/>
                </w:tcPr>
                <w:p>
                  <w:pPr>
                    <w:adjustRightInd w:val="0"/>
                    <w:snapToGrid w:val="0"/>
                    <w:jc w:val="center"/>
                  </w:pPr>
                  <w:r>
                    <w:rPr>
                      <w:rFonts w:hint="eastAsia"/>
                    </w:rPr>
                    <w:t>T</w:t>
                  </w:r>
                  <w:r>
                    <w:t>SP</w:t>
                  </w:r>
                </w:p>
              </w:tc>
              <w:tc>
                <w:tcPr>
                  <w:tcW w:w="863" w:type="pct"/>
                  <w:vAlign w:val="center"/>
                </w:tcPr>
                <w:p>
                  <w:pPr>
                    <w:adjustRightInd w:val="0"/>
                    <w:snapToGrid w:val="0"/>
                    <w:jc w:val="center"/>
                  </w:pPr>
                  <w:r>
                    <w:t>1h</w:t>
                  </w:r>
                </w:p>
              </w:tc>
              <w:tc>
                <w:tcPr>
                  <w:tcW w:w="1018" w:type="pct"/>
                  <w:vAlign w:val="center"/>
                </w:tcPr>
                <w:p>
                  <w:pPr>
                    <w:adjustRightInd w:val="0"/>
                    <w:snapToGrid w:val="0"/>
                    <w:jc w:val="center"/>
                  </w:pPr>
                  <w:r>
                    <w:rPr>
                      <w:rFonts w:hint="eastAsia"/>
                    </w:rPr>
                    <w:t>900</w:t>
                  </w:r>
                </w:p>
              </w:tc>
              <w:tc>
                <w:tcPr>
                  <w:tcW w:w="2217" w:type="pct"/>
                  <w:vAlign w:val="center"/>
                </w:tcPr>
                <w:p>
                  <w:pPr>
                    <w:adjustRightInd w:val="0"/>
                    <w:snapToGrid w:val="0"/>
                    <w:jc w:val="center"/>
                  </w:pPr>
                  <w:r>
                    <w:t>参考《环境</w:t>
                  </w:r>
                  <w:r>
                    <w:rPr>
                      <w:rFonts w:hint="eastAsia"/>
                    </w:rPr>
                    <w:t>空气质量标准</w:t>
                  </w:r>
                  <w:r>
                    <w:t>（GB</w:t>
                  </w:r>
                  <w:r>
                    <w:rPr>
                      <w:rFonts w:hint="eastAsia"/>
                    </w:rPr>
                    <w:t>3095-2012</w:t>
                  </w:r>
                  <w:r>
                    <w:t>）</w:t>
                  </w:r>
                  <w:r>
                    <w:rPr>
                      <w:rFonts w:hint="eastAsia"/>
                    </w:rPr>
                    <w:t>》</w:t>
                  </w:r>
                </w:p>
              </w:tc>
            </w:tr>
          </w:tbl>
          <w:p>
            <w:pPr>
              <w:spacing w:line="360" w:lineRule="auto"/>
              <w:ind w:firstLine="480" w:firstLineChars="200"/>
              <w:rPr>
                <w:sz w:val="24"/>
              </w:rPr>
            </w:pPr>
            <w:r>
              <w:rPr>
                <w:sz w:val="24"/>
              </w:rPr>
              <w:t>③污染源强</w:t>
            </w:r>
          </w:p>
          <w:p>
            <w:pPr>
              <w:tabs>
                <w:tab w:val="center" w:pos="4775"/>
              </w:tabs>
              <w:spacing w:before="156" w:beforeLines="50"/>
              <w:ind w:firstLine="480"/>
              <w:rPr>
                <w:b/>
                <w:bCs/>
              </w:rPr>
            </w:pPr>
            <w:r>
              <w:rPr>
                <w:sz w:val="24"/>
              </w:rPr>
              <w:t>根据工程分析的内容，项目主要污染物废气排放源强参数见</w:t>
            </w:r>
            <w:r>
              <w:rPr>
                <w:rFonts w:hint="eastAsia"/>
                <w:sz w:val="24"/>
              </w:rPr>
              <w:t>表24、表25</w:t>
            </w:r>
            <w:r>
              <w:rPr>
                <w:sz w:val="24"/>
              </w:rPr>
              <w:t>。</w:t>
            </w:r>
            <w:r>
              <w:tab/>
            </w:r>
          </w:p>
          <w:p>
            <w:pPr>
              <w:adjustRightInd w:val="0"/>
              <w:snapToGrid w:val="0"/>
              <w:jc w:val="center"/>
              <w:rPr>
                <w:b/>
                <w:bCs/>
                <w:szCs w:val="21"/>
              </w:rPr>
            </w:pPr>
            <w:r>
              <w:rPr>
                <w:rFonts w:hint="eastAsia"/>
                <w:b/>
                <w:bCs/>
                <w:szCs w:val="21"/>
              </w:rPr>
              <w:t>表24   主要废气污染源参数一览表(有组织)</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317"/>
              <w:gridCol w:w="1223"/>
              <w:gridCol w:w="701"/>
              <w:gridCol w:w="840"/>
              <w:gridCol w:w="800"/>
              <w:gridCol w:w="846"/>
              <w:gridCol w:w="998"/>
              <w:gridCol w:w="695"/>
              <w:gridCol w:w="8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10" w:type="dxa"/>
                  <w:vMerge w:val="restart"/>
                  <w:tcBorders>
                    <w:tl2br w:val="nil"/>
                    <w:tr2bl w:val="nil"/>
                  </w:tcBorders>
                  <w:vAlign w:val="center"/>
                </w:tcPr>
                <w:p>
                  <w:pPr>
                    <w:adjustRightInd w:val="0"/>
                    <w:snapToGrid w:val="0"/>
                    <w:jc w:val="center"/>
                    <w:rPr>
                      <w:szCs w:val="21"/>
                    </w:rPr>
                  </w:pPr>
                  <w:r>
                    <w:rPr>
                      <w:szCs w:val="21"/>
                    </w:rPr>
                    <w:t>污染源名称</w:t>
                  </w:r>
                </w:p>
              </w:tc>
              <w:tc>
                <w:tcPr>
                  <w:tcW w:w="2540" w:type="dxa"/>
                  <w:gridSpan w:val="2"/>
                  <w:tcBorders>
                    <w:tl2br w:val="nil"/>
                    <w:tr2bl w:val="nil"/>
                  </w:tcBorders>
                  <w:vAlign w:val="center"/>
                </w:tcPr>
                <w:p>
                  <w:pPr>
                    <w:adjustRightInd w:val="0"/>
                    <w:snapToGrid w:val="0"/>
                    <w:jc w:val="center"/>
                    <w:rPr>
                      <w:szCs w:val="21"/>
                    </w:rPr>
                  </w:pPr>
                  <w:r>
                    <w:rPr>
                      <w:szCs w:val="21"/>
                    </w:rPr>
                    <w:t>坐标</w:t>
                  </w:r>
                </w:p>
              </w:tc>
              <w:tc>
                <w:tcPr>
                  <w:tcW w:w="701" w:type="dxa"/>
                  <w:vMerge w:val="restart"/>
                  <w:tcBorders>
                    <w:tl2br w:val="nil"/>
                    <w:tr2bl w:val="nil"/>
                  </w:tcBorders>
                  <w:vAlign w:val="center"/>
                </w:tcPr>
                <w:p>
                  <w:pPr>
                    <w:adjustRightInd w:val="0"/>
                    <w:snapToGrid w:val="0"/>
                    <w:jc w:val="center"/>
                    <w:rPr>
                      <w:szCs w:val="21"/>
                    </w:rPr>
                  </w:pPr>
                  <w:r>
                    <w:rPr>
                      <w:szCs w:val="21"/>
                    </w:rPr>
                    <w:t>海拔高度m</w:t>
                  </w:r>
                </w:p>
              </w:tc>
              <w:tc>
                <w:tcPr>
                  <w:tcW w:w="3471" w:type="dxa"/>
                  <w:gridSpan w:val="4"/>
                  <w:tcBorders>
                    <w:tl2br w:val="nil"/>
                    <w:tr2bl w:val="nil"/>
                  </w:tcBorders>
                  <w:vAlign w:val="center"/>
                </w:tcPr>
                <w:p>
                  <w:pPr>
                    <w:adjustRightInd w:val="0"/>
                    <w:snapToGrid w:val="0"/>
                    <w:jc w:val="center"/>
                    <w:rPr>
                      <w:szCs w:val="21"/>
                    </w:rPr>
                  </w:pPr>
                  <w:r>
                    <w:rPr>
                      <w:szCs w:val="21"/>
                    </w:rPr>
                    <w:t>排气筒参数</w:t>
                  </w:r>
                </w:p>
              </w:tc>
              <w:tc>
                <w:tcPr>
                  <w:tcW w:w="695" w:type="dxa"/>
                  <w:vMerge w:val="restart"/>
                  <w:tcBorders>
                    <w:tl2br w:val="nil"/>
                    <w:tr2bl w:val="nil"/>
                  </w:tcBorders>
                  <w:vAlign w:val="center"/>
                </w:tcPr>
                <w:p>
                  <w:pPr>
                    <w:adjustRightInd w:val="0"/>
                    <w:snapToGrid w:val="0"/>
                    <w:jc w:val="center"/>
                    <w:rPr>
                      <w:szCs w:val="21"/>
                    </w:rPr>
                  </w:pPr>
                  <w:r>
                    <w:rPr>
                      <w:szCs w:val="21"/>
                    </w:rPr>
                    <w:t>污染物</w:t>
                  </w:r>
                </w:p>
              </w:tc>
              <w:tc>
                <w:tcPr>
                  <w:tcW w:w="838" w:type="dxa"/>
                  <w:vMerge w:val="restart"/>
                  <w:tcBorders>
                    <w:tl2br w:val="nil"/>
                    <w:tr2bl w:val="nil"/>
                  </w:tcBorders>
                  <w:vAlign w:val="center"/>
                </w:tcPr>
                <w:p>
                  <w:pPr>
                    <w:adjustRightInd w:val="0"/>
                    <w:snapToGrid w:val="0"/>
                    <w:jc w:val="center"/>
                    <w:rPr>
                      <w:szCs w:val="21"/>
                    </w:rPr>
                  </w:pPr>
                  <w:r>
                    <w:rPr>
                      <w:szCs w:val="21"/>
                    </w:rPr>
                    <w:t>排放速率kg/h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0" w:type="dxa"/>
                  <w:vMerge w:val="continue"/>
                  <w:tcBorders>
                    <w:tl2br w:val="nil"/>
                    <w:tr2bl w:val="nil"/>
                  </w:tcBorders>
                  <w:vAlign w:val="center"/>
                </w:tcPr>
                <w:p>
                  <w:pPr>
                    <w:adjustRightInd w:val="0"/>
                    <w:snapToGrid w:val="0"/>
                    <w:jc w:val="center"/>
                    <w:rPr>
                      <w:szCs w:val="21"/>
                    </w:rPr>
                  </w:pPr>
                </w:p>
              </w:tc>
              <w:tc>
                <w:tcPr>
                  <w:tcW w:w="1317" w:type="dxa"/>
                  <w:tcBorders>
                    <w:tl2br w:val="nil"/>
                    <w:tr2bl w:val="nil"/>
                  </w:tcBorders>
                  <w:vAlign w:val="center"/>
                </w:tcPr>
                <w:p>
                  <w:pPr>
                    <w:adjustRightInd w:val="0"/>
                    <w:snapToGrid w:val="0"/>
                    <w:jc w:val="center"/>
                    <w:rPr>
                      <w:szCs w:val="21"/>
                    </w:rPr>
                  </w:pPr>
                  <w:r>
                    <w:rPr>
                      <w:szCs w:val="21"/>
                    </w:rPr>
                    <w:t>经度</w:t>
                  </w:r>
                </w:p>
              </w:tc>
              <w:tc>
                <w:tcPr>
                  <w:tcW w:w="1223" w:type="dxa"/>
                  <w:tcBorders>
                    <w:tl2br w:val="nil"/>
                    <w:tr2bl w:val="nil"/>
                  </w:tcBorders>
                  <w:vAlign w:val="center"/>
                </w:tcPr>
                <w:p>
                  <w:pPr>
                    <w:adjustRightInd w:val="0"/>
                    <w:snapToGrid w:val="0"/>
                    <w:jc w:val="center"/>
                    <w:rPr>
                      <w:szCs w:val="21"/>
                    </w:rPr>
                  </w:pPr>
                  <w:r>
                    <w:rPr>
                      <w:szCs w:val="21"/>
                    </w:rPr>
                    <w:t>纬度</w:t>
                  </w:r>
                </w:p>
              </w:tc>
              <w:tc>
                <w:tcPr>
                  <w:tcW w:w="701" w:type="dxa"/>
                  <w:vMerge w:val="continue"/>
                  <w:tcBorders>
                    <w:tl2br w:val="nil"/>
                    <w:tr2bl w:val="nil"/>
                  </w:tcBorders>
                  <w:vAlign w:val="center"/>
                </w:tcPr>
                <w:p>
                  <w:pPr>
                    <w:adjustRightInd w:val="0"/>
                    <w:snapToGrid w:val="0"/>
                    <w:jc w:val="center"/>
                    <w:rPr>
                      <w:szCs w:val="21"/>
                    </w:rPr>
                  </w:pPr>
                </w:p>
              </w:tc>
              <w:tc>
                <w:tcPr>
                  <w:tcW w:w="840" w:type="dxa"/>
                  <w:tcBorders>
                    <w:tl2br w:val="nil"/>
                    <w:tr2bl w:val="nil"/>
                  </w:tcBorders>
                  <w:vAlign w:val="center"/>
                </w:tcPr>
                <w:p>
                  <w:pPr>
                    <w:adjustRightInd w:val="0"/>
                    <w:snapToGrid w:val="0"/>
                    <w:jc w:val="center"/>
                    <w:rPr>
                      <w:szCs w:val="21"/>
                    </w:rPr>
                  </w:pPr>
                  <w:r>
                    <w:rPr>
                      <w:szCs w:val="21"/>
                    </w:rPr>
                    <w:t>高度（m）</w:t>
                  </w:r>
                </w:p>
              </w:tc>
              <w:tc>
                <w:tcPr>
                  <w:tcW w:w="791" w:type="dxa"/>
                  <w:tcBorders>
                    <w:tl2br w:val="nil"/>
                    <w:tr2bl w:val="nil"/>
                  </w:tcBorders>
                  <w:vAlign w:val="center"/>
                </w:tcPr>
                <w:p>
                  <w:pPr>
                    <w:adjustRightInd w:val="0"/>
                    <w:snapToGrid w:val="0"/>
                    <w:jc w:val="center"/>
                    <w:rPr>
                      <w:szCs w:val="21"/>
                    </w:rPr>
                  </w:pPr>
                  <w:r>
                    <w:rPr>
                      <w:szCs w:val="21"/>
                    </w:rPr>
                    <w:t>内径（m）</w:t>
                  </w:r>
                </w:p>
              </w:tc>
              <w:tc>
                <w:tcPr>
                  <w:tcW w:w="842" w:type="dxa"/>
                  <w:tcBorders>
                    <w:tl2br w:val="nil"/>
                    <w:tr2bl w:val="nil"/>
                  </w:tcBorders>
                  <w:vAlign w:val="center"/>
                </w:tcPr>
                <w:p>
                  <w:pPr>
                    <w:adjustRightInd w:val="0"/>
                    <w:snapToGrid w:val="0"/>
                    <w:jc w:val="center"/>
                    <w:rPr>
                      <w:szCs w:val="21"/>
                    </w:rPr>
                  </w:pPr>
                  <w:r>
                    <w:rPr>
                      <w:szCs w:val="21"/>
                    </w:rPr>
                    <w:t>温度（℃）</w:t>
                  </w:r>
                </w:p>
              </w:tc>
              <w:tc>
                <w:tcPr>
                  <w:tcW w:w="998" w:type="dxa"/>
                  <w:tcBorders>
                    <w:tl2br w:val="nil"/>
                    <w:tr2bl w:val="nil"/>
                  </w:tcBorders>
                </w:tcPr>
                <w:p>
                  <w:pPr>
                    <w:adjustRightInd w:val="0"/>
                    <w:snapToGrid w:val="0"/>
                    <w:jc w:val="center"/>
                    <w:rPr>
                      <w:szCs w:val="21"/>
                    </w:rPr>
                  </w:pPr>
                  <w:r>
                    <w:rPr>
                      <w:rFonts w:hint="eastAsia"/>
                      <w:szCs w:val="21"/>
                    </w:rPr>
                    <w:t>速率</w:t>
                  </w:r>
                  <w:r>
                    <w:rPr>
                      <w:szCs w:val="21"/>
                    </w:rPr>
                    <w:t>（m/s）</w:t>
                  </w:r>
                </w:p>
              </w:tc>
              <w:tc>
                <w:tcPr>
                  <w:tcW w:w="695" w:type="dxa"/>
                  <w:vMerge w:val="continue"/>
                  <w:tcBorders>
                    <w:tl2br w:val="nil"/>
                    <w:tr2bl w:val="nil"/>
                  </w:tcBorders>
                  <w:vAlign w:val="center"/>
                </w:tcPr>
                <w:p>
                  <w:pPr>
                    <w:adjustRightInd w:val="0"/>
                    <w:snapToGrid w:val="0"/>
                    <w:jc w:val="center"/>
                    <w:rPr>
                      <w:szCs w:val="21"/>
                    </w:rPr>
                  </w:pPr>
                </w:p>
              </w:tc>
              <w:tc>
                <w:tcPr>
                  <w:tcW w:w="838" w:type="dxa"/>
                  <w:vMerge w:val="continue"/>
                  <w:tcBorders>
                    <w:tl2br w:val="nil"/>
                    <w:tr2bl w:val="nil"/>
                  </w:tcBorders>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710" w:type="dxa"/>
                  <w:tcBorders>
                    <w:tl2br w:val="nil"/>
                    <w:tr2bl w:val="nil"/>
                  </w:tcBorders>
                  <w:vAlign w:val="center"/>
                </w:tcPr>
                <w:p>
                  <w:pPr>
                    <w:adjustRightInd w:val="0"/>
                    <w:snapToGrid w:val="0"/>
                    <w:jc w:val="center"/>
                    <w:rPr>
                      <w:szCs w:val="21"/>
                    </w:rPr>
                  </w:pPr>
                  <w:r>
                    <w:rPr>
                      <w:rFonts w:hint="eastAsia"/>
                      <w:szCs w:val="21"/>
                    </w:rPr>
                    <w:t>生产车间</w:t>
                  </w:r>
                </w:p>
              </w:tc>
              <w:tc>
                <w:tcPr>
                  <w:tcW w:w="1317" w:type="dxa"/>
                  <w:tcBorders>
                    <w:tl2br w:val="nil"/>
                    <w:tr2bl w:val="nil"/>
                  </w:tcBorders>
                  <w:vAlign w:val="center"/>
                </w:tcPr>
                <w:p>
                  <w:pPr>
                    <w:adjustRightInd w:val="0"/>
                    <w:snapToGrid w:val="0"/>
                    <w:jc w:val="center"/>
                    <w:rPr>
                      <w:szCs w:val="21"/>
                    </w:rPr>
                  </w:pPr>
                  <w:r>
                    <w:rPr>
                      <w:szCs w:val="21"/>
                    </w:rPr>
                    <w:t>108.</w:t>
                  </w:r>
                  <w:r>
                    <w:rPr>
                      <w:rFonts w:hint="eastAsia"/>
                      <w:szCs w:val="21"/>
                    </w:rPr>
                    <w:t>206794</w:t>
                  </w:r>
                  <w:r>
                    <w:rPr>
                      <w:szCs w:val="21"/>
                    </w:rPr>
                    <w:sym w:font="Symbol" w:char="F0B0"/>
                  </w:r>
                </w:p>
              </w:tc>
              <w:tc>
                <w:tcPr>
                  <w:tcW w:w="1223" w:type="dxa"/>
                  <w:tcBorders>
                    <w:tl2br w:val="nil"/>
                    <w:tr2bl w:val="nil"/>
                  </w:tcBorders>
                  <w:vAlign w:val="center"/>
                </w:tcPr>
                <w:p>
                  <w:pPr>
                    <w:adjustRightInd w:val="0"/>
                    <w:snapToGrid w:val="0"/>
                    <w:jc w:val="center"/>
                    <w:rPr>
                      <w:szCs w:val="21"/>
                    </w:rPr>
                  </w:pPr>
                  <w:r>
                    <w:rPr>
                      <w:szCs w:val="21"/>
                    </w:rPr>
                    <w:t>3</w:t>
                  </w:r>
                  <w:r>
                    <w:rPr>
                      <w:rFonts w:hint="eastAsia"/>
                      <w:szCs w:val="21"/>
                    </w:rPr>
                    <w:t>3.054959</w:t>
                  </w:r>
                  <w:r>
                    <w:rPr>
                      <w:szCs w:val="21"/>
                    </w:rPr>
                    <w:sym w:font="Symbol" w:char="F0B0"/>
                  </w:r>
                </w:p>
              </w:tc>
              <w:tc>
                <w:tcPr>
                  <w:tcW w:w="701" w:type="dxa"/>
                  <w:tcBorders>
                    <w:tl2br w:val="nil"/>
                    <w:tr2bl w:val="nil"/>
                  </w:tcBorders>
                  <w:vAlign w:val="center"/>
                </w:tcPr>
                <w:p>
                  <w:pPr>
                    <w:adjustRightInd w:val="0"/>
                    <w:snapToGrid w:val="0"/>
                    <w:jc w:val="center"/>
                    <w:rPr>
                      <w:szCs w:val="21"/>
                    </w:rPr>
                  </w:pPr>
                  <w:r>
                    <w:rPr>
                      <w:rFonts w:hint="eastAsia"/>
                      <w:szCs w:val="21"/>
                    </w:rPr>
                    <w:t>493</w:t>
                  </w:r>
                </w:p>
              </w:tc>
              <w:tc>
                <w:tcPr>
                  <w:tcW w:w="840" w:type="dxa"/>
                  <w:tcBorders>
                    <w:tl2br w:val="nil"/>
                    <w:tr2bl w:val="nil"/>
                  </w:tcBorders>
                  <w:vAlign w:val="center"/>
                </w:tcPr>
                <w:p>
                  <w:pPr>
                    <w:adjustRightInd w:val="0"/>
                    <w:snapToGrid w:val="0"/>
                    <w:jc w:val="center"/>
                    <w:rPr>
                      <w:szCs w:val="21"/>
                    </w:rPr>
                  </w:pPr>
                  <w:r>
                    <w:rPr>
                      <w:szCs w:val="21"/>
                    </w:rPr>
                    <w:t>15</w:t>
                  </w:r>
                </w:p>
              </w:tc>
              <w:tc>
                <w:tcPr>
                  <w:tcW w:w="791" w:type="dxa"/>
                  <w:tcBorders>
                    <w:tl2br w:val="nil"/>
                    <w:tr2bl w:val="nil"/>
                  </w:tcBorders>
                  <w:vAlign w:val="center"/>
                </w:tcPr>
                <w:p>
                  <w:pPr>
                    <w:adjustRightInd w:val="0"/>
                    <w:snapToGrid w:val="0"/>
                    <w:jc w:val="center"/>
                    <w:rPr>
                      <w:szCs w:val="21"/>
                    </w:rPr>
                  </w:pPr>
                  <w:r>
                    <w:rPr>
                      <w:rFonts w:hint="eastAsia"/>
                      <w:szCs w:val="21"/>
                    </w:rPr>
                    <w:t>0.5</w:t>
                  </w:r>
                </w:p>
              </w:tc>
              <w:tc>
                <w:tcPr>
                  <w:tcW w:w="842" w:type="dxa"/>
                  <w:tcBorders>
                    <w:tl2br w:val="nil"/>
                    <w:tr2bl w:val="nil"/>
                  </w:tcBorders>
                  <w:vAlign w:val="center"/>
                </w:tcPr>
                <w:p>
                  <w:pPr>
                    <w:adjustRightInd w:val="0"/>
                    <w:snapToGrid w:val="0"/>
                    <w:jc w:val="center"/>
                    <w:rPr>
                      <w:szCs w:val="21"/>
                    </w:rPr>
                  </w:pPr>
                  <w:r>
                    <w:rPr>
                      <w:szCs w:val="21"/>
                    </w:rPr>
                    <w:t>25</w:t>
                  </w:r>
                </w:p>
              </w:tc>
              <w:tc>
                <w:tcPr>
                  <w:tcW w:w="998" w:type="dxa"/>
                  <w:tcBorders>
                    <w:tl2br w:val="nil"/>
                    <w:tr2bl w:val="nil"/>
                  </w:tcBorders>
                  <w:vAlign w:val="center"/>
                </w:tcPr>
                <w:p>
                  <w:pPr>
                    <w:adjustRightInd w:val="0"/>
                    <w:snapToGrid w:val="0"/>
                    <w:jc w:val="center"/>
                    <w:rPr>
                      <w:szCs w:val="21"/>
                    </w:rPr>
                  </w:pPr>
                  <w:r>
                    <w:rPr>
                      <w:rFonts w:hint="eastAsia"/>
                      <w:szCs w:val="21"/>
                    </w:rPr>
                    <w:t>18.53</w:t>
                  </w:r>
                </w:p>
              </w:tc>
              <w:tc>
                <w:tcPr>
                  <w:tcW w:w="695" w:type="dxa"/>
                  <w:tcBorders>
                    <w:tl2br w:val="nil"/>
                    <w:tr2bl w:val="nil"/>
                  </w:tcBorders>
                  <w:vAlign w:val="center"/>
                </w:tcPr>
                <w:p>
                  <w:pPr>
                    <w:adjustRightInd w:val="0"/>
                    <w:snapToGrid w:val="0"/>
                    <w:jc w:val="center"/>
                    <w:rPr>
                      <w:szCs w:val="21"/>
                    </w:rPr>
                  </w:pPr>
                  <w:r>
                    <w:rPr>
                      <w:rFonts w:hint="eastAsia"/>
                      <w:szCs w:val="21"/>
                    </w:rPr>
                    <w:t>颗粒物</w:t>
                  </w:r>
                </w:p>
              </w:tc>
              <w:tc>
                <w:tcPr>
                  <w:tcW w:w="838" w:type="dxa"/>
                  <w:tcBorders>
                    <w:tl2br w:val="nil"/>
                    <w:tr2bl w:val="nil"/>
                  </w:tcBorders>
                  <w:vAlign w:val="center"/>
                </w:tcPr>
                <w:p>
                  <w:pPr>
                    <w:adjustRightInd w:val="0"/>
                    <w:snapToGrid w:val="0"/>
                    <w:jc w:val="center"/>
                    <w:rPr>
                      <w:szCs w:val="21"/>
                    </w:rPr>
                  </w:pPr>
                  <w:r>
                    <w:rPr>
                      <w:rFonts w:hint="eastAsia"/>
                      <w:szCs w:val="21"/>
                    </w:rPr>
                    <w:t>0.16</w:t>
                  </w:r>
                </w:p>
              </w:tc>
            </w:tr>
          </w:tbl>
          <w:p>
            <w:pPr>
              <w:adjustRightInd w:val="0"/>
              <w:snapToGrid w:val="0"/>
              <w:jc w:val="center"/>
              <w:rPr>
                <w:b/>
                <w:bCs/>
                <w:szCs w:val="21"/>
              </w:rPr>
            </w:pPr>
            <w:r>
              <w:rPr>
                <w:rFonts w:hint="eastAsia"/>
                <w:b/>
                <w:bCs/>
                <w:szCs w:val="21"/>
              </w:rPr>
              <w:t>表25    主要废气污染源参数一览表（矩形面源）</w:t>
            </w: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364"/>
              <w:gridCol w:w="1260"/>
              <w:gridCol w:w="640"/>
              <w:gridCol w:w="704"/>
              <w:gridCol w:w="983"/>
              <w:gridCol w:w="794"/>
              <w:gridCol w:w="1375"/>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8" w:type="dxa"/>
                  <w:vMerge w:val="restart"/>
                  <w:tcBorders>
                    <w:tl2br w:val="nil"/>
                    <w:tr2bl w:val="nil"/>
                  </w:tcBorders>
                  <w:vAlign w:val="center"/>
                </w:tcPr>
                <w:p>
                  <w:pPr>
                    <w:adjustRightInd w:val="0"/>
                    <w:snapToGrid w:val="0"/>
                    <w:jc w:val="center"/>
                    <w:rPr>
                      <w:szCs w:val="21"/>
                    </w:rPr>
                  </w:pPr>
                  <w:r>
                    <w:rPr>
                      <w:szCs w:val="21"/>
                    </w:rPr>
                    <w:t>污染源名称</w:t>
                  </w:r>
                </w:p>
              </w:tc>
              <w:tc>
                <w:tcPr>
                  <w:tcW w:w="2624" w:type="dxa"/>
                  <w:gridSpan w:val="2"/>
                  <w:tcBorders>
                    <w:tl2br w:val="nil"/>
                    <w:tr2bl w:val="nil"/>
                  </w:tcBorders>
                  <w:vAlign w:val="center"/>
                </w:tcPr>
                <w:p>
                  <w:pPr>
                    <w:adjustRightInd w:val="0"/>
                    <w:snapToGrid w:val="0"/>
                    <w:jc w:val="center"/>
                    <w:rPr>
                      <w:szCs w:val="21"/>
                    </w:rPr>
                  </w:pPr>
                  <w:r>
                    <w:rPr>
                      <w:szCs w:val="21"/>
                    </w:rPr>
                    <w:t>左下角坐标(</w:t>
                  </w:r>
                  <w:r>
                    <w:rPr>
                      <w:szCs w:val="21"/>
                      <w:vertAlign w:val="superscript"/>
                    </w:rPr>
                    <w:t>o</w:t>
                  </w:r>
                  <w:r>
                    <w:rPr>
                      <w:szCs w:val="21"/>
                    </w:rPr>
                    <w:t>)</w:t>
                  </w:r>
                </w:p>
              </w:tc>
              <w:tc>
                <w:tcPr>
                  <w:tcW w:w="640" w:type="dxa"/>
                  <w:vMerge w:val="restart"/>
                  <w:tcBorders>
                    <w:tl2br w:val="nil"/>
                    <w:tr2bl w:val="nil"/>
                  </w:tcBorders>
                  <w:vAlign w:val="center"/>
                </w:tcPr>
                <w:p>
                  <w:pPr>
                    <w:adjustRightInd w:val="0"/>
                    <w:snapToGrid w:val="0"/>
                    <w:jc w:val="center"/>
                    <w:rPr>
                      <w:szCs w:val="21"/>
                    </w:rPr>
                  </w:pPr>
                  <w:r>
                    <w:rPr>
                      <w:szCs w:val="21"/>
                    </w:rPr>
                    <w:t>海拔高度(m)</w:t>
                  </w:r>
                </w:p>
              </w:tc>
              <w:tc>
                <w:tcPr>
                  <w:tcW w:w="2481" w:type="dxa"/>
                  <w:gridSpan w:val="3"/>
                  <w:tcBorders>
                    <w:tl2br w:val="nil"/>
                    <w:tr2bl w:val="nil"/>
                  </w:tcBorders>
                  <w:vAlign w:val="center"/>
                </w:tcPr>
                <w:p>
                  <w:pPr>
                    <w:adjustRightInd w:val="0"/>
                    <w:snapToGrid w:val="0"/>
                    <w:jc w:val="center"/>
                    <w:rPr>
                      <w:szCs w:val="21"/>
                    </w:rPr>
                  </w:pPr>
                  <w:r>
                    <w:rPr>
                      <w:szCs w:val="21"/>
                    </w:rPr>
                    <w:t>矩形面源</w:t>
                  </w:r>
                </w:p>
              </w:tc>
              <w:tc>
                <w:tcPr>
                  <w:tcW w:w="1375" w:type="dxa"/>
                  <w:vMerge w:val="restart"/>
                  <w:tcBorders>
                    <w:tl2br w:val="nil"/>
                    <w:tr2bl w:val="nil"/>
                  </w:tcBorders>
                  <w:vAlign w:val="center"/>
                </w:tcPr>
                <w:p>
                  <w:pPr>
                    <w:adjustRightInd w:val="0"/>
                    <w:snapToGrid w:val="0"/>
                    <w:jc w:val="center"/>
                    <w:rPr>
                      <w:szCs w:val="21"/>
                    </w:rPr>
                  </w:pPr>
                  <w:r>
                    <w:rPr>
                      <w:szCs w:val="21"/>
                    </w:rPr>
                    <w:t>污染物</w:t>
                  </w:r>
                </w:p>
              </w:tc>
              <w:tc>
                <w:tcPr>
                  <w:tcW w:w="1007" w:type="dxa"/>
                  <w:vMerge w:val="restart"/>
                  <w:tcBorders>
                    <w:tl2br w:val="nil"/>
                    <w:tr2bl w:val="nil"/>
                  </w:tcBorders>
                  <w:vAlign w:val="center"/>
                </w:tcPr>
                <w:p>
                  <w:pPr>
                    <w:adjustRightInd w:val="0"/>
                    <w:snapToGrid w:val="0"/>
                    <w:jc w:val="center"/>
                    <w:rPr>
                      <w:szCs w:val="21"/>
                    </w:rPr>
                  </w:pPr>
                  <w:r>
                    <w:rPr>
                      <w:szCs w:val="21"/>
                    </w:rPr>
                    <w:t>排放速率kg/h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48" w:type="dxa"/>
                  <w:vMerge w:val="continue"/>
                  <w:tcBorders>
                    <w:tl2br w:val="nil"/>
                    <w:tr2bl w:val="nil"/>
                  </w:tcBorders>
                  <w:vAlign w:val="center"/>
                </w:tcPr>
                <w:p>
                  <w:pPr>
                    <w:adjustRightInd w:val="0"/>
                    <w:snapToGrid w:val="0"/>
                    <w:jc w:val="center"/>
                    <w:rPr>
                      <w:szCs w:val="21"/>
                    </w:rPr>
                  </w:pPr>
                </w:p>
              </w:tc>
              <w:tc>
                <w:tcPr>
                  <w:tcW w:w="1364" w:type="dxa"/>
                  <w:tcBorders>
                    <w:tl2br w:val="nil"/>
                    <w:tr2bl w:val="nil"/>
                  </w:tcBorders>
                  <w:vAlign w:val="center"/>
                </w:tcPr>
                <w:p>
                  <w:pPr>
                    <w:adjustRightInd w:val="0"/>
                    <w:snapToGrid w:val="0"/>
                    <w:jc w:val="center"/>
                    <w:rPr>
                      <w:szCs w:val="21"/>
                    </w:rPr>
                  </w:pPr>
                  <w:r>
                    <w:rPr>
                      <w:szCs w:val="21"/>
                    </w:rPr>
                    <w:t>经度</w:t>
                  </w:r>
                </w:p>
              </w:tc>
              <w:tc>
                <w:tcPr>
                  <w:tcW w:w="1260" w:type="dxa"/>
                  <w:tcBorders>
                    <w:tl2br w:val="nil"/>
                    <w:tr2bl w:val="nil"/>
                  </w:tcBorders>
                  <w:vAlign w:val="center"/>
                </w:tcPr>
                <w:p>
                  <w:pPr>
                    <w:adjustRightInd w:val="0"/>
                    <w:snapToGrid w:val="0"/>
                    <w:jc w:val="center"/>
                    <w:rPr>
                      <w:szCs w:val="21"/>
                    </w:rPr>
                  </w:pPr>
                  <w:r>
                    <w:rPr>
                      <w:szCs w:val="21"/>
                    </w:rPr>
                    <w:t>纬度</w:t>
                  </w:r>
                </w:p>
              </w:tc>
              <w:tc>
                <w:tcPr>
                  <w:tcW w:w="640" w:type="dxa"/>
                  <w:vMerge w:val="continue"/>
                  <w:tcBorders>
                    <w:tl2br w:val="nil"/>
                    <w:tr2bl w:val="nil"/>
                  </w:tcBorders>
                  <w:vAlign w:val="center"/>
                </w:tcPr>
                <w:p>
                  <w:pPr>
                    <w:adjustRightInd w:val="0"/>
                    <w:snapToGrid w:val="0"/>
                    <w:jc w:val="center"/>
                    <w:rPr>
                      <w:szCs w:val="21"/>
                    </w:rPr>
                  </w:pPr>
                </w:p>
              </w:tc>
              <w:tc>
                <w:tcPr>
                  <w:tcW w:w="704" w:type="dxa"/>
                  <w:tcBorders>
                    <w:tl2br w:val="nil"/>
                    <w:tr2bl w:val="nil"/>
                  </w:tcBorders>
                  <w:vAlign w:val="center"/>
                </w:tcPr>
                <w:p>
                  <w:pPr>
                    <w:adjustRightInd w:val="0"/>
                    <w:snapToGrid w:val="0"/>
                    <w:jc w:val="center"/>
                    <w:rPr>
                      <w:szCs w:val="21"/>
                    </w:rPr>
                  </w:pPr>
                  <w:r>
                    <w:rPr>
                      <w:szCs w:val="21"/>
                    </w:rPr>
                    <w:t>长度</w:t>
                  </w:r>
                </w:p>
                <w:p>
                  <w:pPr>
                    <w:adjustRightInd w:val="0"/>
                    <w:snapToGrid w:val="0"/>
                    <w:jc w:val="center"/>
                    <w:rPr>
                      <w:szCs w:val="21"/>
                    </w:rPr>
                  </w:pPr>
                  <w:r>
                    <w:rPr>
                      <w:szCs w:val="21"/>
                    </w:rPr>
                    <w:t>(m)</w:t>
                  </w:r>
                </w:p>
              </w:tc>
              <w:tc>
                <w:tcPr>
                  <w:tcW w:w="983" w:type="dxa"/>
                  <w:tcBorders>
                    <w:tl2br w:val="nil"/>
                    <w:tr2bl w:val="nil"/>
                  </w:tcBorders>
                  <w:vAlign w:val="center"/>
                </w:tcPr>
                <w:p>
                  <w:pPr>
                    <w:adjustRightInd w:val="0"/>
                    <w:snapToGrid w:val="0"/>
                    <w:jc w:val="center"/>
                    <w:rPr>
                      <w:szCs w:val="21"/>
                    </w:rPr>
                  </w:pPr>
                  <w:r>
                    <w:rPr>
                      <w:szCs w:val="21"/>
                    </w:rPr>
                    <w:t>宽度</w:t>
                  </w:r>
                </w:p>
                <w:p>
                  <w:pPr>
                    <w:adjustRightInd w:val="0"/>
                    <w:snapToGrid w:val="0"/>
                    <w:jc w:val="center"/>
                    <w:rPr>
                      <w:szCs w:val="21"/>
                    </w:rPr>
                  </w:pPr>
                  <w:r>
                    <w:rPr>
                      <w:szCs w:val="21"/>
                    </w:rPr>
                    <w:t>(m)</w:t>
                  </w:r>
                </w:p>
              </w:tc>
              <w:tc>
                <w:tcPr>
                  <w:tcW w:w="794" w:type="dxa"/>
                  <w:tcBorders>
                    <w:tl2br w:val="nil"/>
                    <w:tr2bl w:val="nil"/>
                  </w:tcBorders>
                  <w:vAlign w:val="center"/>
                </w:tcPr>
                <w:p>
                  <w:pPr>
                    <w:adjustRightInd w:val="0"/>
                    <w:snapToGrid w:val="0"/>
                    <w:jc w:val="center"/>
                    <w:rPr>
                      <w:szCs w:val="21"/>
                    </w:rPr>
                  </w:pPr>
                  <w:r>
                    <w:rPr>
                      <w:szCs w:val="21"/>
                    </w:rPr>
                    <w:t>有效</w:t>
                  </w:r>
                </w:p>
                <w:p>
                  <w:pPr>
                    <w:adjustRightInd w:val="0"/>
                    <w:snapToGrid w:val="0"/>
                    <w:jc w:val="center"/>
                    <w:rPr>
                      <w:szCs w:val="21"/>
                    </w:rPr>
                  </w:pPr>
                  <w:r>
                    <w:rPr>
                      <w:szCs w:val="21"/>
                    </w:rPr>
                    <w:t>高度</w:t>
                  </w:r>
                </w:p>
                <w:p>
                  <w:pPr>
                    <w:adjustRightInd w:val="0"/>
                    <w:snapToGrid w:val="0"/>
                    <w:jc w:val="center"/>
                    <w:rPr>
                      <w:szCs w:val="21"/>
                    </w:rPr>
                  </w:pPr>
                  <w:r>
                    <w:rPr>
                      <w:szCs w:val="21"/>
                    </w:rPr>
                    <w:t>(m)</w:t>
                  </w:r>
                </w:p>
              </w:tc>
              <w:tc>
                <w:tcPr>
                  <w:tcW w:w="1375" w:type="dxa"/>
                  <w:vMerge w:val="continue"/>
                  <w:tcBorders>
                    <w:tl2br w:val="nil"/>
                    <w:tr2bl w:val="nil"/>
                  </w:tcBorders>
                  <w:vAlign w:val="center"/>
                </w:tcPr>
                <w:p>
                  <w:pPr>
                    <w:adjustRightInd w:val="0"/>
                    <w:snapToGrid w:val="0"/>
                    <w:jc w:val="center"/>
                    <w:rPr>
                      <w:szCs w:val="21"/>
                    </w:rPr>
                  </w:pPr>
                </w:p>
              </w:tc>
              <w:tc>
                <w:tcPr>
                  <w:tcW w:w="1007" w:type="dxa"/>
                  <w:vMerge w:val="continue"/>
                  <w:tcBorders>
                    <w:tl2br w:val="nil"/>
                    <w:tr2bl w:val="nil"/>
                  </w:tcBorders>
                  <w:vAlign w:val="center"/>
                </w:tcPr>
                <w:p>
                  <w:pPr>
                    <w:adjustRightInd w:val="0"/>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848" w:type="dxa"/>
                  <w:tcBorders>
                    <w:tl2br w:val="nil"/>
                    <w:tr2bl w:val="nil"/>
                  </w:tcBorders>
                  <w:vAlign w:val="center"/>
                </w:tcPr>
                <w:p>
                  <w:pPr>
                    <w:adjustRightInd w:val="0"/>
                    <w:snapToGrid w:val="0"/>
                    <w:jc w:val="center"/>
                    <w:rPr>
                      <w:szCs w:val="21"/>
                    </w:rPr>
                  </w:pPr>
                  <w:r>
                    <w:rPr>
                      <w:rFonts w:hint="eastAsia"/>
                      <w:szCs w:val="21"/>
                    </w:rPr>
                    <w:t>厂区</w:t>
                  </w:r>
                </w:p>
              </w:tc>
              <w:tc>
                <w:tcPr>
                  <w:tcW w:w="1364" w:type="dxa"/>
                  <w:tcBorders>
                    <w:tl2br w:val="nil"/>
                    <w:tr2bl w:val="nil"/>
                  </w:tcBorders>
                  <w:vAlign w:val="center"/>
                </w:tcPr>
                <w:p>
                  <w:pPr>
                    <w:adjustRightInd w:val="0"/>
                    <w:snapToGrid w:val="0"/>
                    <w:jc w:val="center"/>
                    <w:rPr>
                      <w:szCs w:val="21"/>
                    </w:rPr>
                  </w:pPr>
                  <w:r>
                    <w:rPr>
                      <w:szCs w:val="21"/>
                    </w:rPr>
                    <w:t>108.</w:t>
                  </w:r>
                  <w:r>
                    <w:rPr>
                      <w:rFonts w:hint="eastAsia"/>
                      <w:szCs w:val="21"/>
                    </w:rPr>
                    <w:t>206087</w:t>
                  </w:r>
                  <w:r>
                    <w:rPr>
                      <w:szCs w:val="21"/>
                    </w:rPr>
                    <w:sym w:font="Symbol" w:char="F0B0"/>
                  </w:r>
                </w:p>
              </w:tc>
              <w:tc>
                <w:tcPr>
                  <w:tcW w:w="1260" w:type="dxa"/>
                  <w:tcBorders>
                    <w:tl2br w:val="nil"/>
                    <w:tr2bl w:val="nil"/>
                  </w:tcBorders>
                  <w:vAlign w:val="center"/>
                </w:tcPr>
                <w:p>
                  <w:pPr>
                    <w:adjustRightInd w:val="0"/>
                    <w:snapToGrid w:val="0"/>
                    <w:jc w:val="center"/>
                    <w:rPr>
                      <w:szCs w:val="21"/>
                    </w:rPr>
                  </w:pPr>
                  <w:r>
                    <w:rPr>
                      <w:rFonts w:hint="eastAsia"/>
                      <w:szCs w:val="21"/>
                    </w:rPr>
                    <w:t>33.054511</w:t>
                  </w:r>
                  <w:r>
                    <w:rPr>
                      <w:szCs w:val="21"/>
                    </w:rPr>
                    <w:sym w:font="Symbol" w:char="F0B0"/>
                  </w:r>
                </w:p>
              </w:tc>
              <w:tc>
                <w:tcPr>
                  <w:tcW w:w="640" w:type="dxa"/>
                  <w:tcBorders>
                    <w:tl2br w:val="nil"/>
                    <w:tr2bl w:val="nil"/>
                  </w:tcBorders>
                  <w:vAlign w:val="center"/>
                </w:tcPr>
                <w:p>
                  <w:pPr>
                    <w:adjustRightInd w:val="0"/>
                    <w:snapToGrid w:val="0"/>
                    <w:jc w:val="center"/>
                    <w:rPr>
                      <w:szCs w:val="21"/>
                    </w:rPr>
                  </w:pPr>
                  <w:r>
                    <w:rPr>
                      <w:rFonts w:hint="eastAsia"/>
                      <w:szCs w:val="21"/>
                    </w:rPr>
                    <w:t>495</w:t>
                  </w:r>
                </w:p>
              </w:tc>
              <w:tc>
                <w:tcPr>
                  <w:tcW w:w="704" w:type="dxa"/>
                  <w:tcBorders>
                    <w:tl2br w:val="nil"/>
                    <w:tr2bl w:val="nil"/>
                  </w:tcBorders>
                  <w:vAlign w:val="center"/>
                </w:tcPr>
                <w:p>
                  <w:pPr>
                    <w:adjustRightInd w:val="0"/>
                    <w:snapToGrid w:val="0"/>
                    <w:jc w:val="center"/>
                    <w:rPr>
                      <w:szCs w:val="21"/>
                    </w:rPr>
                  </w:pPr>
                  <w:r>
                    <w:rPr>
                      <w:rFonts w:hint="eastAsia"/>
                      <w:szCs w:val="21"/>
                    </w:rPr>
                    <w:t>204</w:t>
                  </w:r>
                </w:p>
              </w:tc>
              <w:tc>
                <w:tcPr>
                  <w:tcW w:w="983" w:type="dxa"/>
                  <w:tcBorders>
                    <w:tl2br w:val="nil"/>
                    <w:tr2bl w:val="nil"/>
                  </w:tcBorders>
                  <w:vAlign w:val="center"/>
                </w:tcPr>
                <w:p>
                  <w:pPr>
                    <w:adjustRightInd w:val="0"/>
                    <w:snapToGrid w:val="0"/>
                    <w:jc w:val="center"/>
                    <w:rPr>
                      <w:szCs w:val="21"/>
                    </w:rPr>
                  </w:pPr>
                  <w:r>
                    <w:rPr>
                      <w:rFonts w:hint="eastAsia"/>
                      <w:szCs w:val="21"/>
                    </w:rPr>
                    <w:t>68</w:t>
                  </w:r>
                </w:p>
              </w:tc>
              <w:tc>
                <w:tcPr>
                  <w:tcW w:w="794" w:type="dxa"/>
                  <w:tcBorders>
                    <w:tl2br w:val="nil"/>
                    <w:tr2bl w:val="nil"/>
                  </w:tcBorders>
                  <w:vAlign w:val="center"/>
                </w:tcPr>
                <w:p>
                  <w:pPr>
                    <w:adjustRightInd w:val="0"/>
                    <w:snapToGrid w:val="0"/>
                    <w:jc w:val="center"/>
                    <w:rPr>
                      <w:szCs w:val="21"/>
                    </w:rPr>
                  </w:pPr>
                  <w:r>
                    <w:rPr>
                      <w:rFonts w:hint="eastAsia"/>
                      <w:szCs w:val="21"/>
                    </w:rPr>
                    <w:t>10</w:t>
                  </w:r>
                </w:p>
              </w:tc>
              <w:tc>
                <w:tcPr>
                  <w:tcW w:w="1375" w:type="dxa"/>
                  <w:tcBorders>
                    <w:tl2br w:val="nil"/>
                    <w:tr2bl w:val="nil"/>
                  </w:tcBorders>
                  <w:vAlign w:val="center"/>
                </w:tcPr>
                <w:p>
                  <w:pPr>
                    <w:adjustRightInd w:val="0"/>
                    <w:snapToGrid w:val="0"/>
                    <w:jc w:val="center"/>
                    <w:rPr>
                      <w:szCs w:val="21"/>
                    </w:rPr>
                  </w:pPr>
                  <w:r>
                    <w:rPr>
                      <w:rFonts w:hint="eastAsia"/>
                      <w:szCs w:val="21"/>
                    </w:rPr>
                    <w:t>颗粒物</w:t>
                  </w:r>
                </w:p>
              </w:tc>
              <w:tc>
                <w:tcPr>
                  <w:tcW w:w="1007" w:type="dxa"/>
                  <w:tcBorders>
                    <w:tl2br w:val="nil"/>
                    <w:tr2bl w:val="nil"/>
                  </w:tcBorders>
                  <w:vAlign w:val="center"/>
                </w:tcPr>
                <w:p>
                  <w:pPr>
                    <w:adjustRightInd w:val="0"/>
                    <w:snapToGrid w:val="0"/>
                    <w:jc w:val="center"/>
                    <w:rPr>
                      <w:szCs w:val="21"/>
                    </w:rPr>
                  </w:pPr>
                  <w:r>
                    <w:rPr>
                      <w:rFonts w:hint="eastAsia"/>
                      <w:szCs w:val="21"/>
                    </w:rPr>
                    <w:t>0.19</w:t>
                  </w:r>
                </w:p>
              </w:tc>
            </w:tr>
          </w:tbl>
          <w:p>
            <w:pPr>
              <w:tabs>
                <w:tab w:val="center" w:pos="4775"/>
              </w:tabs>
              <w:spacing w:before="156" w:beforeLines="50" w:line="360" w:lineRule="auto"/>
              <w:ind w:firstLine="480" w:firstLineChars="200"/>
              <w:rPr>
                <w:sz w:val="24"/>
              </w:rPr>
            </w:pPr>
            <w:r>
              <w:rPr>
                <w:sz w:val="24"/>
              </w:rPr>
              <w:t>（2）预测模型</w:t>
            </w:r>
          </w:p>
          <w:p>
            <w:pPr>
              <w:tabs>
                <w:tab w:val="center" w:pos="4775"/>
              </w:tabs>
              <w:spacing w:line="360" w:lineRule="auto"/>
              <w:ind w:firstLine="480" w:firstLineChars="200"/>
              <w:rPr>
                <w:sz w:val="24"/>
              </w:rPr>
            </w:pPr>
            <w:r>
              <w:rPr>
                <w:sz w:val="24"/>
              </w:rPr>
              <w:t>本项目大气环境影响评价工作级别为</w:t>
            </w:r>
            <w:r>
              <w:rPr>
                <w:rFonts w:hint="eastAsia"/>
                <w:sz w:val="24"/>
              </w:rPr>
              <w:t>二</w:t>
            </w:r>
            <w:r>
              <w:rPr>
                <w:sz w:val="24"/>
              </w:rPr>
              <w:t>级，根据《环境影响评价技术导则 大气环境》(HJ2.2-2018)，对于</w:t>
            </w:r>
            <w:r>
              <w:rPr>
                <w:rFonts w:hint="eastAsia"/>
                <w:sz w:val="24"/>
              </w:rPr>
              <w:t>二</w:t>
            </w:r>
            <w:r>
              <w:rPr>
                <w:sz w:val="24"/>
              </w:rPr>
              <w:t>级评价不进行进一步预测与评级。以估算模式(AERSCREEN模型)的计算结果作为分析依据。</w:t>
            </w:r>
          </w:p>
          <w:p>
            <w:pPr>
              <w:tabs>
                <w:tab w:val="center" w:pos="4775"/>
              </w:tabs>
              <w:spacing w:line="360" w:lineRule="auto"/>
              <w:ind w:firstLine="482"/>
              <w:rPr>
                <w:sz w:val="24"/>
              </w:rPr>
            </w:pPr>
            <w:r>
              <w:rPr>
                <w:sz w:val="24"/>
              </w:rPr>
              <w:t>（3）预测结果</w:t>
            </w:r>
          </w:p>
          <w:p>
            <w:pPr>
              <w:tabs>
                <w:tab w:val="center" w:pos="4775"/>
              </w:tabs>
              <w:spacing w:line="360" w:lineRule="auto"/>
              <w:ind w:firstLine="482"/>
              <w:rPr>
                <w:sz w:val="24"/>
                <w:lang w:val="en-GB"/>
              </w:rPr>
            </w:pPr>
            <w:r>
              <w:rPr>
                <w:sz w:val="24"/>
                <w:lang w:val="en-GB"/>
              </w:rPr>
              <w:t>项目废气排放预测结果见表</w:t>
            </w:r>
            <w:r>
              <w:rPr>
                <w:rFonts w:hint="eastAsia"/>
                <w:sz w:val="24"/>
              </w:rPr>
              <w:t>26</w:t>
            </w:r>
            <w:r>
              <w:rPr>
                <w:sz w:val="24"/>
                <w:lang w:val="en-GB"/>
              </w:rPr>
              <w:t>。</w:t>
            </w:r>
          </w:p>
          <w:p>
            <w:pPr>
              <w:adjustRightInd w:val="0"/>
              <w:snapToGrid w:val="0"/>
              <w:jc w:val="center"/>
              <w:rPr>
                <w:b/>
                <w:bCs/>
                <w:szCs w:val="21"/>
              </w:rPr>
            </w:pPr>
            <w:r>
              <w:rPr>
                <w:rFonts w:hint="eastAsia"/>
                <w:b/>
                <w:bCs/>
                <w:szCs w:val="21"/>
              </w:rPr>
              <w:t>表26  废气排放估算模式计算结果一览表</w:t>
            </w:r>
          </w:p>
          <w:tbl>
            <w:tblPr>
              <w:tblStyle w:val="19"/>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691"/>
              <w:gridCol w:w="1402"/>
              <w:gridCol w:w="1507"/>
              <w:gridCol w:w="1507"/>
              <w:gridCol w:w="1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89" w:type="pct"/>
                  <w:tcBorders>
                    <w:tl2br w:val="nil"/>
                    <w:tr2bl w:val="nil"/>
                  </w:tcBorders>
                  <w:vAlign w:val="center"/>
                </w:tcPr>
                <w:p>
                  <w:pPr>
                    <w:adjustRightInd w:val="0"/>
                    <w:snapToGrid w:val="0"/>
                    <w:jc w:val="center"/>
                    <w:rPr>
                      <w:szCs w:val="21"/>
                    </w:rPr>
                  </w:pPr>
                  <w:r>
                    <w:rPr>
                      <w:szCs w:val="21"/>
                    </w:rPr>
                    <w:t>污染源名称</w:t>
                  </w:r>
                </w:p>
              </w:tc>
              <w:tc>
                <w:tcPr>
                  <w:tcW w:w="935" w:type="pct"/>
                  <w:tcBorders>
                    <w:tl2br w:val="nil"/>
                    <w:tr2bl w:val="nil"/>
                  </w:tcBorders>
                  <w:vAlign w:val="center"/>
                </w:tcPr>
                <w:p>
                  <w:pPr>
                    <w:adjustRightInd w:val="0"/>
                    <w:snapToGrid w:val="0"/>
                    <w:jc w:val="center"/>
                    <w:rPr>
                      <w:szCs w:val="21"/>
                    </w:rPr>
                  </w:pPr>
                  <w:r>
                    <w:rPr>
                      <w:szCs w:val="21"/>
                    </w:rPr>
                    <w:t>评价因子</w:t>
                  </w:r>
                </w:p>
              </w:tc>
              <w:tc>
                <w:tcPr>
                  <w:tcW w:w="775" w:type="pct"/>
                  <w:tcBorders>
                    <w:tl2br w:val="nil"/>
                    <w:tr2bl w:val="nil"/>
                  </w:tcBorders>
                  <w:vAlign w:val="center"/>
                </w:tcPr>
                <w:p>
                  <w:pPr>
                    <w:adjustRightInd w:val="0"/>
                    <w:snapToGrid w:val="0"/>
                    <w:jc w:val="center"/>
                    <w:rPr>
                      <w:szCs w:val="21"/>
                    </w:rPr>
                  </w:pPr>
                  <w:r>
                    <w:rPr>
                      <w:szCs w:val="21"/>
                    </w:rPr>
                    <w:t>评价标准</w:t>
                  </w:r>
                </w:p>
                <w:p>
                  <w:pPr>
                    <w:adjustRightInd w:val="0"/>
                    <w:snapToGrid w:val="0"/>
                    <w:jc w:val="center"/>
                    <w:rPr>
                      <w:szCs w:val="21"/>
                    </w:rPr>
                  </w:pPr>
                  <w:r>
                    <w:rPr>
                      <w:szCs w:val="21"/>
                    </w:rPr>
                    <w:t>(μg/m</w:t>
                  </w:r>
                  <w:r>
                    <w:rPr>
                      <w:szCs w:val="21"/>
                      <w:vertAlign w:val="superscript"/>
                    </w:rPr>
                    <w:t>3</w:t>
                  </w:r>
                  <w:r>
                    <w:rPr>
                      <w:szCs w:val="21"/>
                    </w:rPr>
                    <w:t>)</w:t>
                  </w:r>
                </w:p>
              </w:tc>
              <w:tc>
                <w:tcPr>
                  <w:tcW w:w="833" w:type="pct"/>
                  <w:tcBorders>
                    <w:tl2br w:val="nil"/>
                    <w:tr2bl w:val="nil"/>
                  </w:tcBorders>
                  <w:vAlign w:val="center"/>
                </w:tcPr>
                <w:p>
                  <w:pPr>
                    <w:adjustRightInd w:val="0"/>
                    <w:snapToGrid w:val="0"/>
                    <w:jc w:val="center"/>
                    <w:rPr>
                      <w:szCs w:val="21"/>
                    </w:rPr>
                  </w:pPr>
                  <w:r>
                    <w:rPr>
                      <w:szCs w:val="21"/>
                    </w:rPr>
                    <w:t>Cmax</w:t>
                  </w:r>
                </w:p>
                <w:p>
                  <w:pPr>
                    <w:adjustRightInd w:val="0"/>
                    <w:snapToGrid w:val="0"/>
                    <w:jc w:val="center"/>
                    <w:rPr>
                      <w:szCs w:val="21"/>
                    </w:rPr>
                  </w:pPr>
                  <w:r>
                    <w:rPr>
                      <w:szCs w:val="21"/>
                    </w:rPr>
                    <w:t>(μg/m</w:t>
                  </w:r>
                  <w:r>
                    <w:rPr>
                      <w:szCs w:val="21"/>
                      <w:vertAlign w:val="superscript"/>
                    </w:rPr>
                    <w:t>3</w:t>
                  </w:r>
                  <w:r>
                    <w:rPr>
                      <w:szCs w:val="21"/>
                    </w:rPr>
                    <w:t>)</w:t>
                  </w:r>
                </w:p>
              </w:tc>
              <w:tc>
                <w:tcPr>
                  <w:tcW w:w="833" w:type="pct"/>
                  <w:tcBorders>
                    <w:tl2br w:val="nil"/>
                    <w:tr2bl w:val="nil"/>
                  </w:tcBorders>
                  <w:vAlign w:val="center"/>
                </w:tcPr>
                <w:p>
                  <w:pPr>
                    <w:adjustRightInd w:val="0"/>
                    <w:snapToGrid w:val="0"/>
                    <w:jc w:val="center"/>
                    <w:rPr>
                      <w:szCs w:val="21"/>
                    </w:rPr>
                  </w:pPr>
                  <w:r>
                    <w:rPr>
                      <w:szCs w:val="21"/>
                    </w:rPr>
                    <w:t>Pmax (%)</w:t>
                  </w:r>
                </w:p>
              </w:tc>
              <w:tc>
                <w:tcPr>
                  <w:tcW w:w="831" w:type="pct"/>
                  <w:tcBorders>
                    <w:tl2br w:val="nil"/>
                    <w:tr2bl w:val="nil"/>
                  </w:tcBorders>
                  <w:vAlign w:val="center"/>
                </w:tcPr>
                <w:p>
                  <w:pPr>
                    <w:adjustRightInd w:val="0"/>
                    <w:snapToGrid w:val="0"/>
                    <w:jc w:val="center"/>
                    <w:rPr>
                      <w:szCs w:val="21"/>
                    </w:rPr>
                  </w:pPr>
                  <w:r>
                    <w:rPr>
                      <w:szCs w:val="21"/>
                    </w:rPr>
                    <w:t>D10% (m)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89" w:type="pct"/>
                  <w:tcBorders>
                    <w:tl2br w:val="nil"/>
                    <w:tr2bl w:val="nil"/>
                  </w:tcBorders>
                  <w:vAlign w:val="center"/>
                </w:tcPr>
                <w:p>
                  <w:pPr>
                    <w:adjustRightInd w:val="0"/>
                    <w:snapToGrid w:val="0"/>
                    <w:jc w:val="center"/>
                    <w:rPr>
                      <w:szCs w:val="21"/>
                    </w:rPr>
                  </w:pPr>
                  <w:r>
                    <w:rPr>
                      <w:rFonts w:hint="eastAsia"/>
                      <w:szCs w:val="21"/>
                    </w:rPr>
                    <w:t>生产车间</w:t>
                  </w:r>
                </w:p>
              </w:tc>
              <w:tc>
                <w:tcPr>
                  <w:tcW w:w="935" w:type="pct"/>
                  <w:tcBorders>
                    <w:tl2br w:val="nil"/>
                    <w:tr2bl w:val="nil"/>
                  </w:tcBorders>
                  <w:vAlign w:val="center"/>
                </w:tcPr>
                <w:p>
                  <w:pPr>
                    <w:adjustRightInd w:val="0"/>
                    <w:snapToGrid w:val="0"/>
                    <w:jc w:val="center"/>
                    <w:rPr>
                      <w:szCs w:val="21"/>
                    </w:rPr>
                  </w:pPr>
                  <w:r>
                    <w:rPr>
                      <w:rFonts w:hint="eastAsia"/>
                      <w:szCs w:val="21"/>
                    </w:rPr>
                    <w:t>颗粒物</w:t>
                  </w:r>
                </w:p>
              </w:tc>
              <w:tc>
                <w:tcPr>
                  <w:tcW w:w="775" w:type="pct"/>
                  <w:tcBorders>
                    <w:tl2br w:val="nil"/>
                    <w:tr2bl w:val="nil"/>
                  </w:tcBorders>
                  <w:vAlign w:val="center"/>
                </w:tcPr>
                <w:p>
                  <w:pPr>
                    <w:adjustRightInd w:val="0"/>
                    <w:snapToGrid w:val="0"/>
                    <w:jc w:val="center"/>
                    <w:rPr>
                      <w:szCs w:val="21"/>
                    </w:rPr>
                  </w:pPr>
                  <w:r>
                    <w:rPr>
                      <w:rFonts w:hint="eastAsia"/>
                      <w:szCs w:val="21"/>
                    </w:rPr>
                    <w:t>9</w:t>
                  </w:r>
                  <w:r>
                    <w:rPr>
                      <w:szCs w:val="21"/>
                    </w:rPr>
                    <w:t>00.0</w:t>
                  </w:r>
                </w:p>
              </w:tc>
              <w:tc>
                <w:tcPr>
                  <w:tcW w:w="833" w:type="pct"/>
                  <w:tcBorders>
                    <w:tl2br w:val="nil"/>
                    <w:tr2bl w:val="nil"/>
                  </w:tcBorders>
                  <w:vAlign w:val="center"/>
                </w:tcPr>
                <w:p>
                  <w:pPr>
                    <w:jc w:val="center"/>
                    <w:rPr>
                      <w:szCs w:val="21"/>
                    </w:rPr>
                  </w:pPr>
                  <w:r>
                    <w:rPr>
                      <w:rFonts w:hint="eastAsia"/>
                      <w:szCs w:val="21"/>
                    </w:rPr>
                    <w:t>20.0340</w:t>
                  </w:r>
                </w:p>
              </w:tc>
              <w:tc>
                <w:tcPr>
                  <w:tcW w:w="833" w:type="pct"/>
                  <w:tcBorders>
                    <w:tl2br w:val="nil"/>
                    <w:tr2bl w:val="nil"/>
                  </w:tcBorders>
                  <w:vAlign w:val="center"/>
                </w:tcPr>
                <w:p>
                  <w:pPr>
                    <w:jc w:val="center"/>
                    <w:rPr>
                      <w:szCs w:val="21"/>
                    </w:rPr>
                  </w:pPr>
                  <w:r>
                    <w:rPr>
                      <w:rFonts w:hint="eastAsia"/>
                      <w:szCs w:val="21"/>
                    </w:rPr>
                    <w:t>2.2260</w:t>
                  </w:r>
                </w:p>
              </w:tc>
              <w:tc>
                <w:tcPr>
                  <w:tcW w:w="831" w:type="pct"/>
                  <w:tcBorders>
                    <w:tl2br w:val="nil"/>
                    <w:tr2bl w:val="nil"/>
                  </w:tcBorders>
                  <w:vAlign w:val="center"/>
                </w:tcPr>
                <w:p>
                  <w:pPr>
                    <w:adjustRightInd w:val="0"/>
                    <w:snapToGrid w:val="0"/>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89" w:type="pct"/>
                  <w:tcBorders>
                    <w:tl2br w:val="nil"/>
                    <w:tr2bl w:val="nil"/>
                  </w:tcBorders>
                  <w:vAlign w:val="center"/>
                </w:tcPr>
                <w:p>
                  <w:pPr>
                    <w:adjustRightInd w:val="0"/>
                    <w:snapToGrid w:val="0"/>
                    <w:jc w:val="center"/>
                    <w:rPr>
                      <w:szCs w:val="21"/>
                    </w:rPr>
                  </w:pPr>
                  <w:r>
                    <w:rPr>
                      <w:szCs w:val="21"/>
                    </w:rPr>
                    <w:t>矩形面源</w:t>
                  </w:r>
                </w:p>
              </w:tc>
              <w:tc>
                <w:tcPr>
                  <w:tcW w:w="935" w:type="pct"/>
                  <w:tcBorders>
                    <w:tl2br w:val="nil"/>
                    <w:tr2bl w:val="nil"/>
                  </w:tcBorders>
                  <w:vAlign w:val="center"/>
                </w:tcPr>
                <w:p>
                  <w:pPr>
                    <w:adjustRightInd w:val="0"/>
                    <w:snapToGrid w:val="0"/>
                    <w:jc w:val="center"/>
                    <w:rPr>
                      <w:szCs w:val="21"/>
                    </w:rPr>
                  </w:pPr>
                  <w:r>
                    <w:rPr>
                      <w:rFonts w:hint="eastAsia"/>
                      <w:szCs w:val="21"/>
                    </w:rPr>
                    <w:t>颗粒物</w:t>
                  </w:r>
                </w:p>
              </w:tc>
              <w:tc>
                <w:tcPr>
                  <w:tcW w:w="775" w:type="pct"/>
                  <w:tcBorders>
                    <w:tl2br w:val="nil"/>
                    <w:tr2bl w:val="nil"/>
                  </w:tcBorders>
                  <w:vAlign w:val="center"/>
                </w:tcPr>
                <w:p>
                  <w:pPr>
                    <w:adjustRightInd w:val="0"/>
                    <w:snapToGrid w:val="0"/>
                    <w:jc w:val="center"/>
                    <w:rPr>
                      <w:szCs w:val="21"/>
                    </w:rPr>
                  </w:pPr>
                  <w:r>
                    <w:rPr>
                      <w:rFonts w:hint="eastAsia"/>
                      <w:szCs w:val="21"/>
                    </w:rPr>
                    <w:t>9</w:t>
                  </w:r>
                  <w:r>
                    <w:rPr>
                      <w:szCs w:val="21"/>
                    </w:rPr>
                    <w:t>00.0</w:t>
                  </w:r>
                </w:p>
              </w:tc>
              <w:tc>
                <w:tcPr>
                  <w:tcW w:w="833" w:type="pct"/>
                  <w:tcBorders>
                    <w:tl2br w:val="nil"/>
                    <w:tr2bl w:val="nil"/>
                  </w:tcBorders>
                  <w:vAlign w:val="center"/>
                </w:tcPr>
                <w:p>
                  <w:pPr>
                    <w:jc w:val="center"/>
                    <w:rPr>
                      <w:szCs w:val="21"/>
                    </w:rPr>
                  </w:pPr>
                  <w:r>
                    <w:rPr>
                      <w:rFonts w:hint="eastAsia"/>
                      <w:szCs w:val="21"/>
                    </w:rPr>
                    <w:t>84.3390</w:t>
                  </w:r>
                </w:p>
              </w:tc>
              <w:tc>
                <w:tcPr>
                  <w:tcW w:w="833" w:type="pct"/>
                  <w:tcBorders>
                    <w:tl2br w:val="nil"/>
                    <w:tr2bl w:val="nil"/>
                  </w:tcBorders>
                  <w:vAlign w:val="center"/>
                </w:tcPr>
                <w:p>
                  <w:pPr>
                    <w:jc w:val="center"/>
                    <w:rPr>
                      <w:szCs w:val="21"/>
                    </w:rPr>
                  </w:pPr>
                  <w:r>
                    <w:rPr>
                      <w:rFonts w:hint="eastAsia"/>
                      <w:szCs w:val="21"/>
                    </w:rPr>
                    <w:t>9.3710</w:t>
                  </w:r>
                </w:p>
              </w:tc>
              <w:tc>
                <w:tcPr>
                  <w:tcW w:w="831" w:type="pct"/>
                  <w:tcBorders>
                    <w:tl2br w:val="nil"/>
                    <w:tr2bl w:val="nil"/>
                  </w:tcBorders>
                  <w:vAlign w:val="center"/>
                </w:tcPr>
                <w:p>
                  <w:pPr>
                    <w:adjustRightInd w:val="0"/>
                    <w:snapToGrid w:val="0"/>
                    <w:jc w:val="center"/>
                    <w:rPr>
                      <w:szCs w:val="21"/>
                    </w:rPr>
                  </w:pPr>
                  <w:r>
                    <w:rPr>
                      <w:szCs w:val="21"/>
                    </w:rPr>
                    <w:t>/</w:t>
                  </w:r>
                </w:p>
              </w:tc>
            </w:tr>
          </w:tbl>
          <w:p>
            <w:pPr>
              <w:spacing w:line="360" w:lineRule="auto"/>
              <w:ind w:firstLine="422" w:firstLineChars="176"/>
              <w:rPr>
                <w:sz w:val="24"/>
              </w:rPr>
            </w:pPr>
            <w:r>
              <w:rPr>
                <w:sz w:val="24"/>
              </w:rPr>
              <w:t>根据表</w:t>
            </w:r>
            <w:r>
              <w:rPr>
                <w:rFonts w:hint="eastAsia"/>
                <w:sz w:val="24"/>
              </w:rPr>
              <w:t>22</w:t>
            </w:r>
            <w:r>
              <w:rPr>
                <w:sz w:val="24"/>
              </w:rPr>
              <w:t>，本项目各种污染物Pmax最大值为无组织排放的</w:t>
            </w:r>
            <w:r>
              <w:rPr>
                <w:rFonts w:hint="eastAsia"/>
                <w:sz w:val="24"/>
              </w:rPr>
              <w:t>颗粒物</w:t>
            </w:r>
            <w:r>
              <w:rPr>
                <w:sz w:val="24"/>
              </w:rPr>
              <w:t>，Pmax值为</w:t>
            </w:r>
            <w:r>
              <w:rPr>
                <w:rFonts w:hint="eastAsia"/>
                <w:sz w:val="24"/>
              </w:rPr>
              <w:t>9.3710</w:t>
            </w:r>
            <w:r>
              <w:rPr>
                <w:sz w:val="24"/>
              </w:rPr>
              <w:t>%（小于</w:t>
            </w:r>
            <w:r>
              <w:rPr>
                <w:rFonts w:hint="eastAsia"/>
                <w:sz w:val="24"/>
              </w:rPr>
              <w:t>10</w:t>
            </w:r>
            <w:r>
              <w:rPr>
                <w:sz w:val="24"/>
              </w:rPr>
              <w:t>%），Cmax为</w:t>
            </w:r>
            <w:r>
              <w:rPr>
                <w:rFonts w:hint="eastAsia"/>
                <w:sz w:val="24"/>
              </w:rPr>
              <w:t>84.3390</w:t>
            </w:r>
            <w:r>
              <w:rPr>
                <w:sz w:val="24"/>
              </w:rPr>
              <w:t>ug/m</w:t>
            </w:r>
            <w:r>
              <w:rPr>
                <w:sz w:val="24"/>
                <w:vertAlign w:val="superscript"/>
              </w:rPr>
              <w:t>3</w:t>
            </w:r>
            <w:r>
              <w:rPr>
                <w:sz w:val="24"/>
              </w:rPr>
              <w:t>，根据《环境影响评价技术导则大气环境》(HJ2.2-2018)分级判据，确定本项目大气环境影响评价工作等级为</w:t>
            </w:r>
            <w:r>
              <w:rPr>
                <w:rFonts w:hint="eastAsia"/>
                <w:sz w:val="24"/>
              </w:rPr>
              <w:t>二</w:t>
            </w:r>
            <w:r>
              <w:rPr>
                <w:sz w:val="24"/>
              </w:rPr>
              <w:t>级。因此，本项目废气对周围环境空气影响较小，</w:t>
            </w:r>
            <w:r>
              <w:rPr>
                <w:rFonts w:hint="eastAsia"/>
                <w:sz w:val="24"/>
              </w:rPr>
              <w:t>二</w:t>
            </w:r>
            <w:r>
              <w:rPr>
                <w:sz w:val="24"/>
              </w:rPr>
              <w:t>级评价项目不进行进一步预测评价，只对污染物排放量进行核算</w:t>
            </w:r>
            <w:r>
              <w:rPr>
                <w:rFonts w:hint="eastAsia"/>
                <w:sz w:val="24"/>
              </w:rPr>
              <w:t>。</w:t>
            </w:r>
          </w:p>
          <w:p>
            <w:pPr>
              <w:pStyle w:val="62"/>
            </w:pPr>
            <w:r>
              <w:rPr>
                <w:rFonts w:hint="eastAsia"/>
              </w:rPr>
              <w:t>（4</w:t>
            </w:r>
            <w:r>
              <w:t>）项目污染物排放量核算</w:t>
            </w:r>
          </w:p>
          <w:p>
            <w:pPr>
              <w:adjustRightInd w:val="0"/>
              <w:snapToGrid w:val="0"/>
              <w:jc w:val="center"/>
              <w:rPr>
                <w:b/>
                <w:bCs/>
                <w:szCs w:val="21"/>
              </w:rPr>
            </w:pPr>
            <w:r>
              <w:rPr>
                <w:rFonts w:hint="eastAsia"/>
                <w:b/>
                <w:bCs/>
                <w:szCs w:val="21"/>
              </w:rPr>
              <w:t>表27 大气污染物有组织排放量核算表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04"/>
              <w:gridCol w:w="1505"/>
              <w:gridCol w:w="1506"/>
              <w:gridCol w:w="1509"/>
              <w:gridCol w:w="1508"/>
              <w:gridCol w:w="1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8"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序号</w:t>
                  </w:r>
                </w:p>
              </w:tc>
              <w:tc>
                <w:tcPr>
                  <w:tcW w:w="1509"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排放口编号</w:t>
                  </w:r>
                </w:p>
              </w:tc>
              <w:tc>
                <w:tcPr>
                  <w:tcW w:w="1510"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污染物</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核算排放浓度（mg/m</w:t>
                  </w:r>
                  <w:r>
                    <w:rPr>
                      <w:rFonts w:ascii="Times New Roman" w:hAnsi="Times New Roman" w:eastAsia="宋体"/>
                      <w:b w:val="0"/>
                      <w:bCs w:val="0"/>
                      <w:sz w:val="21"/>
                      <w:szCs w:val="21"/>
                      <w:vertAlign w:val="superscript"/>
                    </w:rPr>
                    <w:t>3</w:t>
                  </w:r>
                  <w:r>
                    <w:rPr>
                      <w:rFonts w:ascii="Times New Roman" w:hAnsi="Times New Roman" w:eastAsia="宋体"/>
                      <w:b w:val="0"/>
                      <w:bCs w:val="0"/>
                      <w:sz w:val="21"/>
                      <w:szCs w:val="21"/>
                    </w:rPr>
                    <w:t>)</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核算排放速率（kg/h)</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核算年排放量（t/a）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060" w:type="dxa"/>
                  <w:gridSpan w:val="6"/>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一般排放口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08"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1</w:t>
                  </w:r>
                </w:p>
              </w:tc>
              <w:tc>
                <w:tcPr>
                  <w:tcW w:w="1509"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P1</w:t>
                  </w:r>
                </w:p>
              </w:tc>
              <w:tc>
                <w:tcPr>
                  <w:tcW w:w="1510"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颗粒物</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13.3</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0.16</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060" w:type="dxa"/>
                  <w:gridSpan w:val="6"/>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有组织排放口总计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017" w:type="dxa"/>
                  <w:gridSpan w:val="2"/>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有组织排放总计</w:t>
                  </w:r>
                </w:p>
              </w:tc>
              <w:tc>
                <w:tcPr>
                  <w:tcW w:w="4532" w:type="dxa"/>
                  <w:gridSpan w:val="3"/>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颗粒物</w:t>
                  </w:r>
                </w:p>
              </w:tc>
              <w:tc>
                <w:tcPr>
                  <w:tcW w:w="15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0.4</w:t>
                  </w:r>
                </w:p>
              </w:tc>
            </w:tr>
          </w:tbl>
          <w:p>
            <w:pPr>
              <w:adjustRightInd w:val="0"/>
              <w:snapToGrid w:val="0"/>
              <w:spacing w:before="156" w:beforeLines="50"/>
              <w:jc w:val="center"/>
              <w:rPr>
                <w:b/>
                <w:bCs/>
                <w:szCs w:val="21"/>
              </w:rPr>
            </w:pPr>
            <w:r>
              <w:rPr>
                <w:rFonts w:hint="eastAsia"/>
                <w:b/>
                <w:bCs/>
                <w:szCs w:val="21"/>
              </w:rPr>
              <w:t>表28    大气污染物无组织排放量核算表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0"/>
              <w:gridCol w:w="913"/>
              <w:gridCol w:w="1000"/>
              <w:gridCol w:w="1036"/>
              <w:gridCol w:w="1150"/>
              <w:gridCol w:w="1943"/>
              <w:gridCol w:w="1128"/>
              <w:gridCol w:w="11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3" w:type="dxa"/>
                  <w:vMerge w:val="restart"/>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序号</w:t>
                  </w:r>
                </w:p>
              </w:tc>
              <w:tc>
                <w:tcPr>
                  <w:tcW w:w="917" w:type="dxa"/>
                  <w:vMerge w:val="restart"/>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排放编号</w:t>
                  </w:r>
                </w:p>
              </w:tc>
              <w:tc>
                <w:tcPr>
                  <w:tcW w:w="1003" w:type="dxa"/>
                  <w:vMerge w:val="restart"/>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产污环节</w:t>
                  </w:r>
                </w:p>
              </w:tc>
              <w:tc>
                <w:tcPr>
                  <w:tcW w:w="1041" w:type="dxa"/>
                  <w:vMerge w:val="restart"/>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污染物</w:t>
                  </w:r>
                </w:p>
              </w:tc>
              <w:tc>
                <w:tcPr>
                  <w:tcW w:w="1154" w:type="dxa"/>
                  <w:vMerge w:val="restart"/>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主要污染防治措施</w:t>
                  </w:r>
                </w:p>
              </w:tc>
              <w:tc>
                <w:tcPr>
                  <w:tcW w:w="3071" w:type="dxa"/>
                  <w:gridSpan w:val="2"/>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国家或地方污染物排放标准</w:t>
                  </w:r>
                </w:p>
              </w:tc>
              <w:tc>
                <w:tcPr>
                  <w:tcW w:w="1111" w:type="dxa"/>
                  <w:vMerge w:val="restart"/>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3" w:type="dxa"/>
                  <w:vMerge w:val="continue"/>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p>
              </w:tc>
              <w:tc>
                <w:tcPr>
                  <w:tcW w:w="917" w:type="dxa"/>
                  <w:vMerge w:val="continue"/>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p>
              </w:tc>
              <w:tc>
                <w:tcPr>
                  <w:tcW w:w="1003" w:type="dxa"/>
                  <w:vMerge w:val="continue"/>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p>
              </w:tc>
              <w:tc>
                <w:tcPr>
                  <w:tcW w:w="1041" w:type="dxa"/>
                  <w:vMerge w:val="continue"/>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p>
              </w:tc>
              <w:tc>
                <w:tcPr>
                  <w:tcW w:w="1154" w:type="dxa"/>
                  <w:vMerge w:val="continue"/>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p>
              </w:tc>
              <w:tc>
                <w:tcPr>
                  <w:tcW w:w="1943"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标准名称</w:t>
                  </w:r>
                </w:p>
              </w:tc>
              <w:tc>
                <w:tcPr>
                  <w:tcW w:w="1128"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浓度限值（mg/m</w:t>
                  </w:r>
                  <w:r>
                    <w:rPr>
                      <w:rFonts w:ascii="Times New Roman" w:hAnsi="Times New Roman" w:eastAsia="宋体"/>
                      <w:b w:val="0"/>
                      <w:bCs w:val="0"/>
                      <w:sz w:val="21"/>
                      <w:szCs w:val="21"/>
                      <w:vertAlign w:val="superscript"/>
                    </w:rPr>
                    <w:t>3</w:t>
                  </w:r>
                  <w:r>
                    <w:rPr>
                      <w:rFonts w:ascii="Times New Roman" w:hAnsi="Times New Roman" w:eastAsia="宋体"/>
                      <w:b w:val="0"/>
                      <w:bCs w:val="0"/>
                      <w:sz w:val="21"/>
                      <w:szCs w:val="21"/>
                    </w:rPr>
                    <w:t>)</w:t>
                  </w:r>
                </w:p>
              </w:tc>
              <w:tc>
                <w:tcPr>
                  <w:tcW w:w="1111" w:type="dxa"/>
                  <w:vMerge w:val="continue"/>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63"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1</w:t>
                  </w:r>
                </w:p>
              </w:tc>
              <w:tc>
                <w:tcPr>
                  <w:tcW w:w="917"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厂区</w:t>
                  </w:r>
                </w:p>
              </w:tc>
              <w:tc>
                <w:tcPr>
                  <w:tcW w:w="1003"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未捕集到的粉尘</w:t>
                  </w:r>
                  <w:r>
                    <w:rPr>
                      <w:rFonts w:hint="eastAsia" w:ascii="Times New Roman" w:hAnsi="Times New Roman" w:eastAsia="宋体"/>
                      <w:b w:val="0"/>
                      <w:bCs w:val="0"/>
                      <w:sz w:val="21"/>
                      <w:szCs w:val="21"/>
                    </w:rPr>
                    <w:t>、原料及成品堆放粉尘及装卸粉尘</w:t>
                  </w:r>
                </w:p>
              </w:tc>
              <w:tc>
                <w:tcPr>
                  <w:tcW w:w="104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颗粒物</w:t>
                  </w:r>
                </w:p>
              </w:tc>
              <w:tc>
                <w:tcPr>
                  <w:tcW w:w="1154"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封闭车间、设置喷淋、洒水等</w:t>
                  </w:r>
                </w:p>
              </w:tc>
              <w:tc>
                <w:tcPr>
                  <w:tcW w:w="1943"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ascii="Times New Roman" w:hAnsi="Times New Roman" w:eastAsia="宋体"/>
                      <w:b w:val="0"/>
                      <w:bCs w:val="0"/>
                      <w:sz w:val="21"/>
                      <w:szCs w:val="21"/>
                    </w:rPr>
                    <w:t>《大气污染物综合排放标准》（GB16297-1996）</w:t>
                  </w:r>
                </w:p>
              </w:tc>
              <w:tc>
                <w:tcPr>
                  <w:tcW w:w="1128"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1.0</w:t>
                  </w:r>
                </w:p>
              </w:tc>
              <w:tc>
                <w:tcPr>
                  <w:tcW w:w="11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0.47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060" w:type="dxa"/>
                  <w:gridSpan w:val="8"/>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无组织排放总计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683" w:type="dxa"/>
                  <w:gridSpan w:val="3"/>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无组织排放总计</w:t>
                  </w:r>
                </w:p>
              </w:tc>
              <w:tc>
                <w:tcPr>
                  <w:tcW w:w="5266" w:type="dxa"/>
                  <w:gridSpan w:val="4"/>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颗粒物</w:t>
                  </w:r>
                </w:p>
              </w:tc>
              <w:tc>
                <w:tcPr>
                  <w:tcW w:w="1111" w:type="dxa"/>
                  <w:tcBorders>
                    <w:tl2br w:val="nil"/>
                    <w:tr2bl w:val="nil"/>
                  </w:tcBorders>
                  <w:vAlign w:val="center"/>
                </w:tcPr>
                <w:p>
                  <w:pPr>
                    <w:pStyle w:val="2"/>
                    <w:spacing w:before="0" w:after="0" w:line="240" w:lineRule="auto"/>
                    <w:jc w:val="center"/>
                    <w:outlineLvl w:val="1"/>
                    <w:rPr>
                      <w:rFonts w:ascii="Times New Roman" w:hAnsi="Times New Roman" w:eastAsia="宋体"/>
                      <w:b w:val="0"/>
                      <w:bCs w:val="0"/>
                      <w:sz w:val="21"/>
                      <w:szCs w:val="21"/>
                    </w:rPr>
                  </w:pPr>
                  <w:r>
                    <w:rPr>
                      <w:rFonts w:hint="eastAsia" w:ascii="Times New Roman" w:hAnsi="Times New Roman" w:eastAsia="宋体"/>
                      <w:b w:val="0"/>
                      <w:bCs w:val="0"/>
                      <w:sz w:val="21"/>
                      <w:szCs w:val="21"/>
                    </w:rPr>
                    <w:t>0.47</w:t>
                  </w:r>
                </w:p>
              </w:tc>
            </w:tr>
          </w:tbl>
          <w:p>
            <w:pPr>
              <w:adjustRightInd w:val="0"/>
              <w:snapToGrid w:val="0"/>
              <w:spacing w:before="156" w:beforeLines="50"/>
              <w:jc w:val="center"/>
              <w:rPr>
                <w:b/>
                <w:bCs/>
                <w:szCs w:val="21"/>
              </w:rPr>
            </w:pPr>
            <w:r>
              <w:rPr>
                <w:rFonts w:hint="eastAsia"/>
                <w:b/>
                <w:bCs/>
                <w:szCs w:val="21"/>
              </w:rPr>
              <w:t>表29     大气污染物年排放量核算表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2985"/>
              <w:gridCol w:w="2986"/>
              <w:gridCol w:w="298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2985" w:type="dxa"/>
                  <w:tcBorders>
                    <w:tl2br w:val="nil"/>
                    <w:tr2bl w:val="nil"/>
                  </w:tcBorders>
                </w:tcPr>
                <w:p>
                  <w:pPr>
                    <w:pStyle w:val="62"/>
                    <w:spacing w:line="240" w:lineRule="auto"/>
                    <w:ind w:firstLine="0" w:firstLineChars="0"/>
                    <w:jc w:val="center"/>
                    <w:rPr>
                      <w:sz w:val="21"/>
                    </w:rPr>
                  </w:pPr>
                  <w:r>
                    <w:rPr>
                      <w:sz w:val="21"/>
                    </w:rPr>
                    <w:t>序号</w:t>
                  </w:r>
                </w:p>
              </w:tc>
              <w:tc>
                <w:tcPr>
                  <w:tcW w:w="2986" w:type="dxa"/>
                  <w:tcBorders>
                    <w:tl2br w:val="nil"/>
                    <w:tr2bl w:val="nil"/>
                  </w:tcBorders>
                </w:tcPr>
                <w:p>
                  <w:pPr>
                    <w:pStyle w:val="62"/>
                    <w:spacing w:line="240" w:lineRule="auto"/>
                    <w:ind w:firstLine="0" w:firstLineChars="0"/>
                    <w:jc w:val="center"/>
                    <w:rPr>
                      <w:sz w:val="21"/>
                    </w:rPr>
                  </w:pPr>
                  <w:r>
                    <w:rPr>
                      <w:sz w:val="21"/>
                    </w:rPr>
                    <w:t>污染物</w:t>
                  </w:r>
                </w:p>
              </w:tc>
              <w:tc>
                <w:tcPr>
                  <w:tcW w:w="2984" w:type="dxa"/>
                  <w:tcBorders>
                    <w:tl2br w:val="nil"/>
                    <w:tr2bl w:val="nil"/>
                  </w:tcBorders>
                </w:tcPr>
                <w:p>
                  <w:pPr>
                    <w:pStyle w:val="62"/>
                    <w:spacing w:line="240" w:lineRule="auto"/>
                    <w:ind w:firstLine="0" w:firstLineChars="0"/>
                    <w:jc w:val="center"/>
                    <w:rPr>
                      <w:sz w:val="21"/>
                    </w:rPr>
                  </w:pPr>
                  <w:r>
                    <w:rPr>
                      <w:sz w:val="21"/>
                    </w:rPr>
                    <w:t>年排放量（t/a）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2985" w:type="dxa"/>
                  <w:tcBorders>
                    <w:tl2br w:val="nil"/>
                    <w:tr2bl w:val="nil"/>
                  </w:tcBorders>
                </w:tcPr>
                <w:p>
                  <w:pPr>
                    <w:pStyle w:val="62"/>
                    <w:spacing w:line="240" w:lineRule="auto"/>
                    <w:ind w:firstLine="0" w:firstLineChars="0"/>
                    <w:jc w:val="center"/>
                    <w:rPr>
                      <w:sz w:val="21"/>
                    </w:rPr>
                  </w:pPr>
                  <w:r>
                    <w:rPr>
                      <w:sz w:val="21"/>
                    </w:rPr>
                    <w:t>1</w:t>
                  </w:r>
                </w:p>
              </w:tc>
              <w:tc>
                <w:tcPr>
                  <w:tcW w:w="2986" w:type="dxa"/>
                  <w:tcBorders>
                    <w:tl2br w:val="nil"/>
                    <w:tr2bl w:val="nil"/>
                  </w:tcBorders>
                </w:tcPr>
                <w:p>
                  <w:pPr>
                    <w:pStyle w:val="62"/>
                    <w:spacing w:line="240" w:lineRule="auto"/>
                    <w:ind w:firstLine="0" w:firstLineChars="0"/>
                    <w:jc w:val="center"/>
                    <w:rPr>
                      <w:sz w:val="21"/>
                    </w:rPr>
                  </w:pPr>
                  <w:r>
                    <w:rPr>
                      <w:rFonts w:hint="eastAsia"/>
                      <w:sz w:val="21"/>
                    </w:rPr>
                    <w:t>颗粒物</w:t>
                  </w:r>
                </w:p>
              </w:tc>
              <w:tc>
                <w:tcPr>
                  <w:tcW w:w="2984" w:type="dxa"/>
                  <w:tcBorders>
                    <w:tl2br w:val="nil"/>
                    <w:tr2bl w:val="nil"/>
                  </w:tcBorders>
                </w:tcPr>
                <w:p>
                  <w:pPr>
                    <w:pStyle w:val="62"/>
                    <w:spacing w:line="240" w:lineRule="auto"/>
                    <w:ind w:firstLine="0" w:firstLineChars="0"/>
                    <w:jc w:val="center"/>
                    <w:rPr>
                      <w:sz w:val="21"/>
                    </w:rPr>
                  </w:pPr>
                  <w:r>
                    <w:rPr>
                      <w:rFonts w:hint="eastAsia"/>
                      <w:sz w:val="21"/>
                    </w:rPr>
                    <w:t>0.87</w:t>
                  </w:r>
                </w:p>
              </w:tc>
            </w:tr>
          </w:tbl>
          <w:p>
            <w:pPr>
              <w:pStyle w:val="62"/>
              <w:rPr>
                <w:spacing w:val="6"/>
              </w:rPr>
            </w:pPr>
            <w:r>
              <w:rPr>
                <w:rFonts w:hint="eastAsia"/>
              </w:rPr>
              <w:t>（5</w:t>
            </w:r>
            <w:r>
              <w:t>）</w:t>
            </w:r>
            <w:r>
              <w:rPr>
                <w:spacing w:val="6"/>
              </w:rPr>
              <w:t>建设项目大气环境影响评价自查表</w:t>
            </w:r>
          </w:p>
          <w:p>
            <w:pPr>
              <w:pStyle w:val="13"/>
              <w:adjustRightInd w:val="0"/>
              <w:spacing w:after="0" w:line="440" w:lineRule="exact"/>
              <w:jc w:val="center"/>
              <w:rPr>
                <w:b/>
                <w:bCs/>
                <w:sz w:val="21"/>
                <w:szCs w:val="21"/>
              </w:rPr>
            </w:pPr>
            <w:r>
              <w:rPr>
                <w:b/>
                <w:bCs/>
                <w:sz w:val="21"/>
                <w:szCs w:val="21"/>
              </w:rPr>
              <w:t>表</w:t>
            </w:r>
            <w:r>
              <w:rPr>
                <w:rFonts w:hint="eastAsia"/>
                <w:b/>
                <w:bCs/>
                <w:sz w:val="21"/>
                <w:szCs w:val="21"/>
              </w:rPr>
              <w:t>30</w:t>
            </w:r>
            <w:r>
              <w:rPr>
                <w:b/>
                <w:bCs/>
                <w:sz w:val="21"/>
                <w:szCs w:val="21"/>
              </w:rPr>
              <w:t xml:space="preserve">    建设项目大气环境影响评价自查表</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7"/>
              <w:gridCol w:w="1038"/>
              <w:gridCol w:w="1269"/>
              <w:gridCol w:w="105"/>
              <w:gridCol w:w="173"/>
              <w:gridCol w:w="210"/>
              <w:gridCol w:w="290"/>
              <w:gridCol w:w="199"/>
              <w:gridCol w:w="1369"/>
              <w:gridCol w:w="208"/>
              <w:gridCol w:w="567"/>
              <w:gridCol w:w="281"/>
              <w:gridCol w:w="700"/>
              <w:gridCol w:w="550"/>
              <w:gridCol w:w="435"/>
              <w:gridCol w:w="297"/>
              <w:gridCol w:w="179"/>
              <w:gridCol w:w="86"/>
              <w:gridCol w:w="229"/>
              <w:gridCol w:w="4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756" w:type="pct"/>
                  <w:gridSpan w:val="2"/>
                  <w:vAlign w:val="center"/>
                </w:tcPr>
                <w:p>
                  <w:pPr>
                    <w:pStyle w:val="13"/>
                    <w:adjustRightInd w:val="0"/>
                    <w:snapToGrid w:val="0"/>
                    <w:spacing w:after="0"/>
                    <w:ind w:left="0" w:leftChars="0"/>
                    <w:jc w:val="center"/>
                    <w:rPr>
                      <w:sz w:val="21"/>
                      <w:szCs w:val="21"/>
                    </w:rPr>
                  </w:pPr>
                  <w:r>
                    <w:rPr>
                      <w:sz w:val="21"/>
                      <w:szCs w:val="21"/>
                    </w:rPr>
                    <w:t>工作内容</w:t>
                  </w:r>
                </w:p>
              </w:tc>
              <w:tc>
                <w:tcPr>
                  <w:tcW w:w="4244" w:type="pct"/>
                  <w:gridSpan w:val="18"/>
                  <w:vAlign w:val="center"/>
                </w:tcPr>
                <w:p>
                  <w:pPr>
                    <w:pStyle w:val="13"/>
                    <w:adjustRightInd w:val="0"/>
                    <w:snapToGrid w:val="0"/>
                    <w:spacing w:after="0"/>
                    <w:ind w:left="0" w:leftChars="0"/>
                    <w:jc w:val="center"/>
                    <w:rPr>
                      <w:sz w:val="21"/>
                      <w:szCs w:val="21"/>
                    </w:rPr>
                  </w:pPr>
                  <w:r>
                    <w:rPr>
                      <w:sz w:val="21"/>
                      <w:szCs w:val="21"/>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restart"/>
                  <w:vAlign w:val="center"/>
                </w:tcPr>
                <w:p>
                  <w:pPr>
                    <w:pStyle w:val="13"/>
                    <w:adjustRightInd w:val="0"/>
                    <w:snapToGrid w:val="0"/>
                    <w:spacing w:after="0"/>
                    <w:ind w:left="0" w:leftChars="0"/>
                    <w:jc w:val="center"/>
                    <w:rPr>
                      <w:sz w:val="21"/>
                      <w:szCs w:val="21"/>
                    </w:rPr>
                  </w:pPr>
                  <w:r>
                    <w:rPr>
                      <w:sz w:val="21"/>
                      <w:szCs w:val="21"/>
                    </w:rPr>
                    <w:t>评价等级与范围</w:t>
                  </w:r>
                </w:p>
              </w:tc>
              <w:tc>
                <w:tcPr>
                  <w:tcW w:w="528" w:type="pct"/>
                  <w:vAlign w:val="center"/>
                </w:tcPr>
                <w:p>
                  <w:pPr>
                    <w:pStyle w:val="13"/>
                    <w:adjustRightInd w:val="0"/>
                    <w:snapToGrid w:val="0"/>
                    <w:spacing w:after="0"/>
                    <w:ind w:left="0" w:leftChars="0"/>
                    <w:jc w:val="center"/>
                    <w:rPr>
                      <w:sz w:val="21"/>
                      <w:szCs w:val="21"/>
                    </w:rPr>
                  </w:pPr>
                  <w:r>
                    <w:rPr>
                      <w:sz w:val="21"/>
                      <w:szCs w:val="21"/>
                    </w:rPr>
                    <w:t>评价等级</w:t>
                  </w:r>
                </w:p>
              </w:tc>
              <w:tc>
                <w:tcPr>
                  <w:tcW w:w="1131" w:type="pct"/>
                  <w:gridSpan w:val="5"/>
                  <w:vAlign w:val="center"/>
                </w:tcPr>
                <w:p>
                  <w:pPr>
                    <w:pStyle w:val="13"/>
                    <w:adjustRightInd w:val="0"/>
                    <w:snapToGrid w:val="0"/>
                    <w:spacing w:after="0"/>
                    <w:ind w:left="0" w:leftChars="0"/>
                    <w:jc w:val="center"/>
                    <w:rPr>
                      <w:sz w:val="21"/>
                      <w:szCs w:val="21"/>
                    </w:rPr>
                  </w:pPr>
                  <w:r>
                    <w:rPr>
                      <w:sz w:val="21"/>
                      <w:szCs w:val="21"/>
                    </w:rPr>
                    <w:t>一级</w:t>
                  </w:r>
                  <w:r>
                    <w:rPr>
                      <w:sz w:val="21"/>
                      <w:szCs w:val="21"/>
                    </w:rPr>
                    <w:sym w:font="Wingdings 2" w:char="00A3"/>
                  </w:r>
                </w:p>
              </w:tc>
              <w:tc>
                <w:tcPr>
                  <w:tcW w:w="2315" w:type="pct"/>
                  <w:gridSpan w:val="8"/>
                  <w:vAlign w:val="center"/>
                </w:tcPr>
                <w:p>
                  <w:pPr>
                    <w:pStyle w:val="13"/>
                    <w:adjustRightInd w:val="0"/>
                    <w:snapToGrid w:val="0"/>
                    <w:spacing w:after="0"/>
                    <w:ind w:left="0" w:leftChars="0"/>
                    <w:jc w:val="center"/>
                    <w:rPr>
                      <w:sz w:val="21"/>
                      <w:szCs w:val="21"/>
                    </w:rPr>
                  </w:pPr>
                  <w:r>
                    <w:rPr>
                      <w:sz w:val="21"/>
                      <w:szCs w:val="21"/>
                    </w:rPr>
                    <w:t>二级</w:t>
                  </w:r>
                  <w:r>
                    <w:rPr>
                      <w:sz w:val="21"/>
                      <w:szCs w:val="21"/>
                    </w:rPr>
                    <w:sym w:font="Wingdings 2" w:char="0052"/>
                  </w:r>
                </w:p>
              </w:tc>
              <w:tc>
                <w:tcPr>
                  <w:tcW w:w="797" w:type="pct"/>
                  <w:gridSpan w:val="5"/>
                  <w:vAlign w:val="center"/>
                </w:tcPr>
                <w:p>
                  <w:pPr>
                    <w:pStyle w:val="13"/>
                    <w:adjustRightInd w:val="0"/>
                    <w:snapToGrid w:val="0"/>
                    <w:spacing w:after="0"/>
                    <w:ind w:left="0" w:leftChars="0"/>
                    <w:jc w:val="center"/>
                    <w:rPr>
                      <w:sz w:val="21"/>
                      <w:szCs w:val="21"/>
                    </w:rPr>
                  </w:pPr>
                  <w:r>
                    <w:rPr>
                      <w:sz w:val="21"/>
                      <w:szCs w:val="21"/>
                    </w:rPr>
                    <w:t>三级</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评价范围</w:t>
                  </w:r>
                </w:p>
              </w:tc>
              <w:tc>
                <w:tcPr>
                  <w:tcW w:w="1131" w:type="pct"/>
                  <w:gridSpan w:val="5"/>
                  <w:vAlign w:val="center"/>
                </w:tcPr>
                <w:p>
                  <w:pPr>
                    <w:pStyle w:val="13"/>
                    <w:adjustRightInd w:val="0"/>
                    <w:snapToGrid w:val="0"/>
                    <w:spacing w:after="0"/>
                    <w:ind w:left="0" w:leftChars="0"/>
                    <w:jc w:val="center"/>
                    <w:rPr>
                      <w:sz w:val="21"/>
                      <w:szCs w:val="21"/>
                    </w:rPr>
                  </w:pPr>
                  <w:r>
                    <w:rPr>
                      <w:sz w:val="21"/>
                      <w:szCs w:val="21"/>
                    </w:rPr>
                    <w:t>边长=50km</w:t>
                  </w:r>
                  <w:r>
                    <w:rPr>
                      <w:sz w:val="21"/>
                      <w:szCs w:val="21"/>
                    </w:rPr>
                    <w:sym w:font="Wingdings 2" w:char="00A3"/>
                  </w:r>
                </w:p>
              </w:tc>
              <w:tc>
                <w:tcPr>
                  <w:tcW w:w="2315" w:type="pct"/>
                  <w:gridSpan w:val="8"/>
                  <w:vAlign w:val="center"/>
                </w:tcPr>
                <w:p>
                  <w:pPr>
                    <w:pStyle w:val="13"/>
                    <w:adjustRightInd w:val="0"/>
                    <w:snapToGrid w:val="0"/>
                    <w:spacing w:after="0"/>
                    <w:ind w:left="0" w:leftChars="0"/>
                    <w:jc w:val="center"/>
                    <w:rPr>
                      <w:sz w:val="21"/>
                      <w:szCs w:val="21"/>
                    </w:rPr>
                  </w:pPr>
                  <w:r>
                    <w:rPr>
                      <w:sz w:val="21"/>
                      <w:szCs w:val="21"/>
                    </w:rPr>
                    <w:t>边长5~50km</w:t>
                  </w:r>
                  <w:r>
                    <w:rPr>
                      <w:sz w:val="21"/>
                      <w:szCs w:val="21"/>
                    </w:rPr>
                    <w:sym w:font="Wingdings 2" w:char="00A3"/>
                  </w:r>
                </w:p>
              </w:tc>
              <w:tc>
                <w:tcPr>
                  <w:tcW w:w="797" w:type="pct"/>
                  <w:gridSpan w:val="5"/>
                  <w:vAlign w:val="center"/>
                </w:tcPr>
                <w:p>
                  <w:pPr>
                    <w:pStyle w:val="13"/>
                    <w:adjustRightInd w:val="0"/>
                    <w:snapToGrid w:val="0"/>
                    <w:spacing w:after="0"/>
                    <w:ind w:left="0" w:leftChars="0"/>
                    <w:jc w:val="center"/>
                    <w:rPr>
                      <w:sz w:val="21"/>
                      <w:szCs w:val="21"/>
                    </w:rPr>
                  </w:pPr>
                  <w:r>
                    <w:rPr>
                      <w:sz w:val="21"/>
                      <w:szCs w:val="21"/>
                    </w:rPr>
                    <w:t>边长=5km</w:t>
                  </w:r>
                  <w:r>
                    <w:rPr>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restart"/>
                  <w:vAlign w:val="center"/>
                </w:tcPr>
                <w:p>
                  <w:pPr>
                    <w:pStyle w:val="13"/>
                    <w:adjustRightInd w:val="0"/>
                    <w:snapToGrid w:val="0"/>
                    <w:spacing w:after="0"/>
                    <w:ind w:left="0" w:leftChars="0"/>
                    <w:jc w:val="center"/>
                    <w:rPr>
                      <w:sz w:val="21"/>
                      <w:szCs w:val="21"/>
                    </w:rPr>
                  </w:pPr>
                  <w:r>
                    <w:rPr>
                      <w:sz w:val="21"/>
                      <w:szCs w:val="21"/>
                    </w:rPr>
                    <w:t>评价因子</w:t>
                  </w:r>
                </w:p>
              </w:tc>
              <w:tc>
                <w:tcPr>
                  <w:tcW w:w="528" w:type="pct"/>
                  <w:vAlign w:val="center"/>
                </w:tcPr>
                <w:p>
                  <w:pPr>
                    <w:pStyle w:val="13"/>
                    <w:adjustRightInd w:val="0"/>
                    <w:snapToGrid w:val="0"/>
                    <w:spacing w:after="0"/>
                    <w:ind w:left="0" w:leftChars="0"/>
                    <w:jc w:val="center"/>
                    <w:rPr>
                      <w:sz w:val="21"/>
                      <w:szCs w:val="21"/>
                    </w:rPr>
                  </w:pPr>
                  <w:r>
                    <w:rPr>
                      <w:sz w:val="21"/>
                      <w:szCs w:val="21"/>
                    </w:rPr>
                    <w:t>SO</w:t>
                  </w:r>
                  <w:r>
                    <w:rPr>
                      <w:sz w:val="21"/>
                      <w:szCs w:val="21"/>
                      <w:vertAlign w:val="subscript"/>
                    </w:rPr>
                    <w:t>2</w:t>
                  </w:r>
                  <w:r>
                    <w:rPr>
                      <w:sz w:val="21"/>
                      <w:szCs w:val="21"/>
                    </w:rPr>
                    <w:t>+NO</w:t>
                  </w:r>
                  <w:r>
                    <w:rPr>
                      <w:sz w:val="21"/>
                      <w:szCs w:val="21"/>
                      <w:vertAlign w:val="subscript"/>
                    </w:rPr>
                    <w:t>X</w:t>
                  </w:r>
                  <w:r>
                    <w:rPr>
                      <w:sz w:val="21"/>
                      <w:szCs w:val="21"/>
                    </w:rPr>
                    <w:t>排放量</w:t>
                  </w:r>
                </w:p>
              </w:tc>
              <w:tc>
                <w:tcPr>
                  <w:tcW w:w="947" w:type="pct"/>
                  <w:gridSpan w:val="4"/>
                  <w:vAlign w:val="center"/>
                </w:tcPr>
                <w:p>
                  <w:pPr>
                    <w:pStyle w:val="13"/>
                    <w:adjustRightInd w:val="0"/>
                    <w:snapToGrid w:val="0"/>
                    <w:spacing w:after="0"/>
                    <w:ind w:left="0" w:leftChars="0"/>
                    <w:jc w:val="center"/>
                    <w:rPr>
                      <w:sz w:val="21"/>
                      <w:szCs w:val="21"/>
                    </w:rPr>
                  </w:pPr>
                  <w:r>
                    <w:rPr>
                      <w:sz w:val="21"/>
                      <w:szCs w:val="21"/>
                    </w:rPr>
                    <w:t>≥2000t/a</w:t>
                  </w:r>
                  <w:r>
                    <w:rPr>
                      <w:sz w:val="21"/>
                      <w:szCs w:val="21"/>
                    </w:rPr>
                    <w:sym w:font="Wingdings 2" w:char="00A3"/>
                  </w:r>
                </w:p>
              </w:tc>
              <w:tc>
                <w:tcPr>
                  <w:tcW w:w="2500" w:type="pct"/>
                  <w:gridSpan w:val="9"/>
                  <w:vAlign w:val="center"/>
                </w:tcPr>
                <w:p>
                  <w:pPr>
                    <w:pStyle w:val="13"/>
                    <w:adjustRightInd w:val="0"/>
                    <w:snapToGrid w:val="0"/>
                    <w:spacing w:after="0"/>
                    <w:ind w:left="0" w:leftChars="0"/>
                    <w:jc w:val="center"/>
                    <w:rPr>
                      <w:sz w:val="21"/>
                      <w:szCs w:val="21"/>
                    </w:rPr>
                  </w:pPr>
                  <w:r>
                    <w:rPr>
                      <w:sz w:val="21"/>
                      <w:szCs w:val="21"/>
                    </w:rPr>
                    <w:t>500~2000t/a</w:t>
                  </w:r>
                  <w:r>
                    <w:rPr>
                      <w:sz w:val="21"/>
                      <w:szCs w:val="21"/>
                    </w:rPr>
                    <w:sym w:font="Wingdings 2" w:char="00A3"/>
                  </w:r>
                </w:p>
              </w:tc>
              <w:tc>
                <w:tcPr>
                  <w:tcW w:w="797" w:type="pct"/>
                  <w:gridSpan w:val="5"/>
                  <w:vAlign w:val="center"/>
                </w:tcPr>
                <w:p>
                  <w:pPr>
                    <w:pStyle w:val="13"/>
                    <w:adjustRightInd w:val="0"/>
                    <w:snapToGrid w:val="0"/>
                    <w:spacing w:after="0"/>
                    <w:ind w:left="0" w:leftChars="0"/>
                    <w:jc w:val="center"/>
                    <w:rPr>
                      <w:sz w:val="21"/>
                      <w:szCs w:val="21"/>
                    </w:rPr>
                  </w:pPr>
                  <w:r>
                    <w:rPr>
                      <w:sz w:val="21"/>
                      <w:szCs w:val="21"/>
                    </w:rPr>
                    <w:t>&lt;500t/a</w:t>
                  </w:r>
                  <w:r>
                    <w:rPr>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评价因子</w:t>
                  </w:r>
                </w:p>
              </w:tc>
              <w:tc>
                <w:tcPr>
                  <w:tcW w:w="2378" w:type="pct"/>
                  <w:gridSpan w:val="9"/>
                  <w:vAlign w:val="center"/>
                </w:tcPr>
                <w:p>
                  <w:pPr>
                    <w:pStyle w:val="13"/>
                    <w:adjustRightInd w:val="0"/>
                    <w:snapToGrid w:val="0"/>
                    <w:spacing w:after="0"/>
                    <w:ind w:left="0" w:leftChars="0"/>
                    <w:jc w:val="center"/>
                    <w:rPr>
                      <w:sz w:val="21"/>
                      <w:szCs w:val="21"/>
                    </w:rPr>
                  </w:pPr>
                  <w:r>
                    <w:rPr>
                      <w:sz w:val="21"/>
                      <w:szCs w:val="21"/>
                    </w:rPr>
                    <w:t>基本污染物（SO</w:t>
                  </w:r>
                  <w:r>
                    <w:rPr>
                      <w:sz w:val="21"/>
                      <w:szCs w:val="21"/>
                      <w:vertAlign w:val="subscript"/>
                    </w:rPr>
                    <w:t>2</w:t>
                  </w:r>
                  <w:r>
                    <w:rPr>
                      <w:sz w:val="21"/>
                      <w:szCs w:val="21"/>
                    </w:rPr>
                    <w:t>、NO</w:t>
                  </w:r>
                  <w:r>
                    <w:rPr>
                      <w:sz w:val="21"/>
                      <w:szCs w:val="21"/>
                      <w:vertAlign w:val="subscript"/>
                    </w:rPr>
                    <w:t>2</w:t>
                  </w:r>
                  <w:r>
                    <w:rPr>
                      <w:sz w:val="21"/>
                      <w:szCs w:val="21"/>
                    </w:rPr>
                    <w:t>、PM</w:t>
                  </w:r>
                  <w:r>
                    <w:rPr>
                      <w:sz w:val="21"/>
                      <w:szCs w:val="21"/>
                      <w:vertAlign w:val="subscript"/>
                    </w:rPr>
                    <w:t>10</w:t>
                  </w:r>
                  <w:r>
                    <w:rPr>
                      <w:sz w:val="21"/>
                      <w:szCs w:val="21"/>
                    </w:rPr>
                    <w:t>、PM</w:t>
                  </w:r>
                  <w:r>
                    <w:rPr>
                      <w:sz w:val="21"/>
                      <w:szCs w:val="21"/>
                      <w:vertAlign w:val="subscript"/>
                    </w:rPr>
                    <w:t>2.5</w:t>
                  </w:r>
                  <w:r>
                    <w:rPr>
                      <w:sz w:val="21"/>
                      <w:szCs w:val="21"/>
                    </w:rPr>
                    <w:t>、CO、O</w:t>
                  </w:r>
                  <w:r>
                    <w:rPr>
                      <w:sz w:val="21"/>
                      <w:szCs w:val="21"/>
                      <w:vertAlign w:val="subscript"/>
                    </w:rPr>
                    <w:t>3</w:t>
                  </w:r>
                  <w:r>
                    <w:rPr>
                      <w:sz w:val="21"/>
                      <w:szCs w:val="21"/>
                    </w:rPr>
                    <w:t>）</w:t>
                  </w:r>
                </w:p>
                <w:p>
                  <w:pPr>
                    <w:pStyle w:val="13"/>
                    <w:adjustRightInd w:val="0"/>
                    <w:snapToGrid w:val="0"/>
                    <w:spacing w:after="0"/>
                    <w:ind w:left="0" w:leftChars="0"/>
                    <w:jc w:val="center"/>
                    <w:rPr>
                      <w:sz w:val="21"/>
                      <w:szCs w:val="21"/>
                    </w:rPr>
                  </w:pPr>
                  <w:r>
                    <w:rPr>
                      <w:sz w:val="21"/>
                      <w:szCs w:val="21"/>
                    </w:rPr>
                    <w:t>其他污染物（</w:t>
                  </w:r>
                  <w:r>
                    <w:rPr>
                      <w:rFonts w:hint="eastAsia"/>
                      <w:sz w:val="21"/>
                      <w:szCs w:val="21"/>
                    </w:rPr>
                    <w:t>T</w:t>
                  </w:r>
                  <w:r>
                    <w:rPr>
                      <w:sz w:val="21"/>
                      <w:szCs w:val="21"/>
                    </w:rPr>
                    <w:t>SP）</w:t>
                  </w:r>
                </w:p>
              </w:tc>
              <w:tc>
                <w:tcPr>
                  <w:tcW w:w="1866" w:type="pct"/>
                  <w:gridSpan w:val="9"/>
                  <w:vAlign w:val="center"/>
                </w:tcPr>
                <w:p>
                  <w:pPr>
                    <w:pStyle w:val="13"/>
                    <w:adjustRightInd w:val="0"/>
                    <w:snapToGrid w:val="0"/>
                    <w:spacing w:after="0"/>
                    <w:ind w:left="0" w:leftChars="0"/>
                    <w:jc w:val="center"/>
                    <w:rPr>
                      <w:sz w:val="21"/>
                      <w:szCs w:val="21"/>
                    </w:rPr>
                  </w:pPr>
                  <w:r>
                    <w:rPr>
                      <w:sz w:val="21"/>
                      <w:szCs w:val="21"/>
                    </w:rPr>
                    <w:t>包括二次PM</w:t>
                  </w:r>
                  <w:r>
                    <w:rPr>
                      <w:sz w:val="21"/>
                      <w:szCs w:val="21"/>
                      <w:vertAlign w:val="subscript"/>
                    </w:rPr>
                    <w:t>2.5</w:t>
                  </w:r>
                  <w:r>
                    <w:rPr>
                      <w:sz w:val="21"/>
                      <w:szCs w:val="21"/>
                    </w:rPr>
                    <w:sym w:font="Wingdings 2" w:char="00A3"/>
                  </w:r>
                </w:p>
                <w:p>
                  <w:pPr>
                    <w:pStyle w:val="13"/>
                    <w:adjustRightInd w:val="0"/>
                    <w:snapToGrid w:val="0"/>
                    <w:spacing w:after="0"/>
                    <w:ind w:left="0" w:leftChars="0"/>
                    <w:jc w:val="center"/>
                    <w:rPr>
                      <w:sz w:val="21"/>
                      <w:szCs w:val="21"/>
                    </w:rPr>
                  </w:pPr>
                  <w:r>
                    <w:rPr>
                      <w:sz w:val="21"/>
                      <w:szCs w:val="21"/>
                    </w:rPr>
                    <w:t>不包括二次PM</w:t>
                  </w:r>
                  <w:r>
                    <w:rPr>
                      <w:sz w:val="21"/>
                      <w:szCs w:val="21"/>
                      <w:vertAlign w:val="subscript"/>
                    </w:rPr>
                    <w:t>2.5</w:t>
                  </w:r>
                  <w:r>
                    <w:rPr>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Align w:val="center"/>
                </w:tcPr>
                <w:p>
                  <w:pPr>
                    <w:pStyle w:val="13"/>
                    <w:adjustRightInd w:val="0"/>
                    <w:snapToGrid w:val="0"/>
                    <w:spacing w:after="0"/>
                    <w:ind w:left="0" w:leftChars="0"/>
                    <w:jc w:val="center"/>
                    <w:rPr>
                      <w:sz w:val="21"/>
                      <w:szCs w:val="21"/>
                    </w:rPr>
                  </w:pPr>
                  <w:r>
                    <w:rPr>
                      <w:sz w:val="21"/>
                      <w:szCs w:val="21"/>
                    </w:rPr>
                    <w:t>评价标准</w:t>
                  </w:r>
                </w:p>
              </w:tc>
              <w:tc>
                <w:tcPr>
                  <w:tcW w:w="528" w:type="pct"/>
                  <w:vAlign w:val="center"/>
                </w:tcPr>
                <w:p>
                  <w:pPr>
                    <w:pStyle w:val="13"/>
                    <w:adjustRightInd w:val="0"/>
                    <w:snapToGrid w:val="0"/>
                    <w:spacing w:after="0"/>
                    <w:ind w:left="0" w:leftChars="0"/>
                    <w:jc w:val="center"/>
                    <w:rPr>
                      <w:sz w:val="21"/>
                      <w:szCs w:val="21"/>
                    </w:rPr>
                  </w:pPr>
                  <w:r>
                    <w:rPr>
                      <w:sz w:val="21"/>
                      <w:szCs w:val="21"/>
                    </w:rPr>
                    <w:t>评价标准</w:t>
                  </w:r>
                </w:p>
              </w:tc>
              <w:tc>
                <w:tcPr>
                  <w:tcW w:w="814" w:type="pct"/>
                  <w:gridSpan w:val="3"/>
                  <w:vAlign w:val="center"/>
                </w:tcPr>
                <w:p>
                  <w:pPr>
                    <w:pStyle w:val="13"/>
                    <w:adjustRightInd w:val="0"/>
                    <w:snapToGrid w:val="0"/>
                    <w:spacing w:after="0"/>
                    <w:ind w:left="0" w:leftChars="0"/>
                    <w:jc w:val="center"/>
                    <w:rPr>
                      <w:sz w:val="21"/>
                      <w:szCs w:val="21"/>
                    </w:rPr>
                  </w:pPr>
                  <w:r>
                    <w:rPr>
                      <w:sz w:val="21"/>
                      <w:szCs w:val="21"/>
                    </w:rPr>
                    <w:t>国家标准</w:t>
                  </w:r>
                  <w:r>
                    <w:rPr>
                      <w:sz w:val="21"/>
                      <w:szCs w:val="21"/>
                    </w:rPr>
                    <w:sym w:font="Wingdings 2" w:char="0052"/>
                  </w:r>
                </w:p>
              </w:tc>
              <w:tc>
                <w:tcPr>
                  <w:tcW w:w="1565" w:type="pct"/>
                  <w:gridSpan w:val="6"/>
                  <w:vAlign w:val="center"/>
                </w:tcPr>
                <w:p>
                  <w:pPr>
                    <w:pStyle w:val="13"/>
                    <w:adjustRightInd w:val="0"/>
                    <w:snapToGrid w:val="0"/>
                    <w:spacing w:after="0"/>
                    <w:ind w:left="0" w:leftChars="0"/>
                    <w:jc w:val="center"/>
                    <w:rPr>
                      <w:sz w:val="21"/>
                      <w:szCs w:val="21"/>
                    </w:rPr>
                  </w:pPr>
                  <w:r>
                    <w:rPr>
                      <w:sz w:val="21"/>
                      <w:szCs w:val="21"/>
                    </w:rPr>
                    <w:t>地方标准</w:t>
                  </w:r>
                  <w:r>
                    <w:rPr>
                      <w:sz w:val="21"/>
                      <w:szCs w:val="21"/>
                    </w:rPr>
                    <w:sym w:font="Wingdings 2" w:char="00A3"/>
                  </w:r>
                </w:p>
              </w:tc>
              <w:tc>
                <w:tcPr>
                  <w:tcW w:w="1353" w:type="pct"/>
                  <w:gridSpan w:val="6"/>
                  <w:vAlign w:val="center"/>
                </w:tcPr>
                <w:p>
                  <w:pPr>
                    <w:pStyle w:val="13"/>
                    <w:adjustRightInd w:val="0"/>
                    <w:snapToGrid w:val="0"/>
                    <w:spacing w:after="0"/>
                    <w:ind w:left="0" w:leftChars="0"/>
                    <w:jc w:val="center"/>
                    <w:rPr>
                      <w:sz w:val="21"/>
                      <w:szCs w:val="21"/>
                    </w:rPr>
                  </w:pPr>
                  <w:r>
                    <w:rPr>
                      <w:sz w:val="21"/>
                      <w:szCs w:val="21"/>
                    </w:rPr>
                    <w:t>附录D</w:t>
                  </w:r>
                  <w:r>
                    <w:rPr>
                      <w:sz w:val="21"/>
                      <w:szCs w:val="21"/>
                    </w:rPr>
                    <w:sym w:font="Wingdings 2" w:char="00A3"/>
                  </w:r>
                </w:p>
              </w:tc>
              <w:tc>
                <w:tcPr>
                  <w:tcW w:w="513" w:type="pct"/>
                  <w:gridSpan w:val="3"/>
                  <w:vAlign w:val="center"/>
                </w:tcPr>
                <w:p>
                  <w:pPr>
                    <w:pStyle w:val="13"/>
                    <w:adjustRightInd w:val="0"/>
                    <w:snapToGrid w:val="0"/>
                    <w:spacing w:after="0"/>
                    <w:ind w:left="0" w:leftChars="0"/>
                    <w:jc w:val="center"/>
                    <w:rPr>
                      <w:sz w:val="21"/>
                      <w:szCs w:val="21"/>
                    </w:rPr>
                  </w:pPr>
                  <w:r>
                    <w:rPr>
                      <w:sz w:val="21"/>
                      <w:szCs w:val="21"/>
                    </w:rPr>
                    <w:t>其他标准</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restart"/>
                  <w:vAlign w:val="center"/>
                </w:tcPr>
                <w:p>
                  <w:pPr>
                    <w:pStyle w:val="13"/>
                    <w:adjustRightInd w:val="0"/>
                    <w:snapToGrid w:val="0"/>
                    <w:spacing w:after="0"/>
                    <w:ind w:left="0" w:leftChars="0"/>
                    <w:jc w:val="center"/>
                    <w:rPr>
                      <w:sz w:val="21"/>
                      <w:szCs w:val="21"/>
                    </w:rPr>
                  </w:pPr>
                  <w:r>
                    <w:rPr>
                      <w:sz w:val="21"/>
                      <w:szCs w:val="21"/>
                    </w:rPr>
                    <w:t>现状评价</w:t>
                  </w:r>
                </w:p>
              </w:tc>
              <w:tc>
                <w:tcPr>
                  <w:tcW w:w="528" w:type="pct"/>
                  <w:vAlign w:val="center"/>
                </w:tcPr>
                <w:p>
                  <w:pPr>
                    <w:pStyle w:val="13"/>
                    <w:adjustRightInd w:val="0"/>
                    <w:snapToGrid w:val="0"/>
                    <w:spacing w:after="0"/>
                    <w:ind w:left="0" w:leftChars="0"/>
                    <w:jc w:val="center"/>
                    <w:rPr>
                      <w:sz w:val="21"/>
                      <w:szCs w:val="21"/>
                    </w:rPr>
                  </w:pPr>
                  <w:r>
                    <w:rPr>
                      <w:sz w:val="21"/>
                      <w:szCs w:val="21"/>
                    </w:rPr>
                    <w:t>环境功能区</w:t>
                  </w:r>
                </w:p>
              </w:tc>
              <w:tc>
                <w:tcPr>
                  <w:tcW w:w="1257" w:type="pct"/>
                  <w:gridSpan w:val="6"/>
                  <w:vAlign w:val="center"/>
                </w:tcPr>
                <w:p>
                  <w:pPr>
                    <w:pStyle w:val="13"/>
                    <w:adjustRightInd w:val="0"/>
                    <w:snapToGrid w:val="0"/>
                    <w:spacing w:after="0"/>
                    <w:ind w:left="0" w:leftChars="0"/>
                    <w:jc w:val="center"/>
                    <w:rPr>
                      <w:sz w:val="21"/>
                      <w:szCs w:val="21"/>
                    </w:rPr>
                  </w:pPr>
                  <w:r>
                    <w:rPr>
                      <w:sz w:val="21"/>
                      <w:szCs w:val="21"/>
                    </w:rPr>
                    <w:t>一类区</w:t>
                  </w:r>
                  <w:r>
                    <w:rPr>
                      <w:sz w:val="21"/>
                      <w:szCs w:val="21"/>
                    </w:rPr>
                    <w:sym w:font="Wingdings 2" w:char="00A3"/>
                  </w:r>
                </w:p>
              </w:tc>
              <w:tc>
                <w:tcPr>
                  <w:tcW w:w="2190" w:type="pct"/>
                  <w:gridSpan w:val="7"/>
                  <w:vAlign w:val="center"/>
                </w:tcPr>
                <w:p>
                  <w:pPr>
                    <w:pStyle w:val="13"/>
                    <w:adjustRightInd w:val="0"/>
                    <w:snapToGrid w:val="0"/>
                    <w:spacing w:after="0"/>
                    <w:ind w:left="0" w:leftChars="0"/>
                    <w:jc w:val="center"/>
                    <w:rPr>
                      <w:sz w:val="21"/>
                      <w:szCs w:val="21"/>
                    </w:rPr>
                  </w:pPr>
                  <w:r>
                    <w:rPr>
                      <w:sz w:val="21"/>
                      <w:szCs w:val="21"/>
                    </w:rPr>
                    <w:t>二类区</w:t>
                  </w:r>
                  <w:r>
                    <w:rPr>
                      <w:sz w:val="21"/>
                      <w:szCs w:val="21"/>
                    </w:rPr>
                    <w:sym w:font="Wingdings 2" w:char="0052"/>
                  </w:r>
                </w:p>
              </w:tc>
              <w:tc>
                <w:tcPr>
                  <w:tcW w:w="797" w:type="pct"/>
                  <w:gridSpan w:val="5"/>
                  <w:vAlign w:val="center"/>
                </w:tcPr>
                <w:p>
                  <w:pPr>
                    <w:pStyle w:val="13"/>
                    <w:adjustRightInd w:val="0"/>
                    <w:snapToGrid w:val="0"/>
                    <w:spacing w:after="0"/>
                    <w:ind w:left="0" w:leftChars="0"/>
                    <w:jc w:val="center"/>
                    <w:rPr>
                      <w:sz w:val="21"/>
                      <w:szCs w:val="21"/>
                    </w:rPr>
                  </w:pPr>
                  <w:r>
                    <w:rPr>
                      <w:sz w:val="21"/>
                      <w:szCs w:val="21"/>
                    </w:rPr>
                    <w:t>一类和二类区</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评价基准年</w:t>
                  </w:r>
                </w:p>
              </w:tc>
              <w:tc>
                <w:tcPr>
                  <w:tcW w:w="4244" w:type="pct"/>
                  <w:gridSpan w:val="18"/>
                  <w:vAlign w:val="center"/>
                </w:tcPr>
                <w:p>
                  <w:pPr>
                    <w:pStyle w:val="13"/>
                    <w:adjustRightInd w:val="0"/>
                    <w:snapToGrid w:val="0"/>
                    <w:spacing w:after="0"/>
                    <w:ind w:left="0" w:leftChars="0"/>
                    <w:jc w:val="center"/>
                    <w:rPr>
                      <w:sz w:val="21"/>
                      <w:szCs w:val="21"/>
                    </w:rPr>
                  </w:pPr>
                  <w:r>
                    <w:rPr>
                      <w:sz w:val="21"/>
                      <w:szCs w:val="21"/>
                    </w:rPr>
                    <w:t>（201</w:t>
                  </w:r>
                  <w:r>
                    <w:rPr>
                      <w:rFonts w:hint="eastAsia"/>
                      <w:sz w:val="21"/>
                      <w:szCs w:val="21"/>
                    </w:rPr>
                    <w:t>9</w:t>
                  </w:r>
                  <w:r>
                    <w:rPr>
                      <w:sz w:val="21"/>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环境空气质量现状调查数据来源</w:t>
                  </w:r>
                </w:p>
              </w:tc>
              <w:tc>
                <w:tcPr>
                  <w:tcW w:w="1257" w:type="pct"/>
                  <w:gridSpan w:val="6"/>
                  <w:vAlign w:val="center"/>
                </w:tcPr>
                <w:p>
                  <w:pPr>
                    <w:pStyle w:val="13"/>
                    <w:adjustRightInd w:val="0"/>
                    <w:snapToGrid w:val="0"/>
                    <w:spacing w:after="0"/>
                    <w:ind w:left="0" w:leftChars="0"/>
                    <w:jc w:val="center"/>
                    <w:rPr>
                      <w:sz w:val="21"/>
                      <w:szCs w:val="21"/>
                    </w:rPr>
                  </w:pPr>
                  <w:r>
                    <w:rPr>
                      <w:sz w:val="21"/>
                      <w:szCs w:val="21"/>
                    </w:rPr>
                    <w:t>长期例行监测数据</w:t>
                  </w:r>
                  <w:r>
                    <w:rPr>
                      <w:sz w:val="21"/>
                      <w:szCs w:val="21"/>
                    </w:rPr>
                    <w:sym w:font="Wingdings 2" w:char="00A3"/>
                  </w:r>
                </w:p>
              </w:tc>
              <w:tc>
                <w:tcPr>
                  <w:tcW w:w="1951" w:type="pct"/>
                  <w:gridSpan w:val="6"/>
                  <w:vAlign w:val="center"/>
                </w:tcPr>
                <w:p>
                  <w:pPr>
                    <w:pStyle w:val="13"/>
                    <w:adjustRightInd w:val="0"/>
                    <w:snapToGrid w:val="0"/>
                    <w:spacing w:after="0"/>
                    <w:ind w:left="0" w:leftChars="0"/>
                    <w:jc w:val="center"/>
                    <w:rPr>
                      <w:sz w:val="21"/>
                      <w:szCs w:val="21"/>
                    </w:rPr>
                  </w:pPr>
                  <w:r>
                    <w:rPr>
                      <w:sz w:val="21"/>
                      <w:szCs w:val="21"/>
                    </w:rPr>
                    <w:t>主管部门发布的数据</w:t>
                  </w:r>
                  <w:r>
                    <w:rPr>
                      <w:sz w:val="21"/>
                      <w:szCs w:val="21"/>
                    </w:rPr>
                    <w:sym w:font="Wingdings 2" w:char="0052"/>
                  </w:r>
                </w:p>
              </w:tc>
              <w:tc>
                <w:tcPr>
                  <w:tcW w:w="1036" w:type="pct"/>
                  <w:gridSpan w:val="6"/>
                  <w:vAlign w:val="center"/>
                </w:tcPr>
                <w:p>
                  <w:pPr>
                    <w:pStyle w:val="13"/>
                    <w:adjustRightInd w:val="0"/>
                    <w:snapToGrid w:val="0"/>
                    <w:spacing w:after="0"/>
                    <w:ind w:left="0" w:leftChars="0"/>
                    <w:jc w:val="center"/>
                    <w:rPr>
                      <w:sz w:val="21"/>
                      <w:szCs w:val="21"/>
                    </w:rPr>
                  </w:pPr>
                  <w:r>
                    <w:rPr>
                      <w:sz w:val="21"/>
                      <w:szCs w:val="21"/>
                    </w:rPr>
                    <w:t>现状补充监测</w:t>
                  </w:r>
                  <w:r>
                    <w:rPr>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现状评价</w:t>
                  </w:r>
                </w:p>
              </w:tc>
              <w:tc>
                <w:tcPr>
                  <w:tcW w:w="2529" w:type="pct"/>
                  <w:gridSpan w:val="10"/>
                  <w:vAlign w:val="center"/>
                </w:tcPr>
                <w:p>
                  <w:pPr>
                    <w:pStyle w:val="13"/>
                    <w:adjustRightInd w:val="0"/>
                    <w:snapToGrid w:val="0"/>
                    <w:spacing w:after="0"/>
                    <w:ind w:left="0" w:leftChars="0"/>
                    <w:jc w:val="center"/>
                    <w:rPr>
                      <w:sz w:val="21"/>
                      <w:szCs w:val="21"/>
                    </w:rPr>
                  </w:pPr>
                  <w:r>
                    <w:rPr>
                      <w:sz w:val="21"/>
                      <w:szCs w:val="21"/>
                    </w:rPr>
                    <w:t>达标区</w:t>
                  </w:r>
                  <w:r>
                    <w:rPr>
                      <w:sz w:val="21"/>
                      <w:szCs w:val="21"/>
                    </w:rPr>
                    <w:sym w:font="Wingdings 2" w:char="0052"/>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不达标区</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Align w:val="center"/>
                </w:tcPr>
                <w:p>
                  <w:pPr>
                    <w:pStyle w:val="13"/>
                    <w:adjustRightInd w:val="0"/>
                    <w:snapToGrid w:val="0"/>
                    <w:spacing w:after="0"/>
                    <w:ind w:left="0" w:leftChars="0"/>
                    <w:jc w:val="center"/>
                    <w:rPr>
                      <w:sz w:val="21"/>
                      <w:szCs w:val="21"/>
                    </w:rPr>
                  </w:pPr>
                  <w:r>
                    <w:rPr>
                      <w:sz w:val="21"/>
                      <w:szCs w:val="21"/>
                    </w:rPr>
                    <w:t>污染源调查</w:t>
                  </w:r>
                </w:p>
              </w:tc>
              <w:tc>
                <w:tcPr>
                  <w:tcW w:w="528" w:type="pct"/>
                  <w:vAlign w:val="center"/>
                </w:tcPr>
                <w:p>
                  <w:pPr>
                    <w:pStyle w:val="13"/>
                    <w:adjustRightInd w:val="0"/>
                    <w:snapToGrid w:val="0"/>
                    <w:spacing w:after="0"/>
                    <w:ind w:left="0" w:leftChars="0"/>
                    <w:jc w:val="center"/>
                    <w:rPr>
                      <w:sz w:val="21"/>
                      <w:szCs w:val="21"/>
                    </w:rPr>
                  </w:pPr>
                  <w:r>
                    <w:rPr>
                      <w:sz w:val="21"/>
                      <w:szCs w:val="21"/>
                    </w:rPr>
                    <w:t>调查内容</w:t>
                  </w:r>
                </w:p>
              </w:tc>
              <w:tc>
                <w:tcPr>
                  <w:tcW w:w="1257" w:type="pct"/>
                  <w:gridSpan w:val="6"/>
                  <w:vAlign w:val="center"/>
                </w:tcPr>
                <w:p>
                  <w:pPr>
                    <w:pStyle w:val="13"/>
                    <w:adjustRightInd w:val="0"/>
                    <w:snapToGrid w:val="0"/>
                    <w:spacing w:after="0"/>
                    <w:ind w:left="0" w:leftChars="0"/>
                    <w:jc w:val="right"/>
                    <w:rPr>
                      <w:sz w:val="21"/>
                      <w:szCs w:val="21"/>
                    </w:rPr>
                  </w:pPr>
                  <w:r>
                    <w:rPr>
                      <w:sz w:val="21"/>
                      <w:szCs w:val="21"/>
                    </w:rPr>
                    <w:t>本项目正常排放源</w:t>
                  </w:r>
                  <w:r>
                    <w:rPr>
                      <w:sz w:val="21"/>
                      <w:szCs w:val="21"/>
                    </w:rPr>
                    <w:sym w:font="Wingdings 2" w:char="0052"/>
                  </w:r>
                </w:p>
                <w:p>
                  <w:pPr>
                    <w:pStyle w:val="13"/>
                    <w:adjustRightInd w:val="0"/>
                    <w:snapToGrid w:val="0"/>
                    <w:spacing w:after="0"/>
                    <w:ind w:left="0" w:leftChars="0"/>
                    <w:jc w:val="right"/>
                    <w:rPr>
                      <w:sz w:val="21"/>
                      <w:szCs w:val="21"/>
                    </w:rPr>
                  </w:pPr>
                  <w:r>
                    <w:rPr>
                      <w:sz w:val="21"/>
                      <w:szCs w:val="21"/>
                    </w:rPr>
                    <w:t>本项目非正常排放源</w:t>
                  </w:r>
                  <w:r>
                    <w:rPr>
                      <w:sz w:val="21"/>
                      <w:szCs w:val="21"/>
                    </w:rPr>
                    <w:sym w:font="Wingdings 2" w:char="00A3"/>
                  </w:r>
                </w:p>
                <w:p>
                  <w:pPr>
                    <w:pStyle w:val="13"/>
                    <w:adjustRightInd w:val="0"/>
                    <w:snapToGrid w:val="0"/>
                    <w:spacing w:after="0"/>
                    <w:ind w:left="0" w:leftChars="0"/>
                    <w:jc w:val="center"/>
                    <w:rPr>
                      <w:sz w:val="21"/>
                      <w:szCs w:val="21"/>
                    </w:rPr>
                  </w:pPr>
                  <w:r>
                    <w:rPr>
                      <w:sz w:val="21"/>
                      <w:szCs w:val="21"/>
                    </w:rPr>
                    <w:t>现有污染源</w:t>
                  </w:r>
                  <w:r>
                    <w:rPr>
                      <w:sz w:val="21"/>
                      <w:szCs w:val="21"/>
                    </w:rPr>
                    <w:sym w:font="Wingdings 2" w:char="00A3"/>
                  </w:r>
                </w:p>
              </w:tc>
              <w:tc>
                <w:tcPr>
                  <w:tcW w:w="1272" w:type="pct"/>
                  <w:gridSpan w:val="4"/>
                  <w:vAlign w:val="center"/>
                </w:tcPr>
                <w:p>
                  <w:pPr>
                    <w:pStyle w:val="13"/>
                    <w:adjustRightInd w:val="0"/>
                    <w:snapToGrid w:val="0"/>
                    <w:spacing w:after="0"/>
                    <w:ind w:left="0" w:leftChars="0"/>
                    <w:jc w:val="center"/>
                    <w:rPr>
                      <w:sz w:val="21"/>
                      <w:szCs w:val="21"/>
                    </w:rPr>
                  </w:pPr>
                  <w:r>
                    <w:rPr>
                      <w:sz w:val="21"/>
                      <w:szCs w:val="21"/>
                    </w:rPr>
                    <w:t>拟替代的污染源</w:t>
                  </w:r>
                  <w:r>
                    <w:rPr>
                      <w:sz w:val="21"/>
                      <w:szCs w:val="21"/>
                    </w:rPr>
                    <w:sym w:font="Wingdings 2" w:char="00A3"/>
                  </w:r>
                </w:p>
              </w:tc>
              <w:tc>
                <w:tcPr>
                  <w:tcW w:w="1261" w:type="pct"/>
                  <w:gridSpan w:val="6"/>
                  <w:vAlign w:val="center"/>
                </w:tcPr>
                <w:p>
                  <w:pPr>
                    <w:pStyle w:val="13"/>
                    <w:adjustRightInd w:val="0"/>
                    <w:snapToGrid w:val="0"/>
                    <w:spacing w:after="0"/>
                    <w:ind w:left="0" w:leftChars="0"/>
                    <w:jc w:val="center"/>
                    <w:rPr>
                      <w:sz w:val="21"/>
                      <w:szCs w:val="21"/>
                    </w:rPr>
                  </w:pPr>
                  <w:r>
                    <w:rPr>
                      <w:sz w:val="21"/>
                      <w:szCs w:val="21"/>
                    </w:rPr>
                    <w:t>其他在建、拟建项目污染源</w:t>
                  </w:r>
                  <w:r>
                    <w:rPr>
                      <w:sz w:val="21"/>
                      <w:szCs w:val="21"/>
                    </w:rPr>
                    <w:sym w:font="Wingdings 2" w:char="00A3"/>
                  </w:r>
                </w:p>
              </w:tc>
              <w:tc>
                <w:tcPr>
                  <w:tcW w:w="454" w:type="pct"/>
                  <w:gridSpan w:val="2"/>
                  <w:vAlign w:val="center"/>
                </w:tcPr>
                <w:p>
                  <w:pPr>
                    <w:pStyle w:val="13"/>
                    <w:adjustRightInd w:val="0"/>
                    <w:snapToGrid w:val="0"/>
                    <w:spacing w:after="0"/>
                    <w:ind w:left="0" w:leftChars="0"/>
                    <w:jc w:val="center"/>
                    <w:rPr>
                      <w:sz w:val="21"/>
                      <w:szCs w:val="21"/>
                    </w:rPr>
                  </w:pPr>
                  <w:r>
                    <w:rPr>
                      <w:sz w:val="21"/>
                      <w:szCs w:val="21"/>
                    </w:rPr>
                    <w:t>区域污染源</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restart"/>
                  <w:vAlign w:val="center"/>
                </w:tcPr>
                <w:p>
                  <w:pPr>
                    <w:pStyle w:val="13"/>
                    <w:adjustRightInd w:val="0"/>
                    <w:snapToGrid w:val="0"/>
                    <w:spacing w:after="0"/>
                    <w:ind w:left="0" w:leftChars="0"/>
                    <w:jc w:val="center"/>
                    <w:rPr>
                      <w:sz w:val="21"/>
                      <w:szCs w:val="21"/>
                    </w:rPr>
                  </w:pPr>
                  <w:r>
                    <w:rPr>
                      <w:sz w:val="21"/>
                      <w:szCs w:val="21"/>
                    </w:rPr>
                    <w:t>大气环境影响预测与评价</w:t>
                  </w:r>
                </w:p>
              </w:tc>
              <w:tc>
                <w:tcPr>
                  <w:tcW w:w="528" w:type="pct"/>
                  <w:vAlign w:val="center"/>
                </w:tcPr>
                <w:p>
                  <w:pPr>
                    <w:pStyle w:val="13"/>
                    <w:adjustRightInd w:val="0"/>
                    <w:snapToGrid w:val="0"/>
                    <w:spacing w:after="0"/>
                    <w:ind w:left="0" w:leftChars="0"/>
                    <w:jc w:val="center"/>
                    <w:rPr>
                      <w:sz w:val="21"/>
                      <w:szCs w:val="21"/>
                    </w:rPr>
                  </w:pPr>
                  <w:r>
                    <w:rPr>
                      <w:sz w:val="21"/>
                      <w:szCs w:val="21"/>
                    </w:rPr>
                    <w:t>预测模式</w:t>
                  </w:r>
                </w:p>
              </w:tc>
              <w:tc>
                <w:tcPr>
                  <w:tcW w:w="638" w:type="pct"/>
                  <w:vAlign w:val="center"/>
                </w:tcPr>
                <w:p>
                  <w:pPr>
                    <w:pStyle w:val="13"/>
                    <w:adjustRightInd w:val="0"/>
                    <w:snapToGrid w:val="0"/>
                    <w:spacing w:after="0"/>
                    <w:ind w:left="0" w:leftChars="0"/>
                    <w:jc w:val="center"/>
                    <w:rPr>
                      <w:sz w:val="21"/>
                      <w:szCs w:val="21"/>
                    </w:rPr>
                  </w:pPr>
                  <w:r>
                    <w:rPr>
                      <w:sz w:val="21"/>
                      <w:szCs w:val="21"/>
                    </w:rPr>
                    <w:t>AERMOD</w:t>
                  </w:r>
                  <w:r>
                    <w:rPr>
                      <w:sz w:val="21"/>
                      <w:szCs w:val="21"/>
                    </w:rPr>
                    <w:sym w:font="Wingdings 2" w:char="00A3"/>
                  </w:r>
                </w:p>
              </w:tc>
              <w:tc>
                <w:tcPr>
                  <w:tcW w:w="619" w:type="pct"/>
                  <w:gridSpan w:val="5"/>
                  <w:vAlign w:val="center"/>
                </w:tcPr>
                <w:p>
                  <w:pPr>
                    <w:pStyle w:val="13"/>
                    <w:adjustRightInd w:val="0"/>
                    <w:snapToGrid w:val="0"/>
                    <w:spacing w:after="0"/>
                    <w:ind w:left="0" w:leftChars="0"/>
                    <w:jc w:val="center"/>
                    <w:rPr>
                      <w:sz w:val="21"/>
                      <w:szCs w:val="21"/>
                    </w:rPr>
                  </w:pPr>
                  <w:r>
                    <w:rPr>
                      <w:sz w:val="21"/>
                      <w:szCs w:val="21"/>
                    </w:rPr>
                    <w:t>ADMS</w:t>
                  </w:r>
                  <w:r>
                    <w:rPr>
                      <w:sz w:val="21"/>
                      <w:szCs w:val="21"/>
                    </w:rPr>
                    <w:sym w:font="Wingdings 2" w:char="00A3"/>
                  </w:r>
                </w:p>
              </w:tc>
              <w:tc>
                <w:tcPr>
                  <w:tcW w:w="817" w:type="pct"/>
                  <w:gridSpan w:val="2"/>
                  <w:vAlign w:val="center"/>
                </w:tcPr>
                <w:p>
                  <w:pPr>
                    <w:pStyle w:val="13"/>
                    <w:adjustRightInd w:val="0"/>
                    <w:snapToGrid w:val="0"/>
                    <w:spacing w:after="0"/>
                    <w:ind w:left="0" w:leftChars="0"/>
                    <w:jc w:val="center"/>
                    <w:rPr>
                      <w:sz w:val="21"/>
                      <w:szCs w:val="21"/>
                    </w:rPr>
                  </w:pPr>
                  <w:r>
                    <w:rPr>
                      <w:sz w:val="21"/>
                      <w:szCs w:val="21"/>
                    </w:rPr>
                    <w:t>AUSTAL2000</w:t>
                  </w:r>
                  <w:r>
                    <w:rPr>
                      <w:sz w:val="21"/>
                      <w:szCs w:val="21"/>
                    </w:rPr>
                    <w:sym w:font="Wingdings 2" w:char="00A3"/>
                  </w:r>
                </w:p>
              </w:tc>
              <w:tc>
                <w:tcPr>
                  <w:tcW w:w="832" w:type="pct"/>
                  <w:gridSpan w:val="3"/>
                  <w:vAlign w:val="center"/>
                </w:tcPr>
                <w:p>
                  <w:pPr>
                    <w:pStyle w:val="13"/>
                    <w:adjustRightInd w:val="0"/>
                    <w:snapToGrid w:val="0"/>
                    <w:spacing w:after="0"/>
                    <w:ind w:left="0" w:leftChars="0"/>
                    <w:jc w:val="center"/>
                    <w:rPr>
                      <w:sz w:val="21"/>
                      <w:szCs w:val="21"/>
                    </w:rPr>
                  </w:pPr>
                  <w:r>
                    <w:rPr>
                      <w:sz w:val="21"/>
                      <w:szCs w:val="21"/>
                    </w:rPr>
                    <w:t>EDMS/AEDT</w:t>
                  </w:r>
                  <w:r>
                    <w:rPr>
                      <w:sz w:val="21"/>
                      <w:szCs w:val="21"/>
                    </w:rPr>
                    <w:sym w:font="Wingdings 2" w:char="00A3"/>
                  </w:r>
                </w:p>
              </w:tc>
              <w:tc>
                <w:tcPr>
                  <w:tcW w:w="704" w:type="pct"/>
                  <w:gridSpan w:val="3"/>
                  <w:vAlign w:val="center"/>
                </w:tcPr>
                <w:p>
                  <w:pPr>
                    <w:pStyle w:val="13"/>
                    <w:adjustRightInd w:val="0"/>
                    <w:snapToGrid w:val="0"/>
                    <w:spacing w:after="0"/>
                    <w:ind w:left="0" w:leftChars="0"/>
                    <w:jc w:val="center"/>
                    <w:rPr>
                      <w:sz w:val="21"/>
                      <w:szCs w:val="21"/>
                    </w:rPr>
                  </w:pPr>
                  <w:r>
                    <w:rPr>
                      <w:sz w:val="21"/>
                      <w:szCs w:val="21"/>
                    </w:rPr>
                    <w:t>CALPUFF</w:t>
                  </w:r>
                  <w:r>
                    <w:rPr>
                      <w:sz w:val="21"/>
                      <w:szCs w:val="21"/>
                    </w:rPr>
                    <w:sym w:font="Wingdings 2" w:char="00A3"/>
                  </w:r>
                </w:p>
              </w:tc>
              <w:tc>
                <w:tcPr>
                  <w:tcW w:w="337" w:type="pct"/>
                  <w:gridSpan w:val="3"/>
                  <w:vAlign w:val="center"/>
                </w:tcPr>
                <w:p>
                  <w:pPr>
                    <w:pStyle w:val="13"/>
                    <w:adjustRightInd w:val="0"/>
                    <w:snapToGrid w:val="0"/>
                    <w:spacing w:after="0"/>
                    <w:ind w:left="0" w:leftChars="0"/>
                    <w:jc w:val="center"/>
                    <w:rPr>
                      <w:sz w:val="21"/>
                      <w:szCs w:val="21"/>
                    </w:rPr>
                  </w:pPr>
                  <w:r>
                    <w:rPr>
                      <w:sz w:val="21"/>
                      <w:szCs w:val="21"/>
                    </w:rPr>
                    <w:t>网络模型</w:t>
                  </w:r>
                  <w:r>
                    <w:rPr>
                      <w:sz w:val="21"/>
                      <w:szCs w:val="21"/>
                    </w:rPr>
                    <w:sym w:font="Wingdings 2" w:char="00A3"/>
                  </w:r>
                </w:p>
              </w:tc>
              <w:tc>
                <w:tcPr>
                  <w:tcW w:w="297" w:type="pct"/>
                  <w:vAlign w:val="center"/>
                </w:tcPr>
                <w:p>
                  <w:pPr>
                    <w:pStyle w:val="13"/>
                    <w:adjustRightInd w:val="0"/>
                    <w:snapToGrid w:val="0"/>
                    <w:spacing w:after="0"/>
                    <w:ind w:left="0" w:leftChars="0"/>
                    <w:jc w:val="center"/>
                    <w:rPr>
                      <w:sz w:val="21"/>
                      <w:szCs w:val="21"/>
                    </w:rPr>
                  </w:pPr>
                  <w:r>
                    <w:rPr>
                      <w:sz w:val="21"/>
                      <w:szCs w:val="21"/>
                    </w:rPr>
                    <w:t>其他</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预测范围</w:t>
                  </w:r>
                </w:p>
              </w:tc>
              <w:tc>
                <w:tcPr>
                  <w:tcW w:w="1131" w:type="pct"/>
                  <w:gridSpan w:val="5"/>
                  <w:vAlign w:val="center"/>
                </w:tcPr>
                <w:p>
                  <w:pPr>
                    <w:pStyle w:val="13"/>
                    <w:adjustRightInd w:val="0"/>
                    <w:snapToGrid w:val="0"/>
                    <w:spacing w:after="0"/>
                    <w:ind w:left="0" w:leftChars="0"/>
                    <w:jc w:val="center"/>
                    <w:rPr>
                      <w:sz w:val="21"/>
                      <w:szCs w:val="21"/>
                    </w:rPr>
                  </w:pPr>
                  <w:r>
                    <w:rPr>
                      <w:sz w:val="21"/>
                      <w:szCs w:val="21"/>
                    </w:rPr>
                    <w:t>边长=50km</w:t>
                  </w:r>
                  <w:r>
                    <w:rPr>
                      <w:sz w:val="21"/>
                      <w:szCs w:val="21"/>
                    </w:rPr>
                    <w:sym w:font="Wingdings 2" w:char="00A3"/>
                  </w:r>
                </w:p>
              </w:tc>
              <w:tc>
                <w:tcPr>
                  <w:tcW w:w="2315" w:type="pct"/>
                  <w:gridSpan w:val="8"/>
                  <w:vAlign w:val="center"/>
                </w:tcPr>
                <w:p>
                  <w:pPr>
                    <w:pStyle w:val="13"/>
                    <w:adjustRightInd w:val="0"/>
                    <w:snapToGrid w:val="0"/>
                    <w:spacing w:after="0"/>
                    <w:ind w:left="0" w:leftChars="0"/>
                    <w:jc w:val="center"/>
                    <w:rPr>
                      <w:sz w:val="21"/>
                      <w:szCs w:val="21"/>
                    </w:rPr>
                  </w:pPr>
                  <w:r>
                    <w:rPr>
                      <w:sz w:val="21"/>
                      <w:szCs w:val="21"/>
                    </w:rPr>
                    <w:t>边长5~50km</w:t>
                  </w:r>
                  <w:r>
                    <w:rPr>
                      <w:sz w:val="21"/>
                      <w:szCs w:val="21"/>
                    </w:rPr>
                    <w:sym w:font="Wingdings 2" w:char="00A3"/>
                  </w:r>
                </w:p>
              </w:tc>
              <w:tc>
                <w:tcPr>
                  <w:tcW w:w="797" w:type="pct"/>
                  <w:gridSpan w:val="5"/>
                  <w:vAlign w:val="center"/>
                </w:tcPr>
                <w:p>
                  <w:pPr>
                    <w:pStyle w:val="13"/>
                    <w:adjustRightInd w:val="0"/>
                    <w:snapToGrid w:val="0"/>
                    <w:spacing w:after="0"/>
                    <w:ind w:left="0" w:leftChars="0"/>
                    <w:jc w:val="center"/>
                    <w:rPr>
                      <w:sz w:val="21"/>
                      <w:szCs w:val="21"/>
                    </w:rPr>
                  </w:pPr>
                  <w:r>
                    <w:rPr>
                      <w:sz w:val="21"/>
                      <w:szCs w:val="21"/>
                    </w:rPr>
                    <w:t>边长=5km</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预测因子</w:t>
                  </w:r>
                </w:p>
              </w:tc>
              <w:tc>
                <w:tcPr>
                  <w:tcW w:w="2529" w:type="pct"/>
                  <w:gridSpan w:val="10"/>
                  <w:vAlign w:val="center"/>
                </w:tcPr>
                <w:p>
                  <w:pPr>
                    <w:pStyle w:val="13"/>
                    <w:adjustRightInd w:val="0"/>
                    <w:snapToGrid w:val="0"/>
                    <w:spacing w:after="0"/>
                    <w:ind w:left="0" w:leftChars="0"/>
                    <w:jc w:val="center"/>
                    <w:rPr>
                      <w:sz w:val="21"/>
                      <w:szCs w:val="21"/>
                    </w:rPr>
                  </w:pPr>
                  <w:r>
                    <w:rPr>
                      <w:sz w:val="21"/>
                      <w:szCs w:val="21"/>
                    </w:rPr>
                    <w:t>预测因子（    ）</w:t>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包括二次PM</w:t>
                  </w:r>
                  <w:r>
                    <w:rPr>
                      <w:sz w:val="21"/>
                      <w:szCs w:val="21"/>
                      <w:vertAlign w:val="subscript"/>
                    </w:rPr>
                    <w:t>2.5</w:t>
                  </w:r>
                  <w:r>
                    <w:rPr>
                      <w:sz w:val="21"/>
                      <w:szCs w:val="21"/>
                    </w:rPr>
                    <w:sym w:font="Wingdings 2" w:char="00A3"/>
                  </w:r>
                </w:p>
                <w:p>
                  <w:pPr>
                    <w:pStyle w:val="13"/>
                    <w:adjustRightInd w:val="0"/>
                    <w:snapToGrid w:val="0"/>
                    <w:spacing w:after="0"/>
                    <w:ind w:left="0" w:leftChars="0"/>
                    <w:jc w:val="center"/>
                    <w:rPr>
                      <w:sz w:val="21"/>
                      <w:szCs w:val="21"/>
                    </w:rPr>
                  </w:pPr>
                  <w:r>
                    <w:rPr>
                      <w:sz w:val="21"/>
                      <w:szCs w:val="21"/>
                    </w:rPr>
                    <w:t>不包括二次PM</w:t>
                  </w:r>
                  <w:r>
                    <w:rPr>
                      <w:sz w:val="21"/>
                      <w:szCs w:val="21"/>
                      <w:vertAlign w:val="subscript"/>
                    </w:rPr>
                    <w:t>2.5</w:t>
                  </w:r>
                  <w:r>
                    <w:rPr>
                      <w:sz w:val="21"/>
                      <w:szCs w:val="21"/>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正常排放短期浓度贡献值</w:t>
                  </w:r>
                </w:p>
              </w:tc>
              <w:tc>
                <w:tcPr>
                  <w:tcW w:w="2529" w:type="pct"/>
                  <w:gridSpan w:val="10"/>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最大占标率≤100%</w:t>
                  </w:r>
                  <w:r>
                    <w:rPr>
                      <w:sz w:val="21"/>
                      <w:szCs w:val="21"/>
                    </w:rPr>
                    <w:sym w:font="Wingdings 2" w:char="00A3"/>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最大占标率˃100%</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Merge w:val="restart"/>
                  <w:vAlign w:val="center"/>
                </w:tcPr>
                <w:p>
                  <w:pPr>
                    <w:pStyle w:val="13"/>
                    <w:adjustRightInd w:val="0"/>
                    <w:snapToGrid w:val="0"/>
                    <w:spacing w:after="0"/>
                    <w:ind w:left="0" w:leftChars="0"/>
                    <w:jc w:val="center"/>
                    <w:rPr>
                      <w:sz w:val="21"/>
                      <w:szCs w:val="21"/>
                    </w:rPr>
                  </w:pPr>
                  <w:r>
                    <w:rPr>
                      <w:sz w:val="21"/>
                      <w:szCs w:val="21"/>
                    </w:rPr>
                    <w:t>正常排放年均浓度贡献值</w:t>
                  </w:r>
                </w:p>
              </w:tc>
              <w:tc>
                <w:tcPr>
                  <w:tcW w:w="814" w:type="pct"/>
                  <w:gridSpan w:val="3"/>
                  <w:vAlign w:val="center"/>
                </w:tcPr>
                <w:p>
                  <w:pPr>
                    <w:pStyle w:val="13"/>
                    <w:adjustRightInd w:val="0"/>
                    <w:snapToGrid w:val="0"/>
                    <w:spacing w:after="0"/>
                    <w:ind w:left="0" w:leftChars="0"/>
                    <w:jc w:val="center"/>
                    <w:rPr>
                      <w:sz w:val="21"/>
                      <w:szCs w:val="21"/>
                    </w:rPr>
                  </w:pPr>
                  <w:r>
                    <w:rPr>
                      <w:sz w:val="21"/>
                      <w:szCs w:val="21"/>
                    </w:rPr>
                    <w:t>一类区</w:t>
                  </w:r>
                </w:p>
              </w:tc>
              <w:tc>
                <w:tcPr>
                  <w:tcW w:w="1715" w:type="pct"/>
                  <w:gridSpan w:val="7"/>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最大占标率≤10%</w:t>
                  </w:r>
                  <w:r>
                    <w:rPr>
                      <w:sz w:val="21"/>
                      <w:szCs w:val="21"/>
                    </w:rPr>
                    <w:sym w:font="Wingdings 2" w:char="00A3"/>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最大占标率˃10%</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Merge w:val="continue"/>
                  <w:vAlign w:val="center"/>
                </w:tcPr>
                <w:p>
                  <w:pPr>
                    <w:pStyle w:val="13"/>
                    <w:adjustRightInd w:val="0"/>
                    <w:snapToGrid w:val="0"/>
                    <w:spacing w:after="0"/>
                    <w:ind w:left="0" w:leftChars="0"/>
                    <w:jc w:val="center"/>
                    <w:rPr>
                      <w:sz w:val="21"/>
                      <w:szCs w:val="21"/>
                    </w:rPr>
                  </w:pPr>
                </w:p>
              </w:tc>
              <w:tc>
                <w:tcPr>
                  <w:tcW w:w="814" w:type="pct"/>
                  <w:gridSpan w:val="3"/>
                  <w:vAlign w:val="center"/>
                </w:tcPr>
                <w:p>
                  <w:pPr>
                    <w:pStyle w:val="13"/>
                    <w:adjustRightInd w:val="0"/>
                    <w:snapToGrid w:val="0"/>
                    <w:spacing w:after="0"/>
                    <w:ind w:left="0" w:leftChars="0"/>
                    <w:jc w:val="center"/>
                    <w:rPr>
                      <w:sz w:val="21"/>
                      <w:szCs w:val="21"/>
                    </w:rPr>
                  </w:pPr>
                  <w:r>
                    <w:rPr>
                      <w:sz w:val="21"/>
                      <w:szCs w:val="21"/>
                    </w:rPr>
                    <w:t>二类区</w:t>
                  </w:r>
                </w:p>
              </w:tc>
              <w:tc>
                <w:tcPr>
                  <w:tcW w:w="1715" w:type="pct"/>
                  <w:gridSpan w:val="7"/>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最大占标率≤30%</w:t>
                  </w:r>
                  <w:r>
                    <w:rPr>
                      <w:sz w:val="21"/>
                      <w:szCs w:val="21"/>
                    </w:rPr>
                    <w:sym w:font="Wingdings 2" w:char="00A3"/>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最大占标率˃30%</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非正常排放1h浓度贡献值</w:t>
                  </w:r>
                </w:p>
              </w:tc>
              <w:tc>
                <w:tcPr>
                  <w:tcW w:w="814" w:type="pct"/>
                  <w:gridSpan w:val="3"/>
                  <w:vAlign w:val="center"/>
                </w:tcPr>
                <w:p>
                  <w:pPr>
                    <w:pStyle w:val="13"/>
                    <w:adjustRightInd w:val="0"/>
                    <w:snapToGrid w:val="0"/>
                    <w:spacing w:after="0"/>
                    <w:ind w:left="0" w:leftChars="0"/>
                    <w:jc w:val="center"/>
                    <w:rPr>
                      <w:sz w:val="21"/>
                      <w:szCs w:val="21"/>
                    </w:rPr>
                  </w:pPr>
                  <w:r>
                    <w:rPr>
                      <w:sz w:val="21"/>
                      <w:szCs w:val="21"/>
                    </w:rPr>
                    <w:t>非正常持续时长（）h</w:t>
                  </w:r>
                </w:p>
              </w:tc>
              <w:tc>
                <w:tcPr>
                  <w:tcW w:w="1715" w:type="pct"/>
                  <w:gridSpan w:val="7"/>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最大占标率≤100%</w:t>
                  </w:r>
                  <w:r>
                    <w:rPr>
                      <w:sz w:val="21"/>
                      <w:szCs w:val="21"/>
                    </w:rPr>
                    <w:sym w:font="Wingdings 2" w:char="00A3"/>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本项目</w:t>
                  </w:r>
                  <w:r>
                    <w:rPr>
                      <w:sz w:val="21"/>
                      <w:szCs w:val="21"/>
                    </w:rPr>
                    <w:t>最大占标率˃100%</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保证率日平均浓度和年平均浓度叠加值</w:t>
                  </w:r>
                </w:p>
              </w:tc>
              <w:tc>
                <w:tcPr>
                  <w:tcW w:w="2529" w:type="pct"/>
                  <w:gridSpan w:val="10"/>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叠加</w:t>
                  </w:r>
                  <w:r>
                    <w:rPr>
                      <w:sz w:val="21"/>
                      <w:szCs w:val="21"/>
                    </w:rPr>
                    <w:t>达标</w:t>
                  </w:r>
                  <w:r>
                    <w:rPr>
                      <w:sz w:val="21"/>
                      <w:szCs w:val="21"/>
                    </w:rPr>
                    <w:sym w:font="Wingdings 2" w:char="00A3"/>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C</w:t>
                  </w:r>
                  <w:r>
                    <w:rPr>
                      <w:sz w:val="21"/>
                      <w:szCs w:val="21"/>
                      <w:vertAlign w:val="subscript"/>
                    </w:rPr>
                    <w:t>叠加</w:t>
                  </w:r>
                  <w:r>
                    <w:rPr>
                      <w:sz w:val="21"/>
                      <w:szCs w:val="21"/>
                    </w:rPr>
                    <w:t>不达标</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区域环境质量的整体变化情况</w:t>
                  </w:r>
                </w:p>
              </w:tc>
              <w:tc>
                <w:tcPr>
                  <w:tcW w:w="2529" w:type="pct"/>
                  <w:gridSpan w:val="10"/>
                  <w:vAlign w:val="center"/>
                </w:tcPr>
                <w:p>
                  <w:pPr>
                    <w:pStyle w:val="13"/>
                    <w:adjustRightInd w:val="0"/>
                    <w:snapToGrid w:val="0"/>
                    <w:spacing w:after="0"/>
                    <w:ind w:left="0" w:leftChars="0"/>
                    <w:jc w:val="center"/>
                    <w:rPr>
                      <w:sz w:val="21"/>
                      <w:szCs w:val="21"/>
                    </w:rPr>
                  </w:pPr>
                  <w:r>
                    <w:rPr>
                      <w:sz w:val="21"/>
                      <w:szCs w:val="21"/>
                    </w:rPr>
                    <w:t>k</w:t>
                  </w:r>
                  <w:r>
                    <w:rPr>
                      <w:rFonts w:hint="eastAsia" w:ascii="宋体" w:hAnsi="宋体" w:cs="宋体"/>
                      <w:sz w:val="21"/>
                      <w:szCs w:val="21"/>
                    </w:rPr>
                    <w:t>≦</w:t>
                  </w:r>
                  <w:r>
                    <w:rPr>
                      <w:sz w:val="21"/>
                      <w:szCs w:val="21"/>
                    </w:rPr>
                    <w:t>-20%</w:t>
                  </w:r>
                  <w:r>
                    <w:rPr>
                      <w:sz w:val="21"/>
                      <w:szCs w:val="21"/>
                    </w:rPr>
                    <w:sym w:font="Wingdings 2" w:char="00A3"/>
                  </w:r>
                </w:p>
              </w:tc>
              <w:tc>
                <w:tcPr>
                  <w:tcW w:w="1715" w:type="pct"/>
                  <w:gridSpan w:val="8"/>
                  <w:vAlign w:val="center"/>
                </w:tcPr>
                <w:p>
                  <w:pPr>
                    <w:pStyle w:val="13"/>
                    <w:adjustRightInd w:val="0"/>
                    <w:snapToGrid w:val="0"/>
                    <w:spacing w:after="0"/>
                    <w:ind w:left="0" w:leftChars="0"/>
                    <w:jc w:val="center"/>
                    <w:rPr>
                      <w:sz w:val="21"/>
                      <w:szCs w:val="21"/>
                    </w:rPr>
                  </w:pPr>
                  <w:r>
                    <w:rPr>
                      <w:sz w:val="21"/>
                      <w:szCs w:val="21"/>
                    </w:rPr>
                    <w:t>k˃-20%</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227" w:type="pct"/>
                  <w:vMerge w:val="restart"/>
                  <w:vAlign w:val="center"/>
                </w:tcPr>
                <w:p>
                  <w:pPr>
                    <w:pStyle w:val="13"/>
                    <w:adjustRightInd w:val="0"/>
                    <w:snapToGrid w:val="0"/>
                    <w:spacing w:after="0"/>
                    <w:ind w:left="0" w:leftChars="0"/>
                    <w:jc w:val="center"/>
                    <w:rPr>
                      <w:sz w:val="21"/>
                      <w:szCs w:val="21"/>
                    </w:rPr>
                  </w:pPr>
                  <w:r>
                    <w:rPr>
                      <w:sz w:val="21"/>
                      <w:szCs w:val="21"/>
                    </w:rPr>
                    <w:t>环境监测计划</w:t>
                  </w:r>
                </w:p>
              </w:tc>
              <w:tc>
                <w:tcPr>
                  <w:tcW w:w="528" w:type="pct"/>
                  <w:vAlign w:val="center"/>
                </w:tcPr>
                <w:p>
                  <w:pPr>
                    <w:pStyle w:val="13"/>
                    <w:adjustRightInd w:val="0"/>
                    <w:snapToGrid w:val="0"/>
                    <w:spacing w:after="0"/>
                    <w:ind w:left="0" w:leftChars="0"/>
                    <w:jc w:val="center"/>
                    <w:rPr>
                      <w:sz w:val="21"/>
                      <w:szCs w:val="21"/>
                    </w:rPr>
                  </w:pPr>
                  <w:r>
                    <w:rPr>
                      <w:sz w:val="21"/>
                      <w:szCs w:val="21"/>
                    </w:rPr>
                    <w:t>污染源监测</w:t>
                  </w:r>
                </w:p>
              </w:tc>
              <w:tc>
                <w:tcPr>
                  <w:tcW w:w="1257" w:type="pct"/>
                  <w:gridSpan w:val="6"/>
                  <w:vAlign w:val="center"/>
                </w:tcPr>
                <w:p>
                  <w:pPr>
                    <w:pStyle w:val="13"/>
                    <w:adjustRightInd w:val="0"/>
                    <w:snapToGrid w:val="0"/>
                    <w:spacing w:after="0"/>
                    <w:ind w:left="0" w:leftChars="0"/>
                    <w:rPr>
                      <w:sz w:val="21"/>
                      <w:szCs w:val="21"/>
                    </w:rPr>
                  </w:pPr>
                  <w:r>
                    <w:rPr>
                      <w:sz w:val="21"/>
                      <w:szCs w:val="21"/>
                    </w:rPr>
                    <w:t>监测因子（非甲烷总烃）</w:t>
                  </w:r>
                </w:p>
              </w:tc>
              <w:tc>
                <w:tcPr>
                  <w:tcW w:w="2190" w:type="pct"/>
                  <w:gridSpan w:val="7"/>
                  <w:vAlign w:val="center"/>
                </w:tcPr>
                <w:p>
                  <w:pPr>
                    <w:pStyle w:val="13"/>
                    <w:adjustRightInd w:val="0"/>
                    <w:snapToGrid w:val="0"/>
                    <w:spacing w:after="0"/>
                    <w:ind w:left="0" w:leftChars="0"/>
                    <w:jc w:val="center"/>
                    <w:rPr>
                      <w:sz w:val="21"/>
                      <w:szCs w:val="21"/>
                    </w:rPr>
                  </w:pPr>
                  <w:r>
                    <w:rPr>
                      <w:sz w:val="21"/>
                      <w:szCs w:val="21"/>
                    </w:rPr>
                    <w:t>有组织废气监测</w:t>
                  </w:r>
                  <w:r>
                    <w:rPr>
                      <w:sz w:val="21"/>
                      <w:szCs w:val="21"/>
                    </w:rPr>
                    <w:sym w:font="Wingdings 2" w:char="00A3"/>
                  </w:r>
                </w:p>
                <w:p>
                  <w:pPr>
                    <w:pStyle w:val="13"/>
                    <w:adjustRightInd w:val="0"/>
                    <w:snapToGrid w:val="0"/>
                    <w:spacing w:after="0"/>
                    <w:ind w:left="0" w:leftChars="0"/>
                    <w:jc w:val="center"/>
                    <w:rPr>
                      <w:sz w:val="21"/>
                      <w:szCs w:val="21"/>
                    </w:rPr>
                  </w:pPr>
                  <w:r>
                    <w:rPr>
                      <w:sz w:val="21"/>
                      <w:szCs w:val="21"/>
                    </w:rPr>
                    <w:t>无组织废气监测</w:t>
                  </w:r>
                  <w:r>
                    <w:rPr>
                      <w:sz w:val="21"/>
                      <w:szCs w:val="21"/>
                    </w:rPr>
                    <w:sym w:font="Wingdings 2" w:char="0052"/>
                  </w:r>
                </w:p>
              </w:tc>
              <w:tc>
                <w:tcPr>
                  <w:tcW w:w="797" w:type="pct"/>
                  <w:gridSpan w:val="5"/>
                  <w:vAlign w:val="center"/>
                </w:tcPr>
                <w:p>
                  <w:pPr>
                    <w:pStyle w:val="13"/>
                    <w:adjustRightInd w:val="0"/>
                    <w:snapToGrid w:val="0"/>
                    <w:spacing w:after="0"/>
                    <w:ind w:left="0" w:leftChars="0"/>
                    <w:jc w:val="center"/>
                    <w:rPr>
                      <w:sz w:val="21"/>
                      <w:szCs w:val="21"/>
                    </w:rPr>
                  </w:pPr>
                  <w:r>
                    <w:rPr>
                      <w:sz w:val="21"/>
                      <w:szCs w:val="21"/>
                    </w:rPr>
                    <w:t>无监测</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环境质量监测</w:t>
                  </w:r>
                </w:p>
              </w:tc>
              <w:tc>
                <w:tcPr>
                  <w:tcW w:w="1257" w:type="pct"/>
                  <w:gridSpan w:val="6"/>
                  <w:vAlign w:val="center"/>
                </w:tcPr>
                <w:p>
                  <w:pPr>
                    <w:pStyle w:val="13"/>
                    <w:adjustRightInd w:val="0"/>
                    <w:snapToGrid w:val="0"/>
                    <w:spacing w:after="0"/>
                    <w:ind w:left="0" w:leftChars="0"/>
                    <w:jc w:val="center"/>
                    <w:rPr>
                      <w:sz w:val="21"/>
                      <w:szCs w:val="21"/>
                    </w:rPr>
                  </w:pPr>
                  <w:r>
                    <w:rPr>
                      <w:sz w:val="21"/>
                      <w:szCs w:val="21"/>
                    </w:rPr>
                    <w:t>监测因子（    ）</w:t>
                  </w:r>
                </w:p>
              </w:tc>
              <w:tc>
                <w:tcPr>
                  <w:tcW w:w="2190" w:type="pct"/>
                  <w:gridSpan w:val="7"/>
                  <w:vAlign w:val="center"/>
                </w:tcPr>
                <w:p>
                  <w:pPr>
                    <w:pStyle w:val="13"/>
                    <w:adjustRightInd w:val="0"/>
                    <w:snapToGrid w:val="0"/>
                    <w:spacing w:after="0"/>
                    <w:ind w:left="0" w:leftChars="0"/>
                    <w:jc w:val="center"/>
                    <w:rPr>
                      <w:sz w:val="21"/>
                      <w:szCs w:val="21"/>
                    </w:rPr>
                  </w:pPr>
                  <w:r>
                    <w:rPr>
                      <w:sz w:val="21"/>
                      <w:szCs w:val="21"/>
                    </w:rPr>
                    <w:t>监测点位数（  ）</w:t>
                  </w:r>
                </w:p>
              </w:tc>
              <w:tc>
                <w:tcPr>
                  <w:tcW w:w="797" w:type="pct"/>
                  <w:gridSpan w:val="5"/>
                  <w:vAlign w:val="center"/>
                </w:tcPr>
                <w:p>
                  <w:pPr>
                    <w:pStyle w:val="13"/>
                    <w:adjustRightInd w:val="0"/>
                    <w:snapToGrid w:val="0"/>
                    <w:spacing w:after="0"/>
                    <w:ind w:left="0" w:leftChars="0"/>
                    <w:jc w:val="center"/>
                    <w:rPr>
                      <w:sz w:val="21"/>
                      <w:szCs w:val="21"/>
                    </w:rPr>
                  </w:pPr>
                  <w:r>
                    <w:rPr>
                      <w:sz w:val="21"/>
                      <w:szCs w:val="21"/>
                    </w:rPr>
                    <w:t>无监测</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restart"/>
                  <w:vAlign w:val="center"/>
                </w:tcPr>
                <w:p>
                  <w:pPr>
                    <w:pStyle w:val="13"/>
                    <w:adjustRightInd w:val="0"/>
                    <w:snapToGrid w:val="0"/>
                    <w:spacing w:after="0"/>
                    <w:ind w:left="0" w:leftChars="0"/>
                    <w:jc w:val="center"/>
                    <w:rPr>
                      <w:sz w:val="21"/>
                      <w:szCs w:val="21"/>
                    </w:rPr>
                  </w:pPr>
                  <w:r>
                    <w:rPr>
                      <w:sz w:val="21"/>
                      <w:szCs w:val="21"/>
                    </w:rPr>
                    <w:t>评价结论</w:t>
                  </w:r>
                </w:p>
              </w:tc>
              <w:tc>
                <w:tcPr>
                  <w:tcW w:w="528" w:type="pct"/>
                  <w:vAlign w:val="center"/>
                </w:tcPr>
                <w:p>
                  <w:pPr>
                    <w:pStyle w:val="13"/>
                    <w:adjustRightInd w:val="0"/>
                    <w:snapToGrid w:val="0"/>
                    <w:spacing w:after="0"/>
                    <w:ind w:left="0" w:leftChars="0"/>
                    <w:jc w:val="center"/>
                    <w:rPr>
                      <w:sz w:val="21"/>
                      <w:szCs w:val="21"/>
                    </w:rPr>
                  </w:pPr>
                  <w:r>
                    <w:rPr>
                      <w:sz w:val="21"/>
                      <w:szCs w:val="21"/>
                    </w:rPr>
                    <w:t>环境影响</w:t>
                  </w:r>
                </w:p>
              </w:tc>
              <w:tc>
                <w:tcPr>
                  <w:tcW w:w="4244" w:type="pct"/>
                  <w:gridSpan w:val="18"/>
                  <w:vAlign w:val="center"/>
                </w:tcPr>
                <w:p>
                  <w:pPr>
                    <w:pStyle w:val="13"/>
                    <w:adjustRightInd w:val="0"/>
                    <w:snapToGrid w:val="0"/>
                    <w:spacing w:after="0"/>
                    <w:ind w:left="0" w:leftChars="0"/>
                    <w:jc w:val="center"/>
                    <w:rPr>
                      <w:sz w:val="21"/>
                      <w:szCs w:val="21"/>
                    </w:rPr>
                  </w:pPr>
                  <w:r>
                    <w:rPr>
                      <w:sz w:val="21"/>
                      <w:szCs w:val="21"/>
                    </w:rPr>
                    <w:t>可以接受</w:t>
                  </w:r>
                  <w:r>
                    <w:rPr>
                      <w:sz w:val="21"/>
                      <w:szCs w:val="21"/>
                    </w:rPr>
                    <w:sym w:font="Wingdings 2" w:char="0052"/>
                  </w:r>
                  <w:r>
                    <w:rPr>
                      <w:sz w:val="21"/>
                      <w:szCs w:val="21"/>
                    </w:rPr>
                    <w:t xml:space="preserve">     不可以接受</w:t>
                  </w:r>
                  <w:r>
                    <w:rPr>
                      <w:sz w:val="21"/>
                      <w:szCs w:val="21"/>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大气环境防护距离</w:t>
                  </w:r>
                </w:p>
              </w:tc>
              <w:tc>
                <w:tcPr>
                  <w:tcW w:w="4244" w:type="pct"/>
                  <w:gridSpan w:val="18"/>
                  <w:vAlign w:val="center"/>
                </w:tcPr>
                <w:p>
                  <w:pPr>
                    <w:pStyle w:val="13"/>
                    <w:adjustRightInd w:val="0"/>
                    <w:snapToGrid w:val="0"/>
                    <w:spacing w:after="0"/>
                    <w:ind w:left="0" w:leftChars="0"/>
                    <w:jc w:val="center"/>
                    <w:rPr>
                      <w:sz w:val="21"/>
                      <w:szCs w:val="21"/>
                    </w:rPr>
                  </w:pPr>
                  <w:r>
                    <w:rPr>
                      <w:sz w:val="21"/>
                      <w:szCs w:val="21"/>
                    </w:rPr>
                    <w:t>距（   ）厂界最远（   ）m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27" w:type="pct"/>
                  <w:vMerge w:val="continue"/>
                  <w:vAlign w:val="center"/>
                </w:tcPr>
                <w:p>
                  <w:pPr>
                    <w:pStyle w:val="13"/>
                    <w:adjustRightInd w:val="0"/>
                    <w:snapToGrid w:val="0"/>
                    <w:spacing w:after="0"/>
                    <w:ind w:left="0" w:leftChars="0"/>
                    <w:jc w:val="center"/>
                    <w:rPr>
                      <w:sz w:val="21"/>
                      <w:szCs w:val="21"/>
                    </w:rPr>
                  </w:pPr>
                </w:p>
              </w:tc>
              <w:tc>
                <w:tcPr>
                  <w:tcW w:w="528" w:type="pct"/>
                  <w:vAlign w:val="center"/>
                </w:tcPr>
                <w:p>
                  <w:pPr>
                    <w:pStyle w:val="13"/>
                    <w:adjustRightInd w:val="0"/>
                    <w:snapToGrid w:val="0"/>
                    <w:spacing w:after="0"/>
                    <w:ind w:left="0" w:leftChars="0"/>
                    <w:jc w:val="center"/>
                    <w:rPr>
                      <w:sz w:val="21"/>
                      <w:szCs w:val="21"/>
                    </w:rPr>
                  </w:pPr>
                  <w:r>
                    <w:rPr>
                      <w:sz w:val="21"/>
                      <w:szCs w:val="21"/>
                    </w:rPr>
                    <w:t>污染源年排放量</w:t>
                  </w:r>
                </w:p>
              </w:tc>
              <w:tc>
                <w:tcPr>
                  <w:tcW w:w="704" w:type="pct"/>
                  <w:gridSpan w:val="2"/>
                  <w:vAlign w:val="center"/>
                </w:tcPr>
                <w:p>
                  <w:pPr>
                    <w:pStyle w:val="13"/>
                    <w:adjustRightInd w:val="0"/>
                    <w:snapToGrid w:val="0"/>
                    <w:spacing w:after="0"/>
                    <w:ind w:left="0" w:leftChars="0"/>
                    <w:jc w:val="center"/>
                    <w:rPr>
                      <w:sz w:val="21"/>
                      <w:szCs w:val="21"/>
                    </w:rPr>
                  </w:pPr>
                  <w:r>
                    <w:rPr>
                      <w:sz w:val="21"/>
                      <w:szCs w:val="21"/>
                    </w:rPr>
                    <w:t>SO</w:t>
                  </w:r>
                  <w:r>
                    <w:rPr>
                      <w:sz w:val="21"/>
                      <w:szCs w:val="21"/>
                      <w:vertAlign w:val="subscript"/>
                    </w:rPr>
                    <w:t>2</w:t>
                  </w:r>
                  <w:r>
                    <w:rPr>
                      <w:sz w:val="21"/>
                      <w:szCs w:val="21"/>
                    </w:rPr>
                    <w:t>：（0）t/a</w:t>
                  </w:r>
                </w:p>
              </w:tc>
              <w:tc>
                <w:tcPr>
                  <w:tcW w:w="1262" w:type="pct"/>
                  <w:gridSpan w:val="5"/>
                  <w:vAlign w:val="center"/>
                </w:tcPr>
                <w:p>
                  <w:pPr>
                    <w:pStyle w:val="13"/>
                    <w:adjustRightInd w:val="0"/>
                    <w:snapToGrid w:val="0"/>
                    <w:spacing w:after="0"/>
                    <w:ind w:left="0" w:leftChars="0"/>
                    <w:jc w:val="center"/>
                    <w:rPr>
                      <w:sz w:val="21"/>
                      <w:szCs w:val="21"/>
                    </w:rPr>
                  </w:pPr>
                  <w:r>
                    <w:rPr>
                      <w:sz w:val="21"/>
                      <w:szCs w:val="21"/>
                    </w:rPr>
                    <w:t>NO</w:t>
                  </w:r>
                  <w:r>
                    <w:rPr>
                      <w:sz w:val="21"/>
                      <w:szCs w:val="21"/>
                      <w:vertAlign w:val="subscript"/>
                    </w:rPr>
                    <w:t>X</w:t>
                  </w:r>
                  <w:r>
                    <w:rPr>
                      <w:sz w:val="21"/>
                      <w:szCs w:val="21"/>
                    </w:rPr>
                    <w:t>:（0）t/a</w:t>
                  </w:r>
                </w:p>
              </w:tc>
              <w:tc>
                <w:tcPr>
                  <w:tcW w:w="1644" w:type="pct"/>
                  <w:gridSpan w:val="7"/>
                  <w:vAlign w:val="center"/>
                </w:tcPr>
                <w:p>
                  <w:pPr>
                    <w:pStyle w:val="13"/>
                    <w:adjustRightInd w:val="0"/>
                    <w:snapToGrid w:val="0"/>
                    <w:spacing w:after="0"/>
                    <w:ind w:left="0" w:leftChars="0"/>
                    <w:jc w:val="center"/>
                    <w:rPr>
                      <w:sz w:val="21"/>
                      <w:szCs w:val="21"/>
                    </w:rPr>
                  </w:pPr>
                  <w:r>
                    <w:rPr>
                      <w:sz w:val="21"/>
                      <w:szCs w:val="21"/>
                    </w:rPr>
                    <w:t>颗粒物：（</w:t>
                  </w:r>
                  <w:r>
                    <w:rPr>
                      <w:rFonts w:hint="eastAsia"/>
                      <w:sz w:val="21"/>
                      <w:szCs w:val="21"/>
                    </w:rPr>
                    <w:t>0.87</w:t>
                  </w:r>
                  <w:r>
                    <w:rPr>
                      <w:sz w:val="21"/>
                      <w:szCs w:val="21"/>
                    </w:rPr>
                    <w:t>）t/a</w:t>
                  </w:r>
                </w:p>
              </w:tc>
              <w:tc>
                <w:tcPr>
                  <w:tcW w:w="634" w:type="pct"/>
                  <w:gridSpan w:val="4"/>
                  <w:vAlign w:val="center"/>
                </w:tcPr>
                <w:p>
                  <w:pPr>
                    <w:pStyle w:val="13"/>
                    <w:adjustRightInd w:val="0"/>
                    <w:snapToGrid w:val="0"/>
                    <w:spacing w:after="0"/>
                    <w:ind w:left="0" w:leftChars="0"/>
                    <w:jc w:val="center"/>
                    <w:rPr>
                      <w:sz w:val="21"/>
                      <w:szCs w:val="21"/>
                    </w:rPr>
                  </w:pPr>
                  <w:r>
                    <w:rPr>
                      <w:sz w:val="21"/>
                      <w:szCs w:val="21"/>
                    </w:rPr>
                    <w:t>VOCs：（</w:t>
                  </w:r>
                  <w:r>
                    <w:rPr>
                      <w:rFonts w:hint="eastAsia"/>
                      <w:sz w:val="21"/>
                      <w:szCs w:val="21"/>
                    </w:rPr>
                    <w:t>0</w:t>
                  </w:r>
                  <w:r>
                    <w:rPr>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000" w:type="pct"/>
                  <w:gridSpan w:val="20"/>
                  <w:vAlign w:val="center"/>
                </w:tcPr>
                <w:p>
                  <w:pPr>
                    <w:pStyle w:val="13"/>
                    <w:adjustRightInd w:val="0"/>
                    <w:snapToGrid w:val="0"/>
                    <w:spacing w:after="0"/>
                    <w:ind w:left="0" w:leftChars="0"/>
                    <w:jc w:val="center"/>
                    <w:rPr>
                      <w:sz w:val="21"/>
                      <w:szCs w:val="21"/>
                    </w:rPr>
                  </w:pPr>
                  <w:r>
                    <w:rPr>
                      <w:sz w:val="21"/>
                      <w:szCs w:val="21"/>
                    </w:rPr>
                    <w:t>注：“</w:t>
                  </w:r>
                  <w:r>
                    <w:rPr>
                      <w:sz w:val="21"/>
                      <w:szCs w:val="21"/>
                    </w:rPr>
                    <w:sym w:font="Wingdings 2" w:char="00A3"/>
                  </w:r>
                  <w:r>
                    <w:rPr>
                      <w:sz w:val="21"/>
                      <w:szCs w:val="21"/>
                    </w:rPr>
                    <w:t>”为勾选项，填“√”；“（）”为内容填写项</w:t>
                  </w:r>
                </w:p>
              </w:tc>
            </w:tr>
          </w:tbl>
          <w:p>
            <w:pPr>
              <w:spacing w:line="360" w:lineRule="auto"/>
              <w:ind w:firstLine="470" w:firstLineChars="196"/>
              <w:rPr>
                <w:b/>
                <w:sz w:val="24"/>
              </w:rPr>
            </w:pPr>
            <w:r>
              <w:rPr>
                <w:b/>
                <w:sz w:val="24"/>
              </w:rPr>
              <w:t>2、地表水环境影响分析</w:t>
            </w:r>
          </w:p>
          <w:p>
            <w:pPr>
              <w:spacing w:line="360" w:lineRule="auto"/>
              <w:ind w:firstLine="480" w:firstLineChars="200"/>
              <w:rPr>
                <w:sz w:val="24"/>
              </w:rPr>
            </w:pPr>
            <w:r>
              <w:rPr>
                <w:rFonts w:hint="eastAsia"/>
                <w:sz w:val="24"/>
              </w:rPr>
              <w:t>（1）</w:t>
            </w:r>
            <w:r>
              <w:rPr>
                <w:sz w:val="24"/>
              </w:rPr>
              <w:t>地表水环境影响分析</w:t>
            </w:r>
          </w:p>
          <w:p>
            <w:pPr>
              <w:spacing w:line="360" w:lineRule="auto"/>
              <w:ind w:firstLine="480" w:firstLineChars="200"/>
              <w:rPr>
                <w:sz w:val="24"/>
              </w:rPr>
            </w:pPr>
            <w:r>
              <w:rPr>
                <w:sz w:val="24"/>
              </w:rPr>
              <w:t>根据本项目工程分析可知，</w:t>
            </w:r>
            <w:r>
              <w:rPr>
                <w:rFonts w:hint="eastAsia"/>
                <w:sz w:val="24"/>
              </w:rPr>
              <w:t>本项目洗车废水和初期雨水均不外排，循环利用。</w:t>
            </w:r>
            <w:r>
              <w:rPr>
                <w:sz w:val="24"/>
              </w:rPr>
              <w:t>参照《环境影响评价技术导则 地表水环境》（HJ2.3-2018）表1中不排放到外环境的，按三级B评价，则本项目按三级B评价。</w:t>
            </w:r>
          </w:p>
          <w:p>
            <w:pPr>
              <w:pStyle w:val="8"/>
              <w:spacing w:line="360" w:lineRule="auto"/>
              <w:ind w:left="842" w:hanging="422"/>
              <w:jc w:val="center"/>
              <w:rPr>
                <w:rFonts w:ascii="Times New Roman" w:eastAsia="宋体"/>
                <w:b/>
                <w:bCs/>
                <w:spacing w:val="0"/>
                <w:sz w:val="21"/>
                <w:szCs w:val="21"/>
              </w:rPr>
            </w:pPr>
            <w:r>
              <w:rPr>
                <w:rFonts w:ascii="Times New Roman" w:eastAsia="宋体"/>
                <w:b/>
                <w:bCs/>
                <w:spacing w:val="0"/>
                <w:sz w:val="21"/>
                <w:szCs w:val="21"/>
              </w:rPr>
              <w:t>表</w:t>
            </w:r>
            <w:r>
              <w:rPr>
                <w:rFonts w:hint="eastAsia" w:ascii="Times New Roman" w:eastAsia="宋体"/>
                <w:b/>
                <w:bCs/>
                <w:spacing w:val="0"/>
                <w:sz w:val="21"/>
                <w:szCs w:val="21"/>
              </w:rPr>
              <w:t>31</w:t>
            </w:r>
            <w:r>
              <w:rPr>
                <w:rFonts w:ascii="Times New Roman" w:eastAsia="宋体"/>
                <w:b/>
                <w:bCs/>
                <w:spacing w:val="0"/>
                <w:sz w:val="21"/>
                <w:szCs w:val="21"/>
              </w:rPr>
              <w:t xml:space="preserve">    </w:t>
            </w:r>
            <w:r>
              <w:rPr>
                <w:rFonts w:hint="eastAsia" w:ascii="Times New Roman" w:eastAsia="宋体"/>
                <w:b/>
                <w:bCs/>
                <w:spacing w:val="0"/>
                <w:sz w:val="21"/>
                <w:szCs w:val="21"/>
              </w:rPr>
              <w:t xml:space="preserve"> </w:t>
            </w:r>
            <w:r>
              <w:rPr>
                <w:rFonts w:ascii="Times New Roman" w:eastAsia="宋体"/>
                <w:b/>
                <w:bCs/>
                <w:spacing w:val="0"/>
                <w:sz w:val="21"/>
                <w:szCs w:val="21"/>
              </w:rPr>
              <w:t>废水类别、污染物及污染治理设施信息表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42"/>
              <w:gridCol w:w="630"/>
              <w:gridCol w:w="1173"/>
              <w:gridCol w:w="681"/>
              <w:gridCol w:w="759"/>
              <w:gridCol w:w="777"/>
              <w:gridCol w:w="924"/>
              <w:gridCol w:w="968"/>
              <w:gridCol w:w="552"/>
              <w:gridCol w:w="822"/>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342"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序号</w:t>
                  </w:r>
                </w:p>
              </w:tc>
              <w:tc>
                <w:tcPr>
                  <w:tcW w:w="630"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废水类别</w:t>
                  </w:r>
                </w:p>
              </w:tc>
              <w:tc>
                <w:tcPr>
                  <w:tcW w:w="1173"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污染物</w:t>
                  </w:r>
                </w:p>
                <w:p>
                  <w:pPr>
                    <w:adjustRightInd w:val="0"/>
                    <w:snapToGrid w:val="0"/>
                    <w:spacing w:line="360" w:lineRule="exact"/>
                    <w:ind w:left="-42" w:leftChars="-20" w:right="-42" w:rightChars="-20"/>
                    <w:jc w:val="center"/>
                    <w:rPr>
                      <w:szCs w:val="21"/>
                    </w:rPr>
                  </w:pPr>
                  <w:r>
                    <w:rPr>
                      <w:szCs w:val="21"/>
                    </w:rPr>
                    <w:t>种类</w:t>
                  </w:r>
                </w:p>
              </w:tc>
              <w:tc>
                <w:tcPr>
                  <w:tcW w:w="681"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排放去向</w:t>
                  </w:r>
                </w:p>
              </w:tc>
              <w:tc>
                <w:tcPr>
                  <w:tcW w:w="759"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排放规律</w:t>
                  </w:r>
                </w:p>
              </w:tc>
              <w:tc>
                <w:tcPr>
                  <w:tcW w:w="2669" w:type="dxa"/>
                  <w:gridSpan w:val="3"/>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污染治理设施</w:t>
                  </w:r>
                </w:p>
              </w:tc>
              <w:tc>
                <w:tcPr>
                  <w:tcW w:w="552"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排放口编号</w:t>
                  </w:r>
                </w:p>
              </w:tc>
              <w:tc>
                <w:tcPr>
                  <w:tcW w:w="822"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排放口设置是否符合要求</w:t>
                  </w:r>
                </w:p>
              </w:tc>
              <w:tc>
                <w:tcPr>
                  <w:tcW w:w="1219" w:type="dxa"/>
                  <w:vMerge w:val="restart"/>
                  <w:tcBorders>
                    <w:tl2br w:val="nil"/>
                    <w:tr2bl w:val="nil"/>
                  </w:tcBorders>
                  <w:vAlign w:val="center"/>
                </w:tcPr>
                <w:p>
                  <w:pPr>
                    <w:adjustRightInd w:val="0"/>
                    <w:snapToGrid w:val="0"/>
                    <w:spacing w:line="360" w:lineRule="exact"/>
                    <w:ind w:left="-42" w:leftChars="-20" w:right="-42" w:rightChars="-20"/>
                    <w:jc w:val="center"/>
                    <w:rPr>
                      <w:szCs w:val="21"/>
                    </w:rPr>
                  </w:pPr>
                  <w:r>
                    <w:rPr>
                      <w:szCs w:val="21"/>
                    </w:rPr>
                    <w:t>排放口</w:t>
                  </w:r>
                </w:p>
                <w:p>
                  <w:pPr>
                    <w:adjustRightInd w:val="0"/>
                    <w:snapToGrid w:val="0"/>
                    <w:spacing w:line="360" w:lineRule="exact"/>
                    <w:ind w:left="-42" w:leftChars="-20" w:right="-42" w:rightChars="-20"/>
                    <w:jc w:val="center"/>
                    <w:rPr>
                      <w:szCs w:val="21"/>
                    </w:rPr>
                  </w:pPr>
                  <w:r>
                    <w:rPr>
                      <w:szCs w:val="21"/>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7" w:hRule="atLeast"/>
                <w:tblHeader/>
                <w:jc w:val="center"/>
              </w:trPr>
              <w:tc>
                <w:tcPr>
                  <w:tcW w:w="342" w:type="dxa"/>
                  <w:vMerge w:val="continue"/>
                  <w:tcBorders>
                    <w:tl2br w:val="nil"/>
                    <w:tr2bl w:val="nil"/>
                  </w:tcBorders>
                  <w:vAlign w:val="center"/>
                </w:tcPr>
                <w:p>
                  <w:pPr>
                    <w:adjustRightInd w:val="0"/>
                    <w:snapToGrid w:val="0"/>
                    <w:spacing w:line="360" w:lineRule="exact"/>
                    <w:jc w:val="center"/>
                    <w:rPr>
                      <w:szCs w:val="21"/>
                    </w:rPr>
                  </w:pPr>
                </w:p>
              </w:tc>
              <w:tc>
                <w:tcPr>
                  <w:tcW w:w="630" w:type="dxa"/>
                  <w:vMerge w:val="continue"/>
                  <w:tcBorders>
                    <w:tl2br w:val="nil"/>
                    <w:tr2bl w:val="nil"/>
                  </w:tcBorders>
                  <w:vAlign w:val="center"/>
                </w:tcPr>
                <w:p>
                  <w:pPr>
                    <w:adjustRightInd w:val="0"/>
                    <w:snapToGrid w:val="0"/>
                    <w:spacing w:line="360" w:lineRule="exact"/>
                    <w:jc w:val="center"/>
                    <w:rPr>
                      <w:szCs w:val="21"/>
                    </w:rPr>
                  </w:pPr>
                </w:p>
              </w:tc>
              <w:tc>
                <w:tcPr>
                  <w:tcW w:w="1173" w:type="dxa"/>
                  <w:vMerge w:val="continue"/>
                  <w:tcBorders>
                    <w:tl2br w:val="nil"/>
                    <w:tr2bl w:val="nil"/>
                  </w:tcBorders>
                  <w:vAlign w:val="center"/>
                </w:tcPr>
                <w:p>
                  <w:pPr>
                    <w:adjustRightInd w:val="0"/>
                    <w:snapToGrid w:val="0"/>
                    <w:spacing w:line="360" w:lineRule="exact"/>
                    <w:jc w:val="center"/>
                    <w:rPr>
                      <w:szCs w:val="21"/>
                    </w:rPr>
                  </w:pPr>
                </w:p>
              </w:tc>
              <w:tc>
                <w:tcPr>
                  <w:tcW w:w="681" w:type="dxa"/>
                  <w:vMerge w:val="continue"/>
                  <w:tcBorders>
                    <w:tl2br w:val="nil"/>
                    <w:tr2bl w:val="nil"/>
                  </w:tcBorders>
                  <w:vAlign w:val="center"/>
                </w:tcPr>
                <w:p>
                  <w:pPr>
                    <w:adjustRightInd w:val="0"/>
                    <w:snapToGrid w:val="0"/>
                    <w:spacing w:line="360" w:lineRule="exact"/>
                    <w:jc w:val="center"/>
                    <w:rPr>
                      <w:szCs w:val="21"/>
                    </w:rPr>
                  </w:pPr>
                </w:p>
              </w:tc>
              <w:tc>
                <w:tcPr>
                  <w:tcW w:w="759" w:type="dxa"/>
                  <w:vMerge w:val="continue"/>
                  <w:tcBorders>
                    <w:tl2br w:val="nil"/>
                    <w:tr2bl w:val="nil"/>
                  </w:tcBorders>
                  <w:vAlign w:val="center"/>
                </w:tcPr>
                <w:p>
                  <w:pPr>
                    <w:adjustRightInd w:val="0"/>
                    <w:snapToGrid w:val="0"/>
                    <w:spacing w:line="360" w:lineRule="exact"/>
                    <w:jc w:val="center"/>
                    <w:rPr>
                      <w:szCs w:val="21"/>
                    </w:rPr>
                  </w:pPr>
                </w:p>
              </w:tc>
              <w:tc>
                <w:tcPr>
                  <w:tcW w:w="777" w:type="dxa"/>
                  <w:tcBorders>
                    <w:tl2br w:val="nil"/>
                    <w:tr2bl w:val="nil"/>
                  </w:tcBorders>
                  <w:vAlign w:val="center"/>
                </w:tcPr>
                <w:p>
                  <w:pPr>
                    <w:adjustRightInd w:val="0"/>
                    <w:snapToGrid w:val="0"/>
                    <w:spacing w:line="360" w:lineRule="exact"/>
                    <w:jc w:val="center"/>
                    <w:rPr>
                      <w:szCs w:val="21"/>
                    </w:rPr>
                  </w:pPr>
                  <w:r>
                    <w:rPr>
                      <w:szCs w:val="21"/>
                    </w:rPr>
                    <w:t>污染治理设施</w:t>
                  </w:r>
                </w:p>
                <w:p>
                  <w:pPr>
                    <w:adjustRightInd w:val="0"/>
                    <w:snapToGrid w:val="0"/>
                    <w:spacing w:line="360" w:lineRule="exact"/>
                    <w:jc w:val="center"/>
                    <w:rPr>
                      <w:szCs w:val="21"/>
                    </w:rPr>
                  </w:pPr>
                  <w:r>
                    <w:rPr>
                      <w:szCs w:val="21"/>
                    </w:rPr>
                    <w:t>编号</w:t>
                  </w:r>
                </w:p>
              </w:tc>
              <w:tc>
                <w:tcPr>
                  <w:tcW w:w="924" w:type="dxa"/>
                  <w:tcBorders>
                    <w:tl2br w:val="nil"/>
                    <w:tr2bl w:val="nil"/>
                  </w:tcBorders>
                  <w:vAlign w:val="center"/>
                </w:tcPr>
                <w:p>
                  <w:pPr>
                    <w:adjustRightInd w:val="0"/>
                    <w:snapToGrid w:val="0"/>
                    <w:spacing w:line="360" w:lineRule="exact"/>
                    <w:jc w:val="center"/>
                    <w:rPr>
                      <w:szCs w:val="21"/>
                    </w:rPr>
                  </w:pPr>
                  <w:r>
                    <w:rPr>
                      <w:szCs w:val="21"/>
                    </w:rPr>
                    <w:t>污染治理设施</w:t>
                  </w:r>
                </w:p>
                <w:p>
                  <w:pPr>
                    <w:adjustRightInd w:val="0"/>
                    <w:snapToGrid w:val="0"/>
                    <w:spacing w:line="360" w:lineRule="exact"/>
                    <w:jc w:val="center"/>
                    <w:rPr>
                      <w:szCs w:val="21"/>
                    </w:rPr>
                  </w:pPr>
                  <w:r>
                    <w:rPr>
                      <w:szCs w:val="21"/>
                    </w:rPr>
                    <w:t>名称</w:t>
                  </w:r>
                </w:p>
              </w:tc>
              <w:tc>
                <w:tcPr>
                  <w:tcW w:w="968" w:type="dxa"/>
                  <w:tcBorders>
                    <w:tl2br w:val="nil"/>
                    <w:tr2bl w:val="nil"/>
                  </w:tcBorders>
                  <w:vAlign w:val="center"/>
                </w:tcPr>
                <w:p>
                  <w:pPr>
                    <w:adjustRightInd w:val="0"/>
                    <w:snapToGrid w:val="0"/>
                    <w:spacing w:line="360" w:lineRule="exact"/>
                    <w:jc w:val="center"/>
                    <w:rPr>
                      <w:szCs w:val="21"/>
                    </w:rPr>
                  </w:pPr>
                  <w:r>
                    <w:rPr>
                      <w:szCs w:val="21"/>
                    </w:rPr>
                    <w:t>污染治理设施工艺</w:t>
                  </w:r>
                </w:p>
              </w:tc>
              <w:tc>
                <w:tcPr>
                  <w:tcW w:w="552" w:type="dxa"/>
                  <w:vMerge w:val="continue"/>
                  <w:tcBorders>
                    <w:tl2br w:val="nil"/>
                    <w:tr2bl w:val="nil"/>
                  </w:tcBorders>
                  <w:vAlign w:val="center"/>
                </w:tcPr>
                <w:p>
                  <w:pPr>
                    <w:adjustRightInd w:val="0"/>
                    <w:snapToGrid w:val="0"/>
                    <w:spacing w:line="360" w:lineRule="exact"/>
                    <w:jc w:val="center"/>
                    <w:rPr>
                      <w:szCs w:val="21"/>
                    </w:rPr>
                  </w:pPr>
                </w:p>
              </w:tc>
              <w:tc>
                <w:tcPr>
                  <w:tcW w:w="822" w:type="dxa"/>
                  <w:vMerge w:val="continue"/>
                  <w:tcBorders>
                    <w:tl2br w:val="nil"/>
                    <w:tr2bl w:val="nil"/>
                  </w:tcBorders>
                  <w:vAlign w:val="center"/>
                </w:tcPr>
                <w:p>
                  <w:pPr>
                    <w:adjustRightInd w:val="0"/>
                    <w:snapToGrid w:val="0"/>
                    <w:spacing w:line="360" w:lineRule="exact"/>
                    <w:jc w:val="center"/>
                    <w:rPr>
                      <w:szCs w:val="21"/>
                    </w:rPr>
                  </w:pPr>
                </w:p>
              </w:tc>
              <w:tc>
                <w:tcPr>
                  <w:tcW w:w="1219" w:type="dxa"/>
                  <w:vMerge w:val="continue"/>
                  <w:tcBorders>
                    <w:tl2br w:val="nil"/>
                    <w:tr2bl w:val="nil"/>
                  </w:tcBorders>
                  <w:vAlign w:val="center"/>
                </w:tcPr>
                <w:p>
                  <w:pPr>
                    <w:adjustRightInd w:val="0"/>
                    <w:snapToGrid w:val="0"/>
                    <w:spacing w:line="36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342" w:type="dxa"/>
                  <w:tcBorders>
                    <w:tl2br w:val="nil"/>
                    <w:tr2bl w:val="nil"/>
                  </w:tcBorders>
                  <w:vAlign w:val="center"/>
                </w:tcPr>
                <w:p>
                  <w:pPr>
                    <w:adjustRightInd w:val="0"/>
                    <w:snapToGrid w:val="0"/>
                    <w:spacing w:line="360" w:lineRule="exact"/>
                    <w:rPr>
                      <w:szCs w:val="21"/>
                    </w:rPr>
                  </w:pPr>
                  <w:r>
                    <w:rPr>
                      <w:szCs w:val="21"/>
                    </w:rPr>
                    <w:t>1</w:t>
                  </w:r>
                </w:p>
              </w:tc>
              <w:tc>
                <w:tcPr>
                  <w:tcW w:w="630" w:type="dxa"/>
                  <w:tcBorders>
                    <w:tl2br w:val="nil"/>
                    <w:tr2bl w:val="nil"/>
                  </w:tcBorders>
                  <w:vAlign w:val="center"/>
                </w:tcPr>
                <w:p>
                  <w:pPr>
                    <w:adjustRightInd w:val="0"/>
                    <w:snapToGrid w:val="0"/>
                    <w:spacing w:line="360" w:lineRule="exact"/>
                    <w:jc w:val="center"/>
                    <w:rPr>
                      <w:szCs w:val="21"/>
                    </w:rPr>
                  </w:pPr>
                  <w:r>
                    <w:rPr>
                      <w:rFonts w:hint="eastAsia"/>
                      <w:szCs w:val="21"/>
                    </w:rPr>
                    <w:t>洗车废水</w:t>
                  </w:r>
                </w:p>
              </w:tc>
              <w:tc>
                <w:tcPr>
                  <w:tcW w:w="1173" w:type="dxa"/>
                  <w:tcBorders>
                    <w:tl2br w:val="nil"/>
                    <w:tr2bl w:val="nil"/>
                  </w:tcBorders>
                  <w:vAlign w:val="center"/>
                </w:tcPr>
                <w:p>
                  <w:pPr>
                    <w:adjustRightInd w:val="0"/>
                    <w:snapToGrid w:val="0"/>
                    <w:spacing w:line="360" w:lineRule="exact"/>
                    <w:jc w:val="center"/>
                    <w:rPr>
                      <w:szCs w:val="21"/>
                    </w:rPr>
                  </w:pPr>
                  <w:r>
                    <w:rPr>
                      <w:szCs w:val="21"/>
                    </w:rPr>
                    <w:t>SS</w:t>
                  </w:r>
                </w:p>
              </w:tc>
              <w:tc>
                <w:tcPr>
                  <w:tcW w:w="681" w:type="dxa"/>
                  <w:tcBorders>
                    <w:tl2br w:val="nil"/>
                    <w:tr2bl w:val="nil"/>
                  </w:tcBorders>
                  <w:vAlign w:val="center"/>
                </w:tcPr>
                <w:p>
                  <w:pPr>
                    <w:adjustRightInd w:val="0"/>
                    <w:snapToGrid w:val="0"/>
                    <w:spacing w:line="360" w:lineRule="exact"/>
                    <w:jc w:val="center"/>
                    <w:rPr>
                      <w:szCs w:val="21"/>
                    </w:rPr>
                  </w:pPr>
                  <w:r>
                    <w:rPr>
                      <w:rFonts w:hint="eastAsia"/>
                      <w:szCs w:val="21"/>
                    </w:rPr>
                    <w:t>不外排</w:t>
                  </w:r>
                </w:p>
              </w:tc>
              <w:tc>
                <w:tcPr>
                  <w:tcW w:w="759" w:type="dxa"/>
                  <w:tcBorders>
                    <w:tl2br w:val="nil"/>
                    <w:tr2bl w:val="nil"/>
                  </w:tcBorders>
                  <w:vAlign w:val="center"/>
                </w:tcPr>
                <w:p>
                  <w:pPr>
                    <w:adjustRightInd w:val="0"/>
                    <w:snapToGrid w:val="0"/>
                    <w:spacing w:line="360" w:lineRule="exact"/>
                    <w:jc w:val="center"/>
                    <w:rPr>
                      <w:szCs w:val="21"/>
                    </w:rPr>
                  </w:pPr>
                  <w:r>
                    <w:rPr>
                      <w:rFonts w:hint="eastAsia"/>
                      <w:szCs w:val="21"/>
                    </w:rPr>
                    <w:t>不外排</w:t>
                  </w:r>
                </w:p>
              </w:tc>
              <w:tc>
                <w:tcPr>
                  <w:tcW w:w="777" w:type="dxa"/>
                  <w:tcBorders>
                    <w:tl2br w:val="nil"/>
                    <w:tr2bl w:val="nil"/>
                  </w:tcBorders>
                  <w:vAlign w:val="center"/>
                </w:tcPr>
                <w:p>
                  <w:pPr>
                    <w:adjustRightInd w:val="0"/>
                    <w:snapToGrid w:val="0"/>
                    <w:spacing w:line="360" w:lineRule="exact"/>
                    <w:jc w:val="center"/>
                    <w:rPr>
                      <w:szCs w:val="21"/>
                    </w:rPr>
                  </w:pPr>
                  <w:r>
                    <w:rPr>
                      <w:rFonts w:hint="eastAsia"/>
                      <w:szCs w:val="21"/>
                    </w:rPr>
                    <w:t>/</w:t>
                  </w:r>
                </w:p>
              </w:tc>
              <w:tc>
                <w:tcPr>
                  <w:tcW w:w="924" w:type="dxa"/>
                  <w:tcBorders>
                    <w:tl2br w:val="nil"/>
                    <w:tr2bl w:val="nil"/>
                  </w:tcBorders>
                  <w:vAlign w:val="center"/>
                </w:tcPr>
                <w:p>
                  <w:pPr>
                    <w:adjustRightInd w:val="0"/>
                    <w:snapToGrid w:val="0"/>
                    <w:spacing w:line="360" w:lineRule="exact"/>
                    <w:jc w:val="center"/>
                    <w:rPr>
                      <w:szCs w:val="21"/>
                    </w:rPr>
                  </w:pPr>
                  <w:r>
                    <w:rPr>
                      <w:rFonts w:hint="eastAsia"/>
                      <w:szCs w:val="21"/>
                    </w:rPr>
                    <w:t>洗车池</w:t>
                  </w:r>
                </w:p>
              </w:tc>
              <w:tc>
                <w:tcPr>
                  <w:tcW w:w="968" w:type="dxa"/>
                  <w:tcBorders>
                    <w:tl2br w:val="nil"/>
                    <w:tr2bl w:val="nil"/>
                  </w:tcBorders>
                  <w:vAlign w:val="center"/>
                </w:tcPr>
                <w:p>
                  <w:pPr>
                    <w:adjustRightInd w:val="0"/>
                    <w:snapToGrid w:val="0"/>
                    <w:spacing w:line="360" w:lineRule="exact"/>
                    <w:jc w:val="center"/>
                    <w:rPr>
                      <w:szCs w:val="21"/>
                    </w:rPr>
                  </w:pPr>
                  <w:r>
                    <w:rPr>
                      <w:rFonts w:hint="eastAsia"/>
                      <w:szCs w:val="21"/>
                    </w:rPr>
                    <w:t>洗车池</w:t>
                  </w:r>
                </w:p>
              </w:tc>
              <w:tc>
                <w:tcPr>
                  <w:tcW w:w="552" w:type="dxa"/>
                  <w:tcBorders>
                    <w:tl2br w:val="nil"/>
                    <w:tr2bl w:val="nil"/>
                  </w:tcBorders>
                  <w:vAlign w:val="center"/>
                </w:tcPr>
                <w:p>
                  <w:pPr>
                    <w:adjustRightInd w:val="0"/>
                    <w:snapToGrid w:val="0"/>
                    <w:spacing w:line="360" w:lineRule="exact"/>
                    <w:jc w:val="center"/>
                    <w:rPr>
                      <w:szCs w:val="21"/>
                    </w:rPr>
                  </w:pPr>
                  <w:r>
                    <w:rPr>
                      <w:rFonts w:hint="eastAsia"/>
                      <w:szCs w:val="21"/>
                    </w:rPr>
                    <w:t>/</w:t>
                  </w:r>
                </w:p>
              </w:tc>
              <w:tc>
                <w:tcPr>
                  <w:tcW w:w="822" w:type="dxa"/>
                  <w:vMerge w:val="restart"/>
                  <w:tcBorders>
                    <w:tl2br w:val="nil"/>
                    <w:tr2bl w:val="nil"/>
                  </w:tcBorders>
                  <w:vAlign w:val="center"/>
                </w:tcPr>
                <w:p>
                  <w:pPr>
                    <w:adjustRightInd w:val="0"/>
                    <w:snapToGrid w:val="0"/>
                    <w:spacing w:line="360" w:lineRule="exact"/>
                    <w:jc w:val="center"/>
                    <w:rPr>
                      <w:snapToGrid w:val="0"/>
                      <w:kern w:val="20"/>
                      <w:szCs w:val="21"/>
                    </w:rPr>
                  </w:pPr>
                  <w:r>
                    <w:rPr>
                      <w:kern w:val="0"/>
                      <w:szCs w:val="21"/>
                    </w:rPr>
                    <w:t>□</w:t>
                  </w:r>
                  <w:r>
                    <w:rPr>
                      <w:szCs w:val="21"/>
                    </w:rPr>
                    <w:t>是</w:t>
                  </w:r>
                </w:p>
                <w:p>
                  <w:pPr>
                    <w:adjustRightInd w:val="0"/>
                    <w:snapToGrid w:val="0"/>
                    <w:spacing w:line="360" w:lineRule="exact"/>
                    <w:jc w:val="center"/>
                    <w:rPr>
                      <w:szCs w:val="21"/>
                    </w:rPr>
                  </w:pPr>
                  <w:r>
                    <w:rPr>
                      <w:kern w:val="0"/>
                      <w:szCs w:val="21"/>
                    </w:rPr>
                    <w:t>□</w:t>
                  </w:r>
                  <w:r>
                    <w:rPr>
                      <w:szCs w:val="21"/>
                    </w:rPr>
                    <w:t>否</w:t>
                  </w:r>
                </w:p>
              </w:tc>
              <w:tc>
                <w:tcPr>
                  <w:tcW w:w="1219" w:type="dxa"/>
                  <w:vMerge w:val="restart"/>
                  <w:tcBorders>
                    <w:tl2br w:val="nil"/>
                    <w:tr2bl w:val="nil"/>
                  </w:tcBorders>
                  <w:vAlign w:val="center"/>
                </w:tcPr>
                <w:p>
                  <w:pPr>
                    <w:adjustRightInd w:val="0"/>
                    <w:snapToGrid w:val="0"/>
                    <w:spacing w:line="360" w:lineRule="exact"/>
                    <w:ind w:left="-105" w:leftChars="-50" w:right="-105" w:rightChars="-50"/>
                    <w:rPr>
                      <w:snapToGrid w:val="0"/>
                      <w:kern w:val="20"/>
                      <w:szCs w:val="21"/>
                    </w:rPr>
                  </w:pPr>
                  <w:r>
                    <w:rPr>
                      <w:kern w:val="0"/>
                      <w:szCs w:val="21"/>
                    </w:rPr>
                    <w:sym w:font="Wingdings 2" w:char="00A3"/>
                  </w:r>
                  <w:r>
                    <w:rPr>
                      <w:rFonts w:hint="eastAsia"/>
                      <w:kern w:val="0"/>
                      <w:szCs w:val="21"/>
                    </w:rPr>
                    <w:t>企业</w:t>
                  </w:r>
                  <w:r>
                    <w:rPr>
                      <w:szCs w:val="21"/>
                    </w:rPr>
                    <w:t>总排</w:t>
                  </w:r>
                </w:p>
                <w:p>
                  <w:pPr>
                    <w:adjustRightInd w:val="0"/>
                    <w:snapToGrid w:val="0"/>
                    <w:spacing w:line="360" w:lineRule="exact"/>
                    <w:ind w:left="-105" w:leftChars="-50" w:right="-105" w:rightChars="-50"/>
                    <w:rPr>
                      <w:szCs w:val="21"/>
                    </w:rPr>
                  </w:pPr>
                  <w:r>
                    <w:rPr>
                      <w:kern w:val="0"/>
                      <w:szCs w:val="21"/>
                    </w:rPr>
                    <w:sym w:font="Wingdings 2" w:char="00A3"/>
                  </w:r>
                  <w:r>
                    <w:rPr>
                      <w:szCs w:val="21"/>
                    </w:rPr>
                    <w:t>雨水排放</w:t>
                  </w:r>
                </w:p>
                <w:p>
                  <w:pPr>
                    <w:adjustRightInd w:val="0"/>
                    <w:snapToGrid w:val="0"/>
                    <w:spacing w:line="360" w:lineRule="exact"/>
                    <w:ind w:left="-105" w:leftChars="-50" w:right="-105" w:rightChars="-50"/>
                    <w:rPr>
                      <w:szCs w:val="21"/>
                    </w:rPr>
                  </w:pPr>
                  <w:r>
                    <w:rPr>
                      <w:kern w:val="0"/>
                      <w:szCs w:val="21"/>
                    </w:rPr>
                    <w:sym w:font="Wingdings 2" w:char="00A3"/>
                  </w:r>
                  <w:r>
                    <w:rPr>
                      <w:spacing w:val="-10"/>
                      <w:szCs w:val="21"/>
                    </w:rPr>
                    <w:t>清净下水排放</w:t>
                  </w:r>
                </w:p>
                <w:p>
                  <w:pPr>
                    <w:adjustRightInd w:val="0"/>
                    <w:snapToGrid w:val="0"/>
                    <w:spacing w:line="360" w:lineRule="exact"/>
                    <w:ind w:left="-105" w:leftChars="-50" w:right="-105" w:rightChars="-50"/>
                    <w:rPr>
                      <w:szCs w:val="21"/>
                    </w:rPr>
                  </w:pPr>
                  <w:r>
                    <w:rPr>
                      <w:kern w:val="0"/>
                      <w:szCs w:val="21"/>
                    </w:rPr>
                    <w:t>□</w:t>
                  </w:r>
                  <w:r>
                    <w:rPr>
                      <w:szCs w:val="21"/>
                    </w:rPr>
                    <w:t>温排水排放</w:t>
                  </w:r>
                </w:p>
                <w:p>
                  <w:pPr>
                    <w:adjustRightInd w:val="0"/>
                    <w:snapToGrid w:val="0"/>
                    <w:spacing w:line="360" w:lineRule="exact"/>
                    <w:ind w:left="-105" w:leftChars="-50" w:right="-105" w:rightChars="-50"/>
                    <w:rPr>
                      <w:szCs w:val="21"/>
                    </w:rPr>
                  </w:pPr>
                  <w:r>
                    <w:rPr>
                      <w:kern w:val="0"/>
                      <w:szCs w:val="21"/>
                    </w:rPr>
                    <w:t>□</w:t>
                  </w:r>
                  <w:r>
                    <w:rPr>
                      <w:szCs w:val="21"/>
                    </w:rPr>
                    <w:t>车间或车间处理设施排放口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342" w:type="dxa"/>
                  <w:tcBorders>
                    <w:tl2br w:val="nil"/>
                    <w:tr2bl w:val="nil"/>
                  </w:tcBorders>
                  <w:vAlign w:val="center"/>
                </w:tcPr>
                <w:p>
                  <w:pPr>
                    <w:adjustRightInd w:val="0"/>
                    <w:snapToGrid w:val="0"/>
                    <w:spacing w:line="360" w:lineRule="exact"/>
                    <w:rPr>
                      <w:szCs w:val="21"/>
                    </w:rPr>
                  </w:pPr>
                  <w:r>
                    <w:rPr>
                      <w:rFonts w:hint="eastAsia"/>
                      <w:szCs w:val="21"/>
                    </w:rPr>
                    <w:t>2</w:t>
                  </w:r>
                </w:p>
              </w:tc>
              <w:tc>
                <w:tcPr>
                  <w:tcW w:w="630" w:type="dxa"/>
                  <w:tcBorders>
                    <w:tl2br w:val="nil"/>
                    <w:tr2bl w:val="nil"/>
                  </w:tcBorders>
                  <w:vAlign w:val="center"/>
                </w:tcPr>
                <w:p>
                  <w:pPr>
                    <w:adjustRightInd w:val="0"/>
                    <w:snapToGrid w:val="0"/>
                    <w:spacing w:line="360" w:lineRule="exact"/>
                    <w:jc w:val="center"/>
                    <w:rPr>
                      <w:szCs w:val="21"/>
                    </w:rPr>
                  </w:pPr>
                  <w:r>
                    <w:rPr>
                      <w:rFonts w:hint="eastAsia"/>
                      <w:szCs w:val="21"/>
                    </w:rPr>
                    <w:t>生活污水</w:t>
                  </w:r>
                </w:p>
              </w:tc>
              <w:tc>
                <w:tcPr>
                  <w:tcW w:w="1173" w:type="dxa"/>
                  <w:tcBorders>
                    <w:tl2br w:val="nil"/>
                    <w:tr2bl w:val="nil"/>
                  </w:tcBorders>
                  <w:vAlign w:val="center"/>
                </w:tcPr>
                <w:p>
                  <w:pPr>
                    <w:adjustRightInd w:val="0"/>
                    <w:snapToGrid w:val="0"/>
                    <w:spacing w:line="360" w:lineRule="exact"/>
                    <w:jc w:val="center"/>
                    <w:rPr>
                      <w:szCs w:val="21"/>
                    </w:rPr>
                  </w:pPr>
                  <w:r>
                    <w:rPr>
                      <w:rFonts w:hint="eastAsia"/>
                      <w:szCs w:val="21"/>
                    </w:rPr>
                    <w:t>COD、BOD、氨氮、SS</w:t>
                  </w:r>
                </w:p>
              </w:tc>
              <w:tc>
                <w:tcPr>
                  <w:tcW w:w="681" w:type="dxa"/>
                  <w:tcBorders>
                    <w:tl2br w:val="nil"/>
                    <w:tr2bl w:val="nil"/>
                  </w:tcBorders>
                  <w:vAlign w:val="center"/>
                </w:tcPr>
                <w:p>
                  <w:pPr>
                    <w:adjustRightInd w:val="0"/>
                    <w:snapToGrid w:val="0"/>
                    <w:spacing w:line="360" w:lineRule="exact"/>
                    <w:jc w:val="center"/>
                    <w:rPr>
                      <w:szCs w:val="21"/>
                    </w:rPr>
                  </w:pPr>
                  <w:r>
                    <w:rPr>
                      <w:rFonts w:hint="eastAsia"/>
                      <w:szCs w:val="21"/>
                    </w:rPr>
                    <w:t>不外排</w:t>
                  </w:r>
                </w:p>
              </w:tc>
              <w:tc>
                <w:tcPr>
                  <w:tcW w:w="759" w:type="dxa"/>
                  <w:tcBorders>
                    <w:tl2br w:val="nil"/>
                    <w:tr2bl w:val="nil"/>
                  </w:tcBorders>
                  <w:vAlign w:val="center"/>
                </w:tcPr>
                <w:p>
                  <w:pPr>
                    <w:adjustRightInd w:val="0"/>
                    <w:snapToGrid w:val="0"/>
                    <w:spacing w:line="360" w:lineRule="exact"/>
                    <w:jc w:val="center"/>
                    <w:rPr>
                      <w:szCs w:val="21"/>
                    </w:rPr>
                  </w:pPr>
                  <w:r>
                    <w:rPr>
                      <w:rFonts w:hint="eastAsia"/>
                      <w:szCs w:val="21"/>
                    </w:rPr>
                    <w:t>不外排</w:t>
                  </w:r>
                </w:p>
              </w:tc>
              <w:tc>
                <w:tcPr>
                  <w:tcW w:w="777" w:type="dxa"/>
                  <w:tcBorders>
                    <w:tl2br w:val="nil"/>
                    <w:tr2bl w:val="nil"/>
                  </w:tcBorders>
                  <w:vAlign w:val="center"/>
                </w:tcPr>
                <w:p>
                  <w:pPr>
                    <w:adjustRightInd w:val="0"/>
                    <w:snapToGrid w:val="0"/>
                    <w:spacing w:line="360" w:lineRule="exact"/>
                    <w:jc w:val="center"/>
                    <w:rPr>
                      <w:szCs w:val="21"/>
                    </w:rPr>
                  </w:pPr>
                  <w:r>
                    <w:rPr>
                      <w:rFonts w:hint="eastAsia"/>
                      <w:szCs w:val="21"/>
                    </w:rPr>
                    <w:t>/</w:t>
                  </w:r>
                </w:p>
              </w:tc>
              <w:tc>
                <w:tcPr>
                  <w:tcW w:w="924" w:type="dxa"/>
                  <w:tcBorders>
                    <w:tl2br w:val="nil"/>
                    <w:tr2bl w:val="nil"/>
                  </w:tcBorders>
                  <w:vAlign w:val="center"/>
                </w:tcPr>
                <w:p>
                  <w:pPr>
                    <w:adjustRightInd w:val="0"/>
                    <w:snapToGrid w:val="0"/>
                    <w:spacing w:line="360" w:lineRule="exact"/>
                    <w:jc w:val="center"/>
                    <w:rPr>
                      <w:szCs w:val="21"/>
                    </w:rPr>
                  </w:pPr>
                  <w:r>
                    <w:rPr>
                      <w:rFonts w:hint="eastAsia"/>
                      <w:szCs w:val="21"/>
                    </w:rPr>
                    <w:t>旱厕</w:t>
                  </w:r>
                </w:p>
              </w:tc>
              <w:tc>
                <w:tcPr>
                  <w:tcW w:w="968" w:type="dxa"/>
                  <w:tcBorders>
                    <w:tl2br w:val="nil"/>
                    <w:tr2bl w:val="nil"/>
                  </w:tcBorders>
                  <w:vAlign w:val="center"/>
                </w:tcPr>
                <w:p>
                  <w:pPr>
                    <w:adjustRightInd w:val="0"/>
                    <w:snapToGrid w:val="0"/>
                    <w:spacing w:line="360" w:lineRule="exact"/>
                    <w:jc w:val="center"/>
                    <w:rPr>
                      <w:szCs w:val="21"/>
                    </w:rPr>
                  </w:pPr>
                  <w:r>
                    <w:rPr>
                      <w:rFonts w:hint="eastAsia"/>
                      <w:szCs w:val="21"/>
                    </w:rPr>
                    <w:t>旱厕</w:t>
                  </w:r>
                </w:p>
              </w:tc>
              <w:tc>
                <w:tcPr>
                  <w:tcW w:w="552" w:type="dxa"/>
                  <w:tcBorders>
                    <w:tl2br w:val="nil"/>
                    <w:tr2bl w:val="nil"/>
                  </w:tcBorders>
                  <w:vAlign w:val="center"/>
                </w:tcPr>
                <w:p>
                  <w:pPr>
                    <w:adjustRightInd w:val="0"/>
                    <w:snapToGrid w:val="0"/>
                    <w:spacing w:line="360" w:lineRule="exact"/>
                    <w:jc w:val="center"/>
                    <w:rPr>
                      <w:szCs w:val="21"/>
                    </w:rPr>
                  </w:pPr>
                  <w:r>
                    <w:rPr>
                      <w:rFonts w:hint="eastAsia"/>
                      <w:szCs w:val="21"/>
                    </w:rPr>
                    <w:t>/</w:t>
                  </w:r>
                </w:p>
              </w:tc>
              <w:tc>
                <w:tcPr>
                  <w:tcW w:w="822" w:type="dxa"/>
                  <w:vMerge w:val="continue"/>
                  <w:tcBorders>
                    <w:tl2br w:val="nil"/>
                    <w:tr2bl w:val="nil"/>
                  </w:tcBorders>
                  <w:vAlign w:val="center"/>
                </w:tcPr>
                <w:p>
                  <w:pPr>
                    <w:adjustRightInd w:val="0"/>
                    <w:snapToGrid w:val="0"/>
                    <w:spacing w:line="360" w:lineRule="exact"/>
                    <w:jc w:val="center"/>
                    <w:rPr>
                      <w:kern w:val="0"/>
                      <w:szCs w:val="21"/>
                    </w:rPr>
                  </w:pPr>
                </w:p>
              </w:tc>
              <w:tc>
                <w:tcPr>
                  <w:tcW w:w="1219" w:type="dxa"/>
                  <w:vMerge w:val="continue"/>
                  <w:tcBorders>
                    <w:tl2br w:val="nil"/>
                    <w:tr2bl w:val="nil"/>
                  </w:tcBorders>
                  <w:vAlign w:val="center"/>
                </w:tcPr>
                <w:p>
                  <w:pPr>
                    <w:adjustRightInd w:val="0"/>
                    <w:snapToGrid w:val="0"/>
                    <w:spacing w:line="360" w:lineRule="exact"/>
                    <w:ind w:left="-105" w:leftChars="-50" w:right="-105" w:rightChars="-50"/>
                    <w:rPr>
                      <w:kern w:val="0"/>
                      <w:szCs w:val="21"/>
                    </w:rPr>
                  </w:pPr>
                </w:p>
              </w:tc>
            </w:tr>
          </w:tbl>
          <w:p>
            <w:pPr>
              <w:spacing w:line="440" w:lineRule="exact"/>
              <w:ind w:firstLine="480" w:firstLineChars="200"/>
              <w:rPr>
                <w:rFonts w:hAnsi="宋体"/>
                <w:sz w:val="24"/>
              </w:rPr>
            </w:pPr>
            <w:r>
              <w:rPr>
                <w:rFonts w:hint="eastAsia" w:ascii="宋体" w:hAnsi="宋体" w:cs="宋体"/>
                <w:sz w:val="24"/>
              </w:rPr>
              <w:t>①</w:t>
            </w:r>
            <w:r>
              <w:rPr>
                <w:rFonts w:hint="eastAsia" w:hAnsi="宋体"/>
                <w:sz w:val="24"/>
              </w:rPr>
              <w:t xml:space="preserve"> 洗车废水</w:t>
            </w:r>
          </w:p>
          <w:p>
            <w:pPr>
              <w:spacing w:line="440" w:lineRule="exact"/>
              <w:ind w:firstLine="480" w:firstLineChars="200"/>
              <w:rPr>
                <w:rFonts w:hAnsi="宋体"/>
                <w:sz w:val="24"/>
              </w:rPr>
            </w:pPr>
            <w:r>
              <w:rPr>
                <w:rFonts w:hint="eastAsia" w:hAnsi="宋体"/>
                <w:sz w:val="24"/>
              </w:rPr>
              <w:t>根据工程分析可知，洗车废水产生量为2.43m</w:t>
            </w:r>
            <w:r>
              <w:rPr>
                <w:rFonts w:hint="eastAsia" w:hAnsi="宋体"/>
                <w:sz w:val="24"/>
                <w:vertAlign w:val="superscript"/>
              </w:rPr>
              <w:t>3</w:t>
            </w:r>
            <w:r>
              <w:rPr>
                <w:rFonts w:hint="eastAsia" w:hAnsi="宋体"/>
                <w:sz w:val="24"/>
              </w:rPr>
              <w:t>/d，729m</w:t>
            </w:r>
            <w:r>
              <w:rPr>
                <w:rFonts w:hint="eastAsia" w:hAnsi="宋体"/>
                <w:sz w:val="24"/>
                <w:vertAlign w:val="superscript"/>
              </w:rPr>
              <w:t>3</w:t>
            </w:r>
            <w:r>
              <w:rPr>
                <w:rFonts w:hint="eastAsia" w:hAnsi="宋体"/>
                <w:sz w:val="24"/>
              </w:rPr>
              <w:t>/a。本项目洗车池容积为10m</w:t>
            </w:r>
            <w:r>
              <w:rPr>
                <w:rFonts w:hint="eastAsia" w:hAnsi="宋体"/>
                <w:sz w:val="24"/>
                <w:vertAlign w:val="superscript"/>
              </w:rPr>
              <w:t>3</w:t>
            </w:r>
            <w:r>
              <w:rPr>
                <w:rFonts w:hint="eastAsia" w:hAnsi="宋体"/>
                <w:sz w:val="24"/>
              </w:rPr>
              <w:t>，洗车废水定期沉淀回用，因此，可知，洗车池容积满足洗车废水容量要求。</w:t>
            </w:r>
          </w:p>
          <w:p>
            <w:pPr>
              <w:pStyle w:val="60"/>
              <w:ind w:firstLine="480" w:firstLineChars="200"/>
              <w:rPr>
                <w:color w:val="auto"/>
              </w:rPr>
            </w:pPr>
            <w:r>
              <w:rPr>
                <w:rFonts w:hint="eastAsia" w:ascii="宋体" w:hAnsi="宋体" w:cs="宋体"/>
                <w:color w:val="auto"/>
              </w:rPr>
              <w:t>②</w:t>
            </w:r>
            <w:r>
              <w:rPr>
                <w:rFonts w:hint="eastAsia"/>
                <w:color w:val="auto"/>
              </w:rPr>
              <w:t xml:space="preserve"> 生活污水</w:t>
            </w:r>
          </w:p>
          <w:p>
            <w:pPr>
              <w:spacing w:line="360" w:lineRule="auto"/>
              <w:ind w:firstLine="480" w:firstLineChars="200"/>
              <w:rPr>
                <w:sz w:val="24"/>
              </w:rPr>
            </w:pPr>
            <w:r>
              <w:rPr>
                <w:rFonts w:hint="eastAsia"/>
                <w:sz w:val="24"/>
              </w:rPr>
              <w:t>项目运营期生活污水产生量为</w:t>
            </w:r>
            <w:r>
              <w:rPr>
                <w:rFonts w:hint="eastAsia"/>
                <w:kern w:val="0"/>
                <w:sz w:val="24"/>
              </w:rPr>
              <w:t>43.2m</w:t>
            </w:r>
            <w:r>
              <w:rPr>
                <w:rFonts w:hint="eastAsia"/>
                <w:kern w:val="0"/>
                <w:sz w:val="24"/>
                <w:vertAlign w:val="superscript"/>
              </w:rPr>
              <w:t>3</w:t>
            </w:r>
            <w:r>
              <w:rPr>
                <w:rFonts w:hint="eastAsia"/>
                <w:kern w:val="0"/>
                <w:sz w:val="24"/>
              </w:rPr>
              <w:t>/a，排入旱厕，定期清淘，用于周围农田灌溉施肥，不外排。</w:t>
            </w:r>
          </w:p>
          <w:p>
            <w:pPr>
              <w:spacing w:line="360" w:lineRule="auto"/>
              <w:ind w:firstLine="480" w:firstLineChars="200"/>
              <w:rPr>
                <w:sz w:val="24"/>
              </w:rPr>
            </w:pPr>
            <w:r>
              <w:rPr>
                <w:rFonts w:hint="eastAsia"/>
                <w:sz w:val="24"/>
              </w:rPr>
              <w:t>综上分析，通过上述措施处理后，项目产生的废水对环境影响较小。</w:t>
            </w:r>
          </w:p>
          <w:p>
            <w:pPr>
              <w:spacing w:line="360" w:lineRule="auto"/>
              <w:ind w:firstLine="480" w:firstLineChars="200"/>
              <w:rPr>
                <w:sz w:val="24"/>
              </w:rPr>
            </w:pPr>
            <w:r>
              <w:rPr>
                <w:rFonts w:hint="eastAsia"/>
                <w:sz w:val="24"/>
              </w:rPr>
              <w:t>（2）</w:t>
            </w:r>
            <w:r>
              <w:rPr>
                <w:sz w:val="24"/>
              </w:rPr>
              <w:t>地</w:t>
            </w:r>
            <w:r>
              <w:rPr>
                <w:rFonts w:hint="eastAsia"/>
                <w:sz w:val="24"/>
              </w:rPr>
              <w:t>下</w:t>
            </w:r>
            <w:r>
              <w:rPr>
                <w:sz w:val="24"/>
              </w:rPr>
              <w:t>水环境影响分析</w:t>
            </w:r>
          </w:p>
          <w:p>
            <w:pPr>
              <w:spacing w:line="360" w:lineRule="auto"/>
              <w:ind w:firstLine="480" w:firstLineChars="200"/>
              <w:rPr>
                <w:sz w:val="24"/>
              </w:rPr>
            </w:pPr>
            <w:r>
              <w:rPr>
                <w:sz w:val="24"/>
              </w:rPr>
              <w:t xml:space="preserve">根据《环境影响评价技术导则-地下水环境》（HJ 610-2016）导则附录 A 中的划分依据，本项目属于附录 A 中的 </w:t>
            </w:r>
            <w:r>
              <w:rPr>
                <w:rFonts w:hint="eastAsia"/>
                <w:sz w:val="24"/>
              </w:rPr>
              <w:t>U</w:t>
            </w:r>
            <w:r>
              <w:rPr>
                <w:sz w:val="24"/>
              </w:rPr>
              <w:t xml:space="preserve"> </w:t>
            </w:r>
            <w:r>
              <w:rPr>
                <w:rFonts w:hint="eastAsia"/>
                <w:sz w:val="24"/>
              </w:rPr>
              <w:t>城镇基础设施及房地产</w:t>
            </w:r>
            <w:r>
              <w:rPr>
                <w:sz w:val="24"/>
              </w:rPr>
              <w:t>：</w:t>
            </w:r>
            <w:r>
              <w:rPr>
                <w:rFonts w:hint="eastAsia"/>
                <w:sz w:val="24"/>
              </w:rPr>
              <w:t>155</w:t>
            </w:r>
            <w:r>
              <w:rPr>
                <w:sz w:val="24"/>
              </w:rPr>
              <w:t xml:space="preserve"> </w:t>
            </w:r>
            <w:r>
              <w:rPr>
                <w:rFonts w:hint="eastAsia"/>
                <w:sz w:val="24"/>
              </w:rPr>
              <w:t>废旧资源（含生物质）加工、再生利用</w:t>
            </w:r>
            <w:r>
              <w:rPr>
                <w:sz w:val="24"/>
              </w:rPr>
              <w:t>，地下水环境影响评价项目分类中，</w:t>
            </w:r>
            <w:r>
              <w:rPr>
                <w:rFonts w:hint="eastAsia"/>
                <w:sz w:val="24"/>
              </w:rPr>
              <w:t>报告表</w:t>
            </w:r>
            <w:r>
              <w:rPr>
                <w:sz w:val="24"/>
              </w:rPr>
              <w:t>属于I</w:t>
            </w:r>
            <w:r>
              <w:rPr>
                <w:rFonts w:hint="eastAsia"/>
                <w:sz w:val="24"/>
              </w:rPr>
              <w:t>V</w:t>
            </w:r>
            <w:r>
              <w:rPr>
                <w:sz w:val="24"/>
              </w:rPr>
              <w:t>类项目</w:t>
            </w:r>
            <w:r>
              <w:rPr>
                <w:rFonts w:hint="eastAsia"/>
                <w:sz w:val="24"/>
              </w:rPr>
              <w:t>。因此，根据导则规定，</w:t>
            </w:r>
            <w:r>
              <w:rPr>
                <w:sz w:val="24"/>
              </w:rPr>
              <w:t>确定本项目的地下水</w:t>
            </w:r>
            <w:r>
              <w:rPr>
                <w:rFonts w:hint="eastAsia"/>
                <w:sz w:val="24"/>
              </w:rPr>
              <w:t>可不进行影响分析。</w:t>
            </w:r>
          </w:p>
          <w:p>
            <w:pPr>
              <w:spacing w:line="360" w:lineRule="auto"/>
              <w:ind w:firstLine="470" w:firstLineChars="196"/>
              <w:rPr>
                <w:b/>
                <w:sz w:val="24"/>
              </w:rPr>
            </w:pPr>
            <w:r>
              <w:rPr>
                <w:b/>
                <w:sz w:val="24"/>
              </w:rPr>
              <w:t>3、声环境影响分析</w:t>
            </w:r>
          </w:p>
          <w:p>
            <w:pPr>
              <w:widowControl/>
              <w:spacing w:line="360" w:lineRule="auto"/>
              <w:ind w:firstLine="480" w:firstLineChars="200"/>
              <w:rPr>
                <w:sz w:val="24"/>
              </w:rPr>
            </w:pPr>
            <w:r>
              <w:rPr>
                <w:kern w:val="24"/>
                <w:sz w:val="24"/>
              </w:rPr>
              <w:t>本项目噪声源主要为各种机械设备运转时产生机械噪声，设备本身噪声级在65~80dB(A)，在采取基础减振、厂房隔声等措施后，噪声被控制在65dB(A)及以下，</w:t>
            </w:r>
            <w:r>
              <w:rPr>
                <w:sz w:val="24"/>
              </w:rPr>
              <w:t>主要噪声源见表</w:t>
            </w:r>
            <w:r>
              <w:rPr>
                <w:rFonts w:hint="eastAsia"/>
                <w:sz w:val="24"/>
              </w:rPr>
              <w:t>32</w:t>
            </w:r>
            <w:r>
              <w:rPr>
                <w:sz w:val="24"/>
              </w:rPr>
              <w:t>。</w:t>
            </w:r>
          </w:p>
          <w:p>
            <w:pPr>
              <w:ind w:firstLine="420" w:firstLineChars="200"/>
              <w:jc w:val="center"/>
              <w:rPr>
                <w:b/>
                <w:snapToGrid w:val="0"/>
                <w:szCs w:val="21"/>
              </w:rPr>
            </w:pPr>
          </w:p>
          <w:p>
            <w:pPr>
              <w:ind w:firstLine="420" w:firstLineChars="200"/>
              <w:jc w:val="center"/>
              <w:rPr>
                <w:b/>
                <w:snapToGrid w:val="0"/>
                <w:szCs w:val="21"/>
              </w:rPr>
            </w:pPr>
            <w:r>
              <w:rPr>
                <w:b/>
                <w:snapToGrid w:val="0"/>
                <w:szCs w:val="21"/>
              </w:rPr>
              <w:t>表</w:t>
            </w:r>
            <w:r>
              <w:rPr>
                <w:rFonts w:hint="eastAsia"/>
                <w:b/>
                <w:snapToGrid w:val="0"/>
                <w:szCs w:val="21"/>
              </w:rPr>
              <w:t>32</w:t>
            </w:r>
            <w:r>
              <w:rPr>
                <w:b/>
                <w:snapToGrid w:val="0"/>
                <w:szCs w:val="21"/>
              </w:rPr>
              <w:t xml:space="preserve">  主要噪声源统计单位：dB（A）</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53"/>
              <w:gridCol w:w="1526"/>
              <w:gridCol w:w="852"/>
              <w:gridCol w:w="1273"/>
              <w:gridCol w:w="1105"/>
              <w:gridCol w:w="1105"/>
              <w:gridCol w:w="964"/>
              <w:gridCol w:w="10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638" w:type="pct"/>
                  <w:vMerge w:val="restart"/>
                  <w:vAlign w:val="center"/>
                </w:tcPr>
                <w:p>
                  <w:pPr>
                    <w:widowControl/>
                    <w:jc w:val="center"/>
                    <w:rPr>
                      <w:szCs w:val="21"/>
                    </w:rPr>
                  </w:pPr>
                  <w:r>
                    <w:rPr>
                      <w:szCs w:val="21"/>
                    </w:rPr>
                    <w:t>位置</w:t>
                  </w:r>
                </w:p>
              </w:tc>
              <w:tc>
                <w:tcPr>
                  <w:tcW w:w="844" w:type="pct"/>
                  <w:vMerge w:val="restart"/>
                  <w:vAlign w:val="center"/>
                </w:tcPr>
                <w:p>
                  <w:pPr>
                    <w:widowControl/>
                    <w:jc w:val="center"/>
                    <w:rPr>
                      <w:szCs w:val="21"/>
                    </w:rPr>
                  </w:pPr>
                  <w:r>
                    <w:rPr>
                      <w:szCs w:val="21"/>
                    </w:rPr>
                    <w:t>噪声源</w:t>
                  </w:r>
                </w:p>
              </w:tc>
              <w:tc>
                <w:tcPr>
                  <w:tcW w:w="471" w:type="pct"/>
                  <w:vMerge w:val="restart"/>
                  <w:vAlign w:val="center"/>
                </w:tcPr>
                <w:p>
                  <w:pPr>
                    <w:widowControl/>
                    <w:jc w:val="center"/>
                    <w:rPr>
                      <w:szCs w:val="21"/>
                    </w:rPr>
                  </w:pPr>
                  <w:r>
                    <w:rPr>
                      <w:szCs w:val="21"/>
                    </w:rPr>
                    <w:t>台数</w:t>
                  </w:r>
                </w:p>
              </w:tc>
              <w:tc>
                <w:tcPr>
                  <w:tcW w:w="704" w:type="pct"/>
                  <w:vMerge w:val="restart"/>
                  <w:vAlign w:val="center"/>
                </w:tcPr>
                <w:p>
                  <w:pPr>
                    <w:widowControl/>
                    <w:jc w:val="center"/>
                    <w:rPr>
                      <w:szCs w:val="21"/>
                    </w:rPr>
                  </w:pPr>
                  <w:r>
                    <w:rPr>
                      <w:szCs w:val="21"/>
                    </w:rPr>
                    <w:t>治理后噪声级dB(A)</w:t>
                  </w:r>
                </w:p>
              </w:tc>
              <w:tc>
                <w:tcPr>
                  <w:tcW w:w="2342" w:type="pct"/>
                  <w:gridSpan w:val="4"/>
                  <w:vAlign w:val="center"/>
                </w:tcPr>
                <w:p>
                  <w:pPr>
                    <w:widowControl/>
                    <w:jc w:val="center"/>
                    <w:rPr>
                      <w:szCs w:val="21"/>
                    </w:rPr>
                  </w:pPr>
                  <w:r>
                    <w:rPr>
                      <w:szCs w:val="21"/>
                    </w:rPr>
                    <w:t>到厂界的最近距离(m)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638" w:type="pct"/>
                  <w:vMerge w:val="continue"/>
                  <w:vAlign w:val="center"/>
                </w:tcPr>
                <w:p>
                  <w:pPr>
                    <w:widowControl/>
                    <w:jc w:val="left"/>
                    <w:rPr>
                      <w:szCs w:val="21"/>
                    </w:rPr>
                  </w:pPr>
                </w:p>
              </w:tc>
              <w:tc>
                <w:tcPr>
                  <w:tcW w:w="844" w:type="pct"/>
                  <w:vMerge w:val="continue"/>
                  <w:vAlign w:val="center"/>
                </w:tcPr>
                <w:p>
                  <w:pPr>
                    <w:widowControl/>
                    <w:jc w:val="left"/>
                    <w:rPr>
                      <w:szCs w:val="21"/>
                    </w:rPr>
                  </w:pPr>
                </w:p>
              </w:tc>
              <w:tc>
                <w:tcPr>
                  <w:tcW w:w="471" w:type="pct"/>
                  <w:vMerge w:val="continue"/>
                  <w:vAlign w:val="center"/>
                </w:tcPr>
                <w:p>
                  <w:pPr>
                    <w:widowControl/>
                    <w:jc w:val="left"/>
                    <w:rPr>
                      <w:szCs w:val="21"/>
                    </w:rPr>
                  </w:pPr>
                </w:p>
              </w:tc>
              <w:tc>
                <w:tcPr>
                  <w:tcW w:w="704" w:type="pct"/>
                  <w:vMerge w:val="continue"/>
                  <w:vAlign w:val="center"/>
                </w:tcPr>
                <w:p>
                  <w:pPr>
                    <w:widowControl/>
                    <w:jc w:val="left"/>
                    <w:rPr>
                      <w:szCs w:val="21"/>
                    </w:rPr>
                  </w:pPr>
                </w:p>
              </w:tc>
              <w:tc>
                <w:tcPr>
                  <w:tcW w:w="611" w:type="pct"/>
                  <w:vAlign w:val="center"/>
                </w:tcPr>
                <w:p>
                  <w:pPr>
                    <w:widowControl/>
                    <w:jc w:val="center"/>
                    <w:rPr>
                      <w:szCs w:val="21"/>
                    </w:rPr>
                  </w:pPr>
                  <w:r>
                    <w:rPr>
                      <w:szCs w:val="21"/>
                    </w:rPr>
                    <w:t>东</w:t>
                  </w:r>
                </w:p>
              </w:tc>
              <w:tc>
                <w:tcPr>
                  <w:tcW w:w="611" w:type="pct"/>
                  <w:vAlign w:val="center"/>
                </w:tcPr>
                <w:p>
                  <w:pPr>
                    <w:widowControl/>
                    <w:jc w:val="center"/>
                    <w:rPr>
                      <w:szCs w:val="21"/>
                    </w:rPr>
                  </w:pPr>
                  <w:r>
                    <w:rPr>
                      <w:szCs w:val="21"/>
                    </w:rPr>
                    <w:t>南</w:t>
                  </w:r>
                </w:p>
              </w:tc>
              <w:tc>
                <w:tcPr>
                  <w:tcW w:w="533" w:type="pct"/>
                  <w:vAlign w:val="center"/>
                </w:tcPr>
                <w:p>
                  <w:pPr>
                    <w:widowControl/>
                    <w:jc w:val="center"/>
                    <w:rPr>
                      <w:szCs w:val="21"/>
                    </w:rPr>
                  </w:pPr>
                  <w:r>
                    <w:rPr>
                      <w:szCs w:val="21"/>
                    </w:rPr>
                    <w:t>西</w:t>
                  </w:r>
                </w:p>
              </w:tc>
              <w:tc>
                <w:tcPr>
                  <w:tcW w:w="585" w:type="pct"/>
                  <w:vAlign w:val="center"/>
                </w:tcPr>
                <w:p>
                  <w:pPr>
                    <w:widowControl/>
                    <w:jc w:val="center"/>
                    <w:rPr>
                      <w:szCs w:val="21"/>
                    </w:rPr>
                  </w:pPr>
                  <w:r>
                    <w:rPr>
                      <w:szCs w:val="21"/>
                    </w:rPr>
                    <w:t>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638" w:type="pct"/>
                  <w:vMerge w:val="restart"/>
                  <w:vAlign w:val="center"/>
                </w:tcPr>
                <w:p>
                  <w:pPr>
                    <w:widowControl/>
                    <w:spacing w:line="360" w:lineRule="auto"/>
                    <w:jc w:val="center"/>
                    <w:rPr>
                      <w:szCs w:val="21"/>
                    </w:rPr>
                  </w:pPr>
                  <w:r>
                    <w:rPr>
                      <w:rFonts w:hint="eastAsia"/>
                      <w:szCs w:val="21"/>
                    </w:rPr>
                    <w:t>生产</w:t>
                  </w:r>
                  <w:r>
                    <w:rPr>
                      <w:szCs w:val="21"/>
                    </w:rPr>
                    <w:t>车间</w:t>
                  </w:r>
                </w:p>
              </w:tc>
              <w:tc>
                <w:tcPr>
                  <w:tcW w:w="844" w:type="pct"/>
                  <w:vAlign w:val="center"/>
                </w:tcPr>
                <w:p>
                  <w:pPr>
                    <w:snapToGrid w:val="0"/>
                    <w:jc w:val="center"/>
                    <w:rPr>
                      <w:kern w:val="21"/>
                      <w:szCs w:val="21"/>
                    </w:rPr>
                  </w:pPr>
                  <w:r>
                    <w:rPr>
                      <w:rFonts w:hint="eastAsia"/>
                      <w:szCs w:val="21"/>
                    </w:rPr>
                    <w:t>破碎机</w:t>
                  </w:r>
                </w:p>
              </w:tc>
              <w:tc>
                <w:tcPr>
                  <w:tcW w:w="471" w:type="pct"/>
                  <w:vAlign w:val="center"/>
                </w:tcPr>
                <w:p>
                  <w:pPr>
                    <w:snapToGrid w:val="0"/>
                    <w:jc w:val="center"/>
                    <w:rPr>
                      <w:kern w:val="21"/>
                      <w:szCs w:val="21"/>
                    </w:rPr>
                  </w:pPr>
                  <w:r>
                    <w:rPr>
                      <w:rFonts w:hint="eastAsia"/>
                      <w:kern w:val="21"/>
                      <w:szCs w:val="21"/>
                    </w:rPr>
                    <w:t>2</w:t>
                  </w:r>
                </w:p>
              </w:tc>
              <w:tc>
                <w:tcPr>
                  <w:tcW w:w="704" w:type="pct"/>
                  <w:vAlign w:val="center"/>
                </w:tcPr>
                <w:p>
                  <w:pPr>
                    <w:snapToGrid w:val="0"/>
                    <w:jc w:val="center"/>
                    <w:rPr>
                      <w:kern w:val="21"/>
                      <w:szCs w:val="21"/>
                    </w:rPr>
                  </w:pPr>
                  <w:r>
                    <w:rPr>
                      <w:rFonts w:hint="eastAsia"/>
                      <w:kern w:val="21"/>
                      <w:szCs w:val="21"/>
                    </w:rPr>
                    <w:t>65</w:t>
                  </w:r>
                </w:p>
              </w:tc>
              <w:tc>
                <w:tcPr>
                  <w:tcW w:w="611" w:type="pct"/>
                  <w:vAlign w:val="center"/>
                </w:tcPr>
                <w:p>
                  <w:pPr>
                    <w:widowControl/>
                    <w:jc w:val="center"/>
                    <w:rPr>
                      <w:szCs w:val="21"/>
                    </w:rPr>
                  </w:pPr>
                  <w:r>
                    <w:rPr>
                      <w:rFonts w:hint="eastAsia"/>
                      <w:szCs w:val="21"/>
                    </w:rPr>
                    <w:t>120</w:t>
                  </w:r>
                </w:p>
              </w:tc>
              <w:tc>
                <w:tcPr>
                  <w:tcW w:w="611" w:type="pct"/>
                  <w:vAlign w:val="center"/>
                </w:tcPr>
                <w:p>
                  <w:pPr>
                    <w:widowControl/>
                    <w:jc w:val="center"/>
                    <w:rPr>
                      <w:szCs w:val="21"/>
                    </w:rPr>
                  </w:pPr>
                  <w:r>
                    <w:rPr>
                      <w:rFonts w:hint="eastAsia"/>
                      <w:szCs w:val="21"/>
                    </w:rPr>
                    <w:t>10</w:t>
                  </w:r>
                </w:p>
              </w:tc>
              <w:tc>
                <w:tcPr>
                  <w:tcW w:w="533" w:type="pct"/>
                  <w:vAlign w:val="center"/>
                </w:tcPr>
                <w:p>
                  <w:pPr>
                    <w:widowControl/>
                    <w:jc w:val="center"/>
                    <w:rPr>
                      <w:szCs w:val="21"/>
                    </w:rPr>
                  </w:pPr>
                  <w:r>
                    <w:rPr>
                      <w:rFonts w:hint="eastAsia"/>
                      <w:szCs w:val="21"/>
                    </w:rPr>
                    <w:t>70</w:t>
                  </w:r>
                </w:p>
              </w:tc>
              <w:tc>
                <w:tcPr>
                  <w:tcW w:w="585" w:type="pct"/>
                  <w:vAlign w:val="center"/>
                </w:tcPr>
                <w:p>
                  <w:pPr>
                    <w:widowControl/>
                    <w:jc w:val="center"/>
                    <w:rPr>
                      <w:szCs w:val="21"/>
                    </w:rPr>
                  </w:pPr>
                  <w:r>
                    <w:rPr>
                      <w:rFonts w:hint="eastAsia"/>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638" w:type="pct"/>
                  <w:vMerge w:val="continue"/>
                  <w:vAlign w:val="center"/>
                </w:tcPr>
                <w:p>
                  <w:pPr>
                    <w:widowControl/>
                    <w:jc w:val="left"/>
                    <w:rPr>
                      <w:szCs w:val="21"/>
                    </w:rPr>
                  </w:pPr>
                </w:p>
              </w:tc>
              <w:tc>
                <w:tcPr>
                  <w:tcW w:w="844" w:type="pct"/>
                  <w:vAlign w:val="center"/>
                </w:tcPr>
                <w:p>
                  <w:pPr>
                    <w:tabs>
                      <w:tab w:val="left" w:pos="0"/>
                      <w:tab w:val="left" w:pos="3150"/>
                    </w:tabs>
                    <w:autoSpaceDE w:val="0"/>
                    <w:autoSpaceDN w:val="0"/>
                    <w:spacing w:line="360" w:lineRule="auto"/>
                    <w:jc w:val="center"/>
                    <w:rPr>
                      <w:kern w:val="21"/>
                      <w:szCs w:val="21"/>
                    </w:rPr>
                  </w:pPr>
                  <w:r>
                    <w:rPr>
                      <w:rFonts w:hint="eastAsia"/>
                      <w:snapToGrid w:val="0"/>
                      <w:szCs w:val="21"/>
                    </w:rPr>
                    <w:t>冲击式制砂机</w:t>
                  </w:r>
                </w:p>
              </w:tc>
              <w:tc>
                <w:tcPr>
                  <w:tcW w:w="471" w:type="pct"/>
                  <w:vAlign w:val="center"/>
                </w:tcPr>
                <w:p>
                  <w:pPr>
                    <w:snapToGrid w:val="0"/>
                    <w:jc w:val="center"/>
                    <w:rPr>
                      <w:kern w:val="21"/>
                      <w:szCs w:val="21"/>
                    </w:rPr>
                  </w:pPr>
                  <w:r>
                    <w:rPr>
                      <w:kern w:val="21"/>
                      <w:szCs w:val="21"/>
                    </w:rPr>
                    <w:t>1</w:t>
                  </w:r>
                </w:p>
              </w:tc>
              <w:tc>
                <w:tcPr>
                  <w:tcW w:w="704" w:type="pct"/>
                  <w:vAlign w:val="center"/>
                </w:tcPr>
                <w:p>
                  <w:pPr>
                    <w:snapToGrid w:val="0"/>
                    <w:jc w:val="center"/>
                    <w:rPr>
                      <w:kern w:val="21"/>
                      <w:szCs w:val="21"/>
                    </w:rPr>
                  </w:pPr>
                  <w:r>
                    <w:rPr>
                      <w:rFonts w:hint="eastAsia"/>
                      <w:kern w:val="21"/>
                      <w:szCs w:val="21"/>
                    </w:rPr>
                    <w:t>65</w:t>
                  </w:r>
                </w:p>
              </w:tc>
              <w:tc>
                <w:tcPr>
                  <w:tcW w:w="611" w:type="pct"/>
                  <w:vAlign w:val="center"/>
                </w:tcPr>
                <w:p>
                  <w:pPr>
                    <w:widowControl/>
                    <w:jc w:val="center"/>
                    <w:rPr>
                      <w:szCs w:val="21"/>
                    </w:rPr>
                  </w:pPr>
                  <w:r>
                    <w:rPr>
                      <w:rFonts w:hint="eastAsia"/>
                      <w:szCs w:val="21"/>
                    </w:rPr>
                    <w:t>110</w:t>
                  </w:r>
                </w:p>
              </w:tc>
              <w:tc>
                <w:tcPr>
                  <w:tcW w:w="611" w:type="pct"/>
                  <w:vAlign w:val="center"/>
                </w:tcPr>
                <w:p>
                  <w:pPr>
                    <w:widowControl/>
                    <w:jc w:val="center"/>
                    <w:rPr>
                      <w:szCs w:val="21"/>
                    </w:rPr>
                  </w:pPr>
                  <w:r>
                    <w:rPr>
                      <w:rFonts w:hint="eastAsia"/>
                      <w:szCs w:val="21"/>
                    </w:rPr>
                    <w:t>10</w:t>
                  </w:r>
                </w:p>
              </w:tc>
              <w:tc>
                <w:tcPr>
                  <w:tcW w:w="533" w:type="pct"/>
                  <w:vAlign w:val="center"/>
                </w:tcPr>
                <w:p>
                  <w:pPr>
                    <w:jc w:val="center"/>
                  </w:pPr>
                  <w:r>
                    <w:rPr>
                      <w:rFonts w:hint="eastAsia"/>
                    </w:rPr>
                    <w:t>82</w:t>
                  </w:r>
                </w:p>
              </w:tc>
              <w:tc>
                <w:tcPr>
                  <w:tcW w:w="585" w:type="pct"/>
                  <w:vAlign w:val="center"/>
                </w:tcPr>
                <w:p>
                  <w:pPr>
                    <w:widowControl/>
                    <w:jc w:val="center"/>
                    <w:rPr>
                      <w:szCs w:val="21"/>
                    </w:rPr>
                  </w:pPr>
                  <w:r>
                    <w:rPr>
                      <w:rFonts w:hint="eastAsia"/>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638" w:type="pct"/>
                  <w:vMerge w:val="continue"/>
                  <w:vAlign w:val="center"/>
                </w:tcPr>
                <w:p>
                  <w:pPr>
                    <w:widowControl/>
                    <w:jc w:val="left"/>
                    <w:rPr>
                      <w:szCs w:val="21"/>
                    </w:rPr>
                  </w:pPr>
                </w:p>
              </w:tc>
              <w:tc>
                <w:tcPr>
                  <w:tcW w:w="844" w:type="pct"/>
                  <w:vAlign w:val="center"/>
                </w:tcPr>
                <w:p>
                  <w:pPr>
                    <w:tabs>
                      <w:tab w:val="left" w:pos="0"/>
                      <w:tab w:val="left" w:pos="3150"/>
                    </w:tabs>
                    <w:autoSpaceDE w:val="0"/>
                    <w:autoSpaceDN w:val="0"/>
                    <w:spacing w:line="360" w:lineRule="auto"/>
                    <w:jc w:val="center"/>
                    <w:rPr>
                      <w:szCs w:val="21"/>
                    </w:rPr>
                  </w:pPr>
                  <w:r>
                    <w:rPr>
                      <w:snapToGrid w:val="0"/>
                      <w:szCs w:val="21"/>
                    </w:rPr>
                    <w:t>振动筛</w:t>
                  </w:r>
                </w:p>
              </w:tc>
              <w:tc>
                <w:tcPr>
                  <w:tcW w:w="471" w:type="pct"/>
                  <w:vAlign w:val="center"/>
                </w:tcPr>
                <w:p>
                  <w:pPr>
                    <w:snapToGrid w:val="0"/>
                    <w:jc w:val="center"/>
                    <w:rPr>
                      <w:kern w:val="21"/>
                      <w:szCs w:val="21"/>
                    </w:rPr>
                  </w:pPr>
                  <w:r>
                    <w:rPr>
                      <w:rFonts w:hint="eastAsia"/>
                      <w:kern w:val="21"/>
                      <w:szCs w:val="21"/>
                    </w:rPr>
                    <w:t>5</w:t>
                  </w:r>
                </w:p>
              </w:tc>
              <w:tc>
                <w:tcPr>
                  <w:tcW w:w="704" w:type="pct"/>
                  <w:vAlign w:val="center"/>
                </w:tcPr>
                <w:p>
                  <w:pPr>
                    <w:snapToGrid w:val="0"/>
                    <w:jc w:val="center"/>
                    <w:rPr>
                      <w:kern w:val="21"/>
                      <w:szCs w:val="21"/>
                    </w:rPr>
                  </w:pPr>
                  <w:r>
                    <w:rPr>
                      <w:rFonts w:hint="eastAsia"/>
                      <w:kern w:val="21"/>
                      <w:szCs w:val="21"/>
                    </w:rPr>
                    <w:t>65</w:t>
                  </w:r>
                </w:p>
              </w:tc>
              <w:tc>
                <w:tcPr>
                  <w:tcW w:w="611" w:type="pct"/>
                  <w:vAlign w:val="center"/>
                </w:tcPr>
                <w:p>
                  <w:pPr>
                    <w:widowControl/>
                    <w:jc w:val="center"/>
                    <w:rPr>
                      <w:szCs w:val="21"/>
                    </w:rPr>
                  </w:pPr>
                  <w:r>
                    <w:rPr>
                      <w:rFonts w:hint="eastAsia"/>
                      <w:szCs w:val="21"/>
                    </w:rPr>
                    <w:t>105</w:t>
                  </w:r>
                </w:p>
              </w:tc>
              <w:tc>
                <w:tcPr>
                  <w:tcW w:w="611" w:type="pct"/>
                  <w:vAlign w:val="center"/>
                </w:tcPr>
                <w:p>
                  <w:pPr>
                    <w:widowControl/>
                    <w:jc w:val="center"/>
                    <w:rPr>
                      <w:szCs w:val="21"/>
                    </w:rPr>
                  </w:pPr>
                  <w:r>
                    <w:rPr>
                      <w:rFonts w:hint="eastAsia"/>
                      <w:szCs w:val="21"/>
                    </w:rPr>
                    <w:t>10</w:t>
                  </w:r>
                </w:p>
              </w:tc>
              <w:tc>
                <w:tcPr>
                  <w:tcW w:w="533" w:type="pct"/>
                </w:tcPr>
                <w:p>
                  <w:pPr>
                    <w:jc w:val="center"/>
                  </w:pPr>
                  <w:r>
                    <w:rPr>
                      <w:rFonts w:hint="eastAsia"/>
                    </w:rPr>
                    <w:t>96</w:t>
                  </w:r>
                </w:p>
              </w:tc>
              <w:tc>
                <w:tcPr>
                  <w:tcW w:w="585" w:type="pct"/>
                  <w:vAlign w:val="center"/>
                </w:tcPr>
                <w:p>
                  <w:pPr>
                    <w:widowControl/>
                    <w:jc w:val="center"/>
                    <w:rPr>
                      <w:szCs w:val="21"/>
                    </w:rPr>
                  </w:pPr>
                  <w:r>
                    <w:rPr>
                      <w:rFonts w:hint="eastAsia"/>
                      <w:szCs w:val="21"/>
                    </w:rPr>
                    <w:t>30</w:t>
                  </w:r>
                </w:p>
              </w:tc>
            </w:tr>
          </w:tbl>
          <w:p>
            <w:pPr>
              <w:keepNext/>
              <w:keepLines/>
              <w:widowControl/>
              <w:spacing w:before="156" w:beforeLines="50" w:line="360" w:lineRule="auto"/>
              <w:ind w:firstLine="561"/>
              <w:outlineLvl w:val="3"/>
              <w:rPr>
                <w:bCs/>
                <w:sz w:val="24"/>
                <w:szCs w:val="28"/>
              </w:rPr>
            </w:pPr>
            <w:bookmarkStart w:id="10" w:name="_Toc265835460"/>
            <w:bookmarkStart w:id="11" w:name="_Toc278378050"/>
            <w:bookmarkStart w:id="12" w:name="_Toc264205432"/>
            <w:bookmarkStart w:id="13" w:name="_Toc281568988"/>
            <w:bookmarkStart w:id="14" w:name="_Toc267654009"/>
            <w:bookmarkStart w:id="15" w:name="_Toc354410355"/>
            <w:r>
              <w:rPr>
                <w:bCs/>
                <w:sz w:val="24"/>
                <w:szCs w:val="28"/>
              </w:rPr>
              <w:t>（一）预测点</w:t>
            </w:r>
            <w:bookmarkEnd w:id="10"/>
            <w:bookmarkEnd w:id="11"/>
            <w:bookmarkEnd w:id="12"/>
            <w:bookmarkEnd w:id="13"/>
            <w:bookmarkEnd w:id="14"/>
            <w:bookmarkEnd w:id="15"/>
            <w:r>
              <w:rPr>
                <w:bCs/>
                <w:sz w:val="24"/>
                <w:szCs w:val="28"/>
              </w:rPr>
              <w:t>位</w:t>
            </w:r>
          </w:p>
          <w:p>
            <w:pPr>
              <w:widowControl/>
              <w:spacing w:line="360" w:lineRule="auto"/>
              <w:ind w:firstLine="480" w:firstLineChars="200"/>
              <w:rPr>
                <w:sz w:val="24"/>
              </w:rPr>
            </w:pPr>
            <w:r>
              <w:rPr>
                <w:sz w:val="24"/>
              </w:rPr>
              <w:t>预测点位为东、南、西、北厂界外1m以及项目</w:t>
            </w:r>
            <w:r>
              <w:rPr>
                <w:bCs/>
                <w:sz w:val="24"/>
              </w:rPr>
              <w:t>地</w:t>
            </w:r>
            <w:r>
              <w:rPr>
                <w:rFonts w:hint="eastAsia"/>
                <w:bCs/>
                <w:sz w:val="24"/>
              </w:rPr>
              <w:t>西</w:t>
            </w:r>
            <w:r>
              <w:rPr>
                <w:bCs/>
                <w:sz w:val="24"/>
              </w:rPr>
              <w:t>侧</w:t>
            </w:r>
            <w:r>
              <w:rPr>
                <w:rFonts w:hint="eastAsia"/>
                <w:bCs/>
                <w:sz w:val="24"/>
              </w:rPr>
              <w:t>112</w:t>
            </w:r>
            <w:r>
              <w:rPr>
                <w:bCs/>
                <w:sz w:val="24"/>
              </w:rPr>
              <w:t>m居民点</w:t>
            </w:r>
            <w:r>
              <w:rPr>
                <w:sz w:val="24"/>
              </w:rPr>
              <w:t>。</w:t>
            </w:r>
          </w:p>
          <w:p>
            <w:pPr>
              <w:keepNext/>
              <w:keepLines/>
              <w:widowControl/>
              <w:spacing w:line="360" w:lineRule="auto"/>
              <w:ind w:firstLine="562"/>
              <w:outlineLvl w:val="3"/>
              <w:rPr>
                <w:bCs/>
                <w:sz w:val="24"/>
                <w:szCs w:val="28"/>
              </w:rPr>
            </w:pPr>
            <w:bookmarkStart w:id="16" w:name="_Toc278378051"/>
            <w:bookmarkStart w:id="17" w:name="_Toc265835461"/>
            <w:bookmarkStart w:id="18" w:name="_Toc267654010"/>
            <w:bookmarkStart w:id="19" w:name="_Toc264205433"/>
            <w:bookmarkStart w:id="20" w:name="_Toc281568989"/>
            <w:bookmarkStart w:id="21" w:name="_Toc354410356"/>
            <w:r>
              <w:rPr>
                <w:bCs/>
                <w:sz w:val="24"/>
                <w:szCs w:val="28"/>
              </w:rPr>
              <w:t>（一）预测模式</w:t>
            </w:r>
            <w:bookmarkEnd w:id="16"/>
            <w:bookmarkEnd w:id="17"/>
            <w:bookmarkEnd w:id="18"/>
            <w:bookmarkEnd w:id="19"/>
            <w:bookmarkEnd w:id="20"/>
            <w:bookmarkEnd w:id="21"/>
          </w:p>
          <w:p>
            <w:pPr>
              <w:widowControl/>
              <w:spacing w:line="360" w:lineRule="auto"/>
              <w:ind w:firstLine="480" w:firstLineChars="200"/>
              <w:rPr>
                <w:sz w:val="24"/>
              </w:rPr>
            </w:pPr>
            <w:r>
              <w:rPr>
                <w:sz w:val="24"/>
              </w:rPr>
              <w:t>由于噪声源距厂界的距离远大于声源本身尺寸，噪声预测选用点声源衰减计算公式：</w:t>
            </w:r>
          </w:p>
          <w:p>
            <w:pPr>
              <w:widowControl/>
              <w:spacing w:line="360" w:lineRule="auto"/>
              <w:ind w:firstLine="480" w:firstLineChars="200"/>
              <w:rPr>
                <w:sz w:val="24"/>
                <w:lang w:val="zh-CN"/>
              </w:rPr>
            </w:pPr>
            <w:r>
              <w:rPr>
                <w:bCs/>
                <w:sz w:val="24"/>
              </w:rPr>
              <w:t>（1）</w:t>
            </w:r>
            <w:r>
              <w:rPr>
                <w:sz w:val="24"/>
                <w:lang w:val="zh-CN"/>
              </w:rPr>
              <w:t>点声源衰减</w:t>
            </w:r>
          </w:p>
          <w:p>
            <w:pPr>
              <w:widowControl/>
              <w:spacing w:line="360" w:lineRule="auto"/>
              <w:ind w:firstLine="480" w:firstLineChars="200"/>
              <w:rPr>
                <w:sz w:val="24"/>
                <w:lang w:val="zh-CN"/>
              </w:rPr>
            </w:pPr>
            <w:r>
              <w:rPr>
                <w:sz w:val="24"/>
                <w:lang w:val="zh-CN"/>
              </w:rPr>
              <w:t>某个噪声源在预测点的声压级为：</w:t>
            </w:r>
          </w:p>
          <w:p>
            <w:pPr>
              <w:widowControl/>
              <w:autoSpaceDE w:val="0"/>
              <w:autoSpaceDN w:val="0"/>
              <w:spacing w:line="360" w:lineRule="auto"/>
              <w:ind w:firstLine="480" w:firstLineChars="200"/>
              <w:jc w:val="center"/>
              <w:rPr>
                <w:sz w:val="24"/>
                <w:lang w:val="zh-CN"/>
              </w:rPr>
            </w:pPr>
            <w:r>
              <w:rPr>
                <w:position w:val="-14"/>
                <w:sz w:val="24"/>
              </w:rPr>
              <w:drawing>
                <wp:inline distT="0" distB="0" distL="0" distR="0">
                  <wp:extent cx="1800225" cy="247650"/>
                  <wp:effectExtent l="0" t="0" r="9525" b="0"/>
                  <wp:docPr id="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5"/>
                          <pic:cNvPicPr>
                            <a:picLocks noChangeAspect="1" noChangeArrowheads="1"/>
                          </pic:cNvPicPr>
                        </pic:nvPicPr>
                        <pic:blipFill>
                          <a:blip r:embed="rId12"/>
                          <a:srcRect r="15060"/>
                          <a:stretch>
                            <a:fillRect/>
                          </a:stretch>
                        </pic:blipFill>
                        <pic:spPr>
                          <a:xfrm>
                            <a:off x="0" y="0"/>
                            <a:ext cx="1800225" cy="247650"/>
                          </a:xfrm>
                          <a:prstGeom prst="rect">
                            <a:avLst/>
                          </a:prstGeom>
                          <a:noFill/>
                          <a:ln w="9525">
                            <a:noFill/>
                            <a:miter lim="800000"/>
                            <a:headEnd/>
                            <a:tailEnd/>
                          </a:ln>
                        </pic:spPr>
                      </pic:pic>
                    </a:graphicData>
                  </a:graphic>
                </wp:inline>
              </w:drawing>
            </w:r>
          </w:p>
          <w:p>
            <w:pPr>
              <w:widowControl/>
              <w:spacing w:line="360" w:lineRule="auto"/>
              <w:ind w:firstLine="480" w:firstLineChars="200"/>
              <w:rPr>
                <w:kern w:val="24"/>
                <w:sz w:val="24"/>
                <w:lang w:val="zh-CN"/>
              </w:rPr>
            </w:pPr>
            <w:r>
              <w:rPr>
                <w:kern w:val="24"/>
                <w:sz w:val="24"/>
                <w:lang w:val="zh-CN"/>
              </w:rPr>
              <w:t>式中：</w:t>
            </w:r>
          </w:p>
          <w:p>
            <w:pPr>
              <w:widowControl/>
              <w:spacing w:line="360" w:lineRule="auto"/>
              <w:ind w:firstLine="480" w:firstLineChars="200"/>
              <w:rPr>
                <w:kern w:val="24"/>
                <w:sz w:val="24"/>
                <w:lang w:val="zh-CN"/>
              </w:rPr>
            </w:pPr>
            <w:r>
              <w:rPr>
                <w:i/>
                <w:kern w:val="24"/>
                <w:sz w:val="24"/>
                <w:lang w:val="zh-CN"/>
              </w:rPr>
              <w:t>L</w:t>
            </w:r>
            <w:r>
              <w:rPr>
                <w:i/>
                <w:kern w:val="24"/>
                <w:sz w:val="24"/>
                <w:vertAlign w:val="subscript"/>
                <w:lang w:val="zh-CN"/>
              </w:rPr>
              <w:t>p</w:t>
            </w:r>
            <w:r>
              <w:rPr>
                <w:i/>
                <w:kern w:val="24"/>
                <w:sz w:val="24"/>
                <w:lang w:val="zh-CN"/>
              </w:rPr>
              <w:t>(r)</w:t>
            </w:r>
            <w:r>
              <w:rPr>
                <w:kern w:val="24"/>
                <w:sz w:val="24"/>
                <w:lang w:val="zh-CN"/>
              </w:rPr>
              <w:t>—噪声源在预测点的声压级，dB(A)；</w:t>
            </w:r>
          </w:p>
          <w:p>
            <w:pPr>
              <w:widowControl/>
              <w:spacing w:line="360" w:lineRule="auto"/>
              <w:ind w:firstLine="480" w:firstLineChars="200"/>
              <w:rPr>
                <w:kern w:val="24"/>
                <w:sz w:val="24"/>
                <w:lang w:val="zh-CN"/>
              </w:rPr>
            </w:pPr>
            <w:r>
              <w:rPr>
                <w:i/>
                <w:kern w:val="24"/>
                <w:sz w:val="24"/>
                <w:lang w:val="zh-CN"/>
              </w:rPr>
              <w:t>L</w:t>
            </w:r>
            <w:r>
              <w:rPr>
                <w:i/>
                <w:kern w:val="24"/>
                <w:sz w:val="24"/>
                <w:vertAlign w:val="subscript"/>
                <w:lang w:val="zh-CN"/>
              </w:rPr>
              <w:t>p</w:t>
            </w:r>
            <w:r>
              <w:rPr>
                <w:i/>
                <w:kern w:val="24"/>
                <w:sz w:val="24"/>
                <w:lang w:val="zh-CN"/>
              </w:rPr>
              <w:t>(r</w:t>
            </w:r>
            <w:r>
              <w:rPr>
                <w:i/>
                <w:kern w:val="24"/>
                <w:sz w:val="24"/>
                <w:vertAlign w:val="subscript"/>
                <w:lang w:val="zh-CN"/>
              </w:rPr>
              <w:t>0</w:t>
            </w:r>
            <w:r>
              <w:rPr>
                <w:i/>
                <w:kern w:val="24"/>
                <w:sz w:val="24"/>
                <w:lang w:val="zh-CN"/>
              </w:rPr>
              <w:t>)</w:t>
            </w:r>
            <w:r>
              <w:rPr>
                <w:kern w:val="24"/>
                <w:sz w:val="24"/>
                <w:lang w:val="zh-CN"/>
              </w:rPr>
              <w:t>－参考位置</w:t>
            </w:r>
            <w:r>
              <w:rPr>
                <w:i/>
                <w:kern w:val="24"/>
                <w:sz w:val="24"/>
                <w:lang w:val="zh-CN"/>
              </w:rPr>
              <w:t>r</w:t>
            </w:r>
            <w:r>
              <w:rPr>
                <w:i/>
                <w:kern w:val="24"/>
                <w:sz w:val="24"/>
                <w:vertAlign w:val="subscript"/>
                <w:lang w:val="zh-CN"/>
              </w:rPr>
              <w:t>0</w:t>
            </w:r>
            <w:r>
              <w:rPr>
                <w:kern w:val="24"/>
                <w:sz w:val="24"/>
                <w:lang w:val="zh-CN"/>
              </w:rPr>
              <w:t>处的声压级，dB(A)；</w:t>
            </w:r>
          </w:p>
          <w:p>
            <w:pPr>
              <w:widowControl/>
              <w:spacing w:line="360" w:lineRule="auto"/>
              <w:ind w:firstLine="480" w:firstLineChars="200"/>
              <w:rPr>
                <w:kern w:val="24"/>
                <w:sz w:val="24"/>
                <w:lang w:val="zh-CN"/>
              </w:rPr>
            </w:pPr>
            <w:r>
              <w:rPr>
                <w:i/>
                <w:kern w:val="24"/>
                <w:sz w:val="24"/>
                <w:lang w:val="zh-CN"/>
              </w:rPr>
              <w:t>r</w:t>
            </w:r>
            <w:r>
              <w:rPr>
                <w:i/>
                <w:kern w:val="24"/>
                <w:sz w:val="24"/>
                <w:vertAlign w:val="subscript"/>
                <w:lang w:val="zh-CN"/>
              </w:rPr>
              <w:t>0</w:t>
            </w:r>
            <w:r>
              <w:rPr>
                <w:kern w:val="24"/>
                <w:sz w:val="24"/>
                <w:lang w:val="zh-CN"/>
              </w:rPr>
              <w:t>－参考位置距声源中心的位置，m；</w:t>
            </w:r>
          </w:p>
          <w:p>
            <w:pPr>
              <w:widowControl/>
              <w:spacing w:line="360" w:lineRule="auto"/>
              <w:ind w:firstLine="480" w:firstLineChars="200"/>
              <w:rPr>
                <w:kern w:val="24"/>
                <w:sz w:val="24"/>
                <w:lang w:val="zh-CN"/>
              </w:rPr>
            </w:pPr>
            <w:r>
              <w:rPr>
                <w:i/>
                <w:kern w:val="24"/>
                <w:sz w:val="24"/>
                <w:lang w:val="zh-CN"/>
              </w:rPr>
              <w:t>r</w:t>
            </w:r>
            <w:r>
              <w:rPr>
                <w:kern w:val="24"/>
                <w:sz w:val="24"/>
                <w:lang w:val="zh-CN"/>
              </w:rPr>
              <w:t>－声源中心至预测点的距离，m；</w:t>
            </w:r>
          </w:p>
          <w:p>
            <w:pPr>
              <w:adjustRightInd w:val="0"/>
              <w:snapToGrid w:val="0"/>
              <w:spacing w:line="360" w:lineRule="auto"/>
              <w:ind w:firstLine="464" w:firstLineChars="200"/>
              <w:rPr>
                <w:spacing w:val="-4"/>
                <w:sz w:val="24"/>
                <w:szCs w:val="20"/>
              </w:rPr>
            </w:pPr>
            <w:r>
              <w:rPr>
                <w:bCs/>
                <w:spacing w:val="-4"/>
                <w:sz w:val="24"/>
              </w:rPr>
              <w:t>（2）</w:t>
            </w:r>
            <w:r>
              <w:rPr>
                <w:spacing w:val="-4"/>
                <w:sz w:val="24"/>
              </w:rPr>
              <w:t>室内声源：</w:t>
            </w:r>
          </w:p>
          <w:p>
            <w:pPr>
              <w:widowControl/>
              <w:adjustRightInd w:val="0"/>
              <w:snapToGrid w:val="0"/>
              <w:spacing w:line="360" w:lineRule="auto"/>
              <w:ind w:firstLine="480" w:firstLineChars="200"/>
              <w:rPr>
                <w:sz w:val="24"/>
              </w:rPr>
            </w:pPr>
            <w:r>
              <w:rPr>
                <w:sz w:val="24"/>
              </w:rPr>
              <w:t>对于室内声源，可按下式计算：</w:t>
            </w:r>
          </w:p>
          <w:p>
            <w:pPr>
              <w:widowControl/>
              <w:adjustRightInd w:val="0"/>
              <w:snapToGrid w:val="0"/>
              <w:spacing w:line="360" w:lineRule="auto"/>
              <w:ind w:firstLine="480" w:firstLineChars="200"/>
              <w:jc w:val="center"/>
              <w:rPr>
                <w:sz w:val="24"/>
              </w:rPr>
            </w:pPr>
            <w:r>
              <w:rPr>
                <w:position w:val="-30"/>
                <w:sz w:val="24"/>
              </w:rPr>
              <w:drawing>
                <wp:inline distT="0" distB="0" distL="0" distR="0">
                  <wp:extent cx="2419350" cy="328930"/>
                  <wp:effectExtent l="0" t="0" r="0" b="14605"/>
                  <wp:docPr id="5" name="对象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对象 8"/>
                          <pic:cNvPicPr>
                            <a:picLocks noChangeAspect="1" noChangeArrowheads="1"/>
                          </pic:cNvPicPr>
                        </pic:nvPicPr>
                        <pic:blipFill>
                          <a:blip r:embed="rId13"/>
                          <a:srcRect/>
                          <a:stretch>
                            <a:fillRect/>
                          </a:stretch>
                        </pic:blipFill>
                        <pic:spPr>
                          <a:xfrm>
                            <a:off x="0" y="0"/>
                            <a:ext cx="2419350" cy="328930"/>
                          </a:xfrm>
                          <a:prstGeom prst="rect">
                            <a:avLst/>
                          </a:prstGeom>
                          <a:noFill/>
                          <a:ln w="9525">
                            <a:noFill/>
                            <a:miter lim="800000"/>
                            <a:headEnd/>
                            <a:tailEnd/>
                          </a:ln>
                        </pic:spPr>
                      </pic:pic>
                    </a:graphicData>
                  </a:graphic>
                </wp:inline>
              </w:drawing>
            </w:r>
          </w:p>
          <w:p>
            <w:pPr>
              <w:widowControl/>
              <w:adjustRightInd w:val="0"/>
              <w:snapToGrid w:val="0"/>
              <w:spacing w:line="360" w:lineRule="auto"/>
              <w:ind w:firstLine="480" w:firstLineChars="200"/>
              <w:rPr>
                <w:kern w:val="0"/>
                <w:sz w:val="24"/>
              </w:rPr>
            </w:pPr>
            <w:r>
              <w:rPr>
                <w:kern w:val="0"/>
                <w:sz w:val="24"/>
              </w:rPr>
              <w:t>式中：</w:t>
            </w:r>
          </w:p>
          <w:p>
            <w:pPr>
              <w:widowControl/>
              <w:adjustRightInd w:val="0"/>
              <w:snapToGrid w:val="0"/>
              <w:spacing w:line="360" w:lineRule="auto"/>
              <w:ind w:firstLine="480" w:firstLineChars="200"/>
              <w:rPr>
                <w:kern w:val="0"/>
                <w:sz w:val="24"/>
              </w:rPr>
            </w:pPr>
            <w:r>
              <w:rPr>
                <w:kern w:val="0"/>
                <w:sz w:val="24"/>
              </w:rPr>
              <w:t>L</w:t>
            </w:r>
            <w:r>
              <w:rPr>
                <w:kern w:val="0"/>
                <w:sz w:val="24"/>
                <w:vertAlign w:val="subscript"/>
              </w:rPr>
              <w:t>P</w:t>
            </w:r>
            <w:r>
              <w:rPr>
                <w:kern w:val="0"/>
                <w:sz w:val="24"/>
              </w:rPr>
              <w:t>(r)为预测点的声压级（dB(A)）；</w:t>
            </w:r>
          </w:p>
          <w:p>
            <w:pPr>
              <w:widowControl/>
              <w:adjustRightInd w:val="0"/>
              <w:snapToGrid w:val="0"/>
              <w:spacing w:line="360" w:lineRule="auto"/>
              <w:ind w:firstLine="480" w:firstLineChars="200"/>
              <w:rPr>
                <w:kern w:val="0"/>
                <w:sz w:val="24"/>
              </w:rPr>
            </w:pPr>
            <w:r>
              <w:rPr>
                <w:kern w:val="0"/>
                <w:sz w:val="24"/>
              </w:rPr>
              <w:t>L</w:t>
            </w:r>
            <w:r>
              <w:rPr>
                <w:kern w:val="0"/>
                <w:sz w:val="24"/>
                <w:vertAlign w:val="subscript"/>
              </w:rPr>
              <w:t>P0</w:t>
            </w:r>
            <w:r>
              <w:rPr>
                <w:kern w:val="0"/>
                <w:sz w:val="24"/>
              </w:rPr>
              <w:t>为点声源在r</w:t>
            </w:r>
            <w:r>
              <w:rPr>
                <w:kern w:val="0"/>
                <w:sz w:val="24"/>
                <w:vertAlign w:val="subscript"/>
              </w:rPr>
              <w:t>0</w:t>
            </w:r>
            <w:r>
              <w:rPr>
                <w:kern w:val="0"/>
                <w:sz w:val="24"/>
              </w:rPr>
              <w:t>(m)距离处测定的声压级（dB(A)）；</w:t>
            </w:r>
          </w:p>
          <w:p>
            <w:pPr>
              <w:widowControl/>
              <w:adjustRightInd w:val="0"/>
              <w:snapToGrid w:val="0"/>
              <w:spacing w:line="360" w:lineRule="auto"/>
              <w:ind w:firstLine="480" w:firstLineChars="200"/>
              <w:rPr>
                <w:sz w:val="24"/>
              </w:rPr>
            </w:pPr>
            <w:r>
              <w:rPr>
                <w:sz w:val="24"/>
              </w:rPr>
              <w:t>TL为围护结构的平均隔声量，一般车间墙、窗组合结构取</w:t>
            </w:r>
            <w:r>
              <w:rPr>
                <w:i/>
                <w:sz w:val="24"/>
              </w:rPr>
              <w:t>TL</w:t>
            </w:r>
            <w:r>
              <w:rPr>
                <w:sz w:val="24"/>
              </w:rPr>
              <w:t>=25dB(A)，如果采用双层玻璃窗或通风隔声窗，</w:t>
            </w:r>
            <w:r>
              <w:rPr>
                <w:i/>
                <w:sz w:val="24"/>
              </w:rPr>
              <w:t>TL</w:t>
            </w:r>
            <w:r>
              <w:rPr>
                <w:sz w:val="24"/>
              </w:rPr>
              <w:t>=30dB(A)；本项目取25dB(A)。</w:t>
            </w:r>
          </w:p>
          <w:p>
            <w:pPr>
              <w:widowControl/>
              <w:adjustRightInd w:val="0"/>
              <w:snapToGrid w:val="0"/>
              <w:spacing w:line="360" w:lineRule="auto"/>
              <w:ind w:firstLine="480" w:firstLineChars="200"/>
              <w:rPr>
                <w:kern w:val="0"/>
                <w:sz w:val="24"/>
              </w:rPr>
            </w:pPr>
            <w:r>
              <w:rPr>
                <w:kern w:val="0"/>
                <w:sz w:val="24"/>
              </w:rPr>
              <w:t>α为吸声系数；对一般机械车间，取0.15。</w:t>
            </w:r>
          </w:p>
          <w:p>
            <w:pPr>
              <w:widowControl/>
              <w:spacing w:line="360" w:lineRule="auto"/>
              <w:ind w:firstLine="480" w:firstLineChars="200"/>
              <w:rPr>
                <w:bCs/>
                <w:sz w:val="24"/>
              </w:rPr>
            </w:pPr>
            <w:r>
              <w:rPr>
                <w:bCs/>
                <w:sz w:val="24"/>
              </w:rPr>
              <w:t>（3）噪声叠加计算模式</w:t>
            </w:r>
          </w:p>
          <w:p>
            <w:pPr>
              <w:spacing w:line="360" w:lineRule="auto"/>
              <w:ind w:firstLine="480" w:firstLineChars="200"/>
              <w:jc w:val="center"/>
              <w:rPr>
                <w:bCs/>
                <w:sz w:val="24"/>
              </w:rPr>
            </w:pPr>
            <w:r>
              <w:rPr>
                <w:bCs/>
                <w:position w:val="-28"/>
                <w:sz w:val="24"/>
              </w:rPr>
              <w:drawing>
                <wp:inline distT="0" distB="0" distL="0" distR="0">
                  <wp:extent cx="1666875" cy="46672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srcRect/>
                          <a:stretch>
                            <a:fillRect/>
                          </a:stretch>
                        </pic:blipFill>
                        <pic:spPr>
                          <a:xfrm>
                            <a:off x="0" y="0"/>
                            <a:ext cx="1666875" cy="466725"/>
                          </a:xfrm>
                          <a:prstGeom prst="rect">
                            <a:avLst/>
                          </a:prstGeom>
                          <a:noFill/>
                          <a:ln w="9525">
                            <a:noFill/>
                            <a:miter lim="800000"/>
                            <a:headEnd/>
                            <a:tailEnd/>
                          </a:ln>
                        </pic:spPr>
                      </pic:pic>
                    </a:graphicData>
                  </a:graphic>
                </wp:inline>
              </w:drawing>
            </w:r>
          </w:p>
          <w:p>
            <w:pPr>
              <w:spacing w:line="360" w:lineRule="auto"/>
              <w:ind w:firstLine="480" w:firstLineChars="200"/>
              <w:rPr>
                <w:bCs/>
                <w:sz w:val="24"/>
              </w:rPr>
            </w:pPr>
            <w:r>
              <w:rPr>
                <w:bCs/>
                <w:sz w:val="24"/>
                <w:lang w:val="de-DE"/>
              </w:rPr>
              <w:t>式中：L—叠加后总声压级，</w:t>
            </w:r>
            <w:r>
              <w:rPr>
                <w:bCs/>
                <w:sz w:val="24"/>
              </w:rPr>
              <w:t>dB(A)；</w:t>
            </w:r>
          </w:p>
          <w:p>
            <w:pPr>
              <w:spacing w:line="360" w:lineRule="auto"/>
              <w:ind w:firstLine="1200" w:firstLineChars="500"/>
              <w:rPr>
                <w:bCs/>
                <w:sz w:val="24"/>
              </w:rPr>
            </w:pPr>
            <w:r>
              <w:rPr>
                <w:bCs/>
                <w:sz w:val="24"/>
              </w:rPr>
              <w:t>N—声源个数。</w:t>
            </w:r>
          </w:p>
          <w:p>
            <w:pPr>
              <w:keepNext/>
              <w:keepLines/>
              <w:widowControl/>
              <w:spacing w:line="360" w:lineRule="auto"/>
              <w:ind w:firstLine="562"/>
              <w:outlineLvl w:val="3"/>
              <w:rPr>
                <w:bCs/>
                <w:sz w:val="24"/>
                <w:szCs w:val="28"/>
              </w:rPr>
            </w:pPr>
            <w:bookmarkStart w:id="22" w:name="_Toc354410357"/>
            <w:bookmarkStart w:id="23" w:name="_Toc267654011"/>
            <w:bookmarkStart w:id="24" w:name="_Toc281568990"/>
            <w:bookmarkStart w:id="25" w:name="_Toc278378052"/>
            <w:bookmarkStart w:id="26" w:name="_Toc264205435"/>
            <w:bookmarkStart w:id="27" w:name="_Toc265835462"/>
            <w:r>
              <w:rPr>
                <w:bCs/>
                <w:sz w:val="24"/>
                <w:szCs w:val="28"/>
              </w:rPr>
              <w:t>（三）厂界噪声预测结果与评价</w:t>
            </w:r>
            <w:bookmarkEnd w:id="22"/>
            <w:bookmarkEnd w:id="23"/>
            <w:bookmarkEnd w:id="24"/>
            <w:bookmarkEnd w:id="25"/>
            <w:bookmarkEnd w:id="26"/>
            <w:bookmarkEnd w:id="27"/>
          </w:p>
          <w:p>
            <w:pPr>
              <w:widowControl/>
              <w:spacing w:line="360" w:lineRule="auto"/>
              <w:ind w:firstLine="480" w:firstLineChars="200"/>
              <w:rPr>
                <w:bCs/>
                <w:spacing w:val="-4"/>
                <w:sz w:val="24"/>
              </w:rPr>
            </w:pPr>
            <w:r>
              <w:rPr>
                <w:rFonts w:hint="eastAsia"/>
                <w:sz w:val="24"/>
              </w:rPr>
              <w:t>本项目</w:t>
            </w:r>
            <w:r>
              <w:rPr>
                <w:sz w:val="24"/>
              </w:rPr>
              <w:t>运营时对各厂界噪声贡献值及敏感点噪声预测值见表</w:t>
            </w:r>
            <w:r>
              <w:rPr>
                <w:rFonts w:hint="eastAsia"/>
                <w:sz w:val="24"/>
              </w:rPr>
              <w:t>33</w:t>
            </w:r>
            <w:r>
              <w:rPr>
                <w:bCs/>
                <w:spacing w:val="-4"/>
                <w:sz w:val="24"/>
              </w:rPr>
              <w:t>。</w:t>
            </w:r>
          </w:p>
          <w:p>
            <w:pPr>
              <w:jc w:val="center"/>
              <w:rPr>
                <w:b/>
                <w:snapToGrid w:val="0"/>
                <w:szCs w:val="21"/>
              </w:rPr>
            </w:pPr>
            <w:r>
              <w:rPr>
                <w:b/>
                <w:snapToGrid w:val="0"/>
                <w:szCs w:val="21"/>
              </w:rPr>
              <w:t>表</w:t>
            </w:r>
            <w:r>
              <w:rPr>
                <w:rFonts w:hint="eastAsia"/>
                <w:b/>
                <w:snapToGrid w:val="0"/>
                <w:szCs w:val="21"/>
              </w:rPr>
              <w:t>33</w:t>
            </w:r>
            <w:r>
              <w:rPr>
                <w:b/>
                <w:snapToGrid w:val="0"/>
                <w:szCs w:val="21"/>
              </w:rPr>
              <w:t xml:space="preserve">  评价范围内噪声预测结果</w:t>
            </w:r>
            <w:r>
              <w:rPr>
                <w:rFonts w:hint="eastAsia"/>
                <w:b/>
                <w:snapToGrid w:val="0"/>
                <w:szCs w:val="21"/>
              </w:rPr>
              <w:t xml:space="preserve">     </w:t>
            </w:r>
            <w:r>
              <w:rPr>
                <w:b/>
                <w:snapToGrid w:val="0"/>
                <w:szCs w:val="21"/>
              </w:rPr>
              <w:t>单位：dB(A)</w:t>
            </w:r>
          </w:p>
          <w:tbl>
            <w:tblPr>
              <w:tblStyle w:val="19"/>
              <w:tblW w:w="499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7"/>
              <w:gridCol w:w="1233"/>
              <w:gridCol w:w="1032"/>
              <w:gridCol w:w="1775"/>
              <w:gridCol w:w="1248"/>
              <w:gridCol w:w="1213"/>
              <w:gridCol w:w="14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79" w:type="pct"/>
                  <w:vAlign w:val="center"/>
                </w:tcPr>
                <w:p>
                  <w:pPr>
                    <w:widowControl/>
                    <w:jc w:val="center"/>
                    <w:rPr>
                      <w:szCs w:val="21"/>
                    </w:rPr>
                  </w:pPr>
                  <w:r>
                    <w:rPr>
                      <w:szCs w:val="21"/>
                    </w:rPr>
                    <w:t>序号</w:t>
                  </w:r>
                </w:p>
              </w:tc>
              <w:tc>
                <w:tcPr>
                  <w:tcW w:w="1253" w:type="pct"/>
                  <w:gridSpan w:val="2"/>
                  <w:vAlign w:val="center"/>
                </w:tcPr>
                <w:p>
                  <w:pPr>
                    <w:widowControl/>
                    <w:jc w:val="center"/>
                    <w:rPr>
                      <w:szCs w:val="21"/>
                    </w:rPr>
                  </w:pPr>
                  <w:r>
                    <w:rPr>
                      <w:szCs w:val="21"/>
                    </w:rPr>
                    <w:t>预测点位</w:t>
                  </w:r>
                </w:p>
              </w:tc>
              <w:tc>
                <w:tcPr>
                  <w:tcW w:w="982" w:type="pct"/>
                  <w:vAlign w:val="center"/>
                </w:tcPr>
                <w:p>
                  <w:pPr>
                    <w:widowControl/>
                    <w:jc w:val="center"/>
                    <w:rPr>
                      <w:szCs w:val="21"/>
                    </w:rPr>
                  </w:pPr>
                  <w:r>
                    <w:rPr>
                      <w:szCs w:val="21"/>
                    </w:rPr>
                    <w:t>厂界噪声最大贡献值</w:t>
                  </w:r>
                </w:p>
              </w:tc>
              <w:tc>
                <w:tcPr>
                  <w:tcW w:w="690" w:type="pct"/>
                  <w:vAlign w:val="center"/>
                </w:tcPr>
                <w:p>
                  <w:pPr>
                    <w:widowControl/>
                    <w:jc w:val="center"/>
                    <w:rPr>
                      <w:szCs w:val="21"/>
                    </w:rPr>
                  </w:pPr>
                  <w:r>
                    <w:rPr>
                      <w:rFonts w:hint="eastAsia"/>
                      <w:szCs w:val="21"/>
                    </w:rPr>
                    <w:t>叠加值</w:t>
                  </w:r>
                </w:p>
              </w:tc>
              <w:tc>
                <w:tcPr>
                  <w:tcW w:w="671" w:type="pct"/>
                  <w:vAlign w:val="center"/>
                </w:tcPr>
                <w:p>
                  <w:pPr>
                    <w:widowControl/>
                    <w:jc w:val="center"/>
                    <w:rPr>
                      <w:szCs w:val="21"/>
                    </w:rPr>
                  </w:pPr>
                  <w:r>
                    <w:rPr>
                      <w:szCs w:val="21"/>
                    </w:rPr>
                    <w:t>标准值</w:t>
                  </w:r>
                </w:p>
              </w:tc>
              <w:tc>
                <w:tcPr>
                  <w:tcW w:w="822" w:type="pct"/>
                  <w:vAlign w:val="center"/>
                </w:tcPr>
                <w:p>
                  <w:pPr>
                    <w:widowControl/>
                    <w:jc w:val="center"/>
                    <w:rPr>
                      <w:szCs w:val="21"/>
                    </w:rPr>
                  </w:pPr>
                  <w:r>
                    <w:rPr>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79" w:type="pct"/>
                  <w:vAlign w:val="center"/>
                </w:tcPr>
                <w:p>
                  <w:pPr>
                    <w:widowControl/>
                    <w:jc w:val="center"/>
                    <w:rPr>
                      <w:szCs w:val="21"/>
                    </w:rPr>
                  </w:pPr>
                  <w:r>
                    <w:rPr>
                      <w:szCs w:val="21"/>
                    </w:rPr>
                    <w:t>1</w:t>
                  </w:r>
                </w:p>
              </w:tc>
              <w:tc>
                <w:tcPr>
                  <w:tcW w:w="682" w:type="pct"/>
                  <w:vAlign w:val="center"/>
                </w:tcPr>
                <w:p>
                  <w:pPr>
                    <w:widowControl/>
                    <w:jc w:val="center"/>
                    <w:rPr>
                      <w:szCs w:val="21"/>
                    </w:rPr>
                  </w:pPr>
                  <w:r>
                    <w:rPr>
                      <w:szCs w:val="21"/>
                    </w:rPr>
                    <w:t>东厂界</w:t>
                  </w:r>
                </w:p>
              </w:tc>
              <w:tc>
                <w:tcPr>
                  <w:tcW w:w="571" w:type="pct"/>
                  <w:vAlign w:val="center"/>
                </w:tcPr>
                <w:p>
                  <w:pPr>
                    <w:widowControl/>
                    <w:jc w:val="center"/>
                    <w:rPr>
                      <w:szCs w:val="21"/>
                    </w:rPr>
                  </w:pPr>
                  <w:r>
                    <w:rPr>
                      <w:szCs w:val="21"/>
                    </w:rPr>
                    <w:t>昼间</w:t>
                  </w:r>
                </w:p>
              </w:tc>
              <w:tc>
                <w:tcPr>
                  <w:tcW w:w="982" w:type="pct"/>
                  <w:vAlign w:val="center"/>
                </w:tcPr>
                <w:p>
                  <w:pPr>
                    <w:jc w:val="center"/>
                    <w:rPr>
                      <w:szCs w:val="21"/>
                    </w:rPr>
                  </w:pPr>
                  <w:r>
                    <w:rPr>
                      <w:szCs w:val="21"/>
                    </w:rPr>
                    <w:t>35.2</w:t>
                  </w:r>
                </w:p>
              </w:tc>
              <w:tc>
                <w:tcPr>
                  <w:tcW w:w="690" w:type="pct"/>
                  <w:vAlign w:val="center"/>
                </w:tcPr>
                <w:p>
                  <w:pPr>
                    <w:widowControl/>
                    <w:jc w:val="center"/>
                    <w:rPr>
                      <w:szCs w:val="21"/>
                    </w:rPr>
                  </w:pPr>
                  <w:r>
                    <w:rPr>
                      <w:rFonts w:hint="eastAsia"/>
                      <w:szCs w:val="21"/>
                    </w:rPr>
                    <w:t>51.11</w:t>
                  </w:r>
                </w:p>
              </w:tc>
              <w:tc>
                <w:tcPr>
                  <w:tcW w:w="671" w:type="pct"/>
                  <w:vAlign w:val="center"/>
                </w:tcPr>
                <w:p>
                  <w:pPr>
                    <w:widowControl/>
                    <w:jc w:val="center"/>
                    <w:rPr>
                      <w:szCs w:val="21"/>
                    </w:rPr>
                  </w:pPr>
                  <w:r>
                    <w:rPr>
                      <w:szCs w:val="21"/>
                    </w:rPr>
                    <w:t>60</w:t>
                  </w:r>
                </w:p>
              </w:tc>
              <w:tc>
                <w:tcPr>
                  <w:tcW w:w="822" w:type="pct"/>
                  <w:vAlign w:val="center"/>
                </w:tcPr>
                <w:p>
                  <w:pPr>
                    <w:widowControl/>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79" w:type="pct"/>
                  <w:vAlign w:val="center"/>
                </w:tcPr>
                <w:p>
                  <w:pPr>
                    <w:widowControl/>
                    <w:jc w:val="center"/>
                    <w:rPr>
                      <w:szCs w:val="21"/>
                    </w:rPr>
                  </w:pPr>
                  <w:r>
                    <w:rPr>
                      <w:szCs w:val="21"/>
                    </w:rPr>
                    <w:t>2</w:t>
                  </w:r>
                </w:p>
              </w:tc>
              <w:tc>
                <w:tcPr>
                  <w:tcW w:w="682" w:type="pct"/>
                  <w:vAlign w:val="center"/>
                </w:tcPr>
                <w:p>
                  <w:pPr>
                    <w:widowControl/>
                    <w:jc w:val="center"/>
                    <w:rPr>
                      <w:szCs w:val="21"/>
                    </w:rPr>
                  </w:pPr>
                  <w:r>
                    <w:rPr>
                      <w:szCs w:val="21"/>
                    </w:rPr>
                    <w:t>南厂界</w:t>
                  </w:r>
                </w:p>
              </w:tc>
              <w:tc>
                <w:tcPr>
                  <w:tcW w:w="571" w:type="pct"/>
                  <w:vAlign w:val="center"/>
                </w:tcPr>
                <w:p>
                  <w:pPr>
                    <w:widowControl/>
                    <w:jc w:val="center"/>
                    <w:rPr>
                      <w:szCs w:val="21"/>
                    </w:rPr>
                  </w:pPr>
                  <w:r>
                    <w:rPr>
                      <w:szCs w:val="21"/>
                    </w:rPr>
                    <w:t>昼间</w:t>
                  </w:r>
                </w:p>
              </w:tc>
              <w:tc>
                <w:tcPr>
                  <w:tcW w:w="982" w:type="pct"/>
                  <w:vAlign w:val="center"/>
                </w:tcPr>
                <w:p>
                  <w:pPr>
                    <w:jc w:val="center"/>
                    <w:rPr>
                      <w:szCs w:val="21"/>
                    </w:rPr>
                  </w:pPr>
                  <w:r>
                    <w:rPr>
                      <w:rFonts w:hint="eastAsia"/>
                      <w:szCs w:val="21"/>
                    </w:rPr>
                    <w:t>48.9</w:t>
                  </w:r>
                </w:p>
              </w:tc>
              <w:tc>
                <w:tcPr>
                  <w:tcW w:w="690" w:type="pct"/>
                  <w:vAlign w:val="center"/>
                </w:tcPr>
                <w:p>
                  <w:pPr>
                    <w:widowControl/>
                    <w:jc w:val="center"/>
                    <w:rPr>
                      <w:szCs w:val="21"/>
                    </w:rPr>
                  </w:pPr>
                  <w:r>
                    <w:rPr>
                      <w:rFonts w:hint="eastAsia"/>
                      <w:szCs w:val="21"/>
                    </w:rPr>
                    <w:t>51.48</w:t>
                  </w:r>
                </w:p>
              </w:tc>
              <w:tc>
                <w:tcPr>
                  <w:tcW w:w="671" w:type="pct"/>
                  <w:vAlign w:val="center"/>
                </w:tcPr>
                <w:p>
                  <w:pPr>
                    <w:widowControl/>
                    <w:jc w:val="center"/>
                    <w:rPr>
                      <w:szCs w:val="21"/>
                    </w:rPr>
                  </w:pPr>
                  <w:r>
                    <w:rPr>
                      <w:szCs w:val="21"/>
                    </w:rPr>
                    <w:t>60</w:t>
                  </w:r>
                </w:p>
              </w:tc>
              <w:tc>
                <w:tcPr>
                  <w:tcW w:w="822" w:type="pct"/>
                  <w:vAlign w:val="center"/>
                </w:tcPr>
                <w:p>
                  <w:pPr>
                    <w:widowControl/>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79" w:type="pct"/>
                  <w:vAlign w:val="center"/>
                </w:tcPr>
                <w:p>
                  <w:pPr>
                    <w:widowControl/>
                    <w:jc w:val="center"/>
                    <w:rPr>
                      <w:szCs w:val="21"/>
                    </w:rPr>
                  </w:pPr>
                  <w:r>
                    <w:rPr>
                      <w:szCs w:val="21"/>
                    </w:rPr>
                    <w:t>3</w:t>
                  </w:r>
                </w:p>
              </w:tc>
              <w:tc>
                <w:tcPr>
                  <w:tcW w:w="682" w:type="pct"/>
                  <w:vAlign w:val="center"/>
                </w:tcPr>
                <w:p>
                  <w:pPr>
                    <w:widowControl/>
                    <w:jc w:val="center"/>
                    <w:rPr>
                      <w:szCs w:val="21"/>
                    </w:rPr>
                  </w:pPr>
                  <w:r>
                    <w:rPr>
                      <w:szCs w:val="21"/>
                    </w:rPr>
                    <w:t>西厂界</w:t>
                  </w:r>
                </w:p>
              </w:tc>
              <w:tc>
                <w:tcPr>
                  <w:tcW w:w="571" w:type="pct"/>
                  <w:vAlign w:val="center"/>
                </w:tcPr>
                <w:p>
                  <w:pPr>
                    <w:widowControl/>
                    <w:jc w:val="center"/>
                    <w:rPr>
                      <w:szCs w:val="21"/>
                    </w:rPr>
                  </w:pPr>
                  <w:r>
                    <w:rPr>
                      <w:szCs w:val="21"/>
                    </w:rPr>
                    <w:t>昼间</w:t>
                  </w:r>
                </w:p>
              </w:tc>
              <w:tc>
                <w:tcPr>
                  <w:tcW w:w="982" w:type="pct"/>
                  <w:vAlign w:val="center"/>
                </w:tcPr>
                <w:p>
                  <w:pPr>
                    <w:jc w:val="center"/>
                    <w:rPr>
                      <w:szCs w:val="21"/>
                    </w:rPr>
                  </w:pPr>
                  <w:r>
                    <w:rPr>
                      <w:rFonts w:hint="eastAsia"/>
                      <w:szCs w:val="21"/>
                    </w:rPr>
                    <w:t>39</w:t>
                  </w:r>
                  <w:r>
                    <w:rPr>
                      <w:szCs w:val="21"/>
                    </w:rPr>
                    <w:t>.6</w:t>
                  </w:r>
                </w:p>
              </w:tc>
              <w:tc>
                <w:tcPr>
                  <w:tcW w:w="690" w:type="pct"/>
                  <w:vAlign w:val="center"/>
                </w:tcPr>
                <w:p>
                  <w:pPr>
                    <w:widowControl/>
                    <w:jc w:val="center"/>
                    <w:rPr>
                      <w:szCs w:val="21"/>
                    </w:rPr>
                  </w:pPr>
                  <w:r>
                    <w:rPr>
                      <w:rFonts w:hint="eastAsia"/>
                      <w:szCs w:val="21"/>
                    </w:rPr>
                    <w:t>50.38</w:t>
                  </w:r>
                </w:p>
              </w:tc>
              <w:tc>
                <w:tcPr>
                  <w:tcW w:w="671" w:type="pct"/>
                  <w:vAlign w:val="center"/>
                </w:tcPr>
                <w:p>
                  <w:pPr>
                    <w:widowControl/>
                    <w:jc w:val="center"/>
                    <w:rPr>
                      <w:szCs w:val="21"/>
                    </w:rPr>
                  </w:pPr>
                  <w:r>
                    <w:rPr>
                      <w:szCs w:val="21"/>
                    </w:rPr>
                    <w:t>60</w:t>
                  </w:r>
                </w:p>
              </w:tc>
              <w:tc>
                <w:tcPr>
                  <w:tcW w:w="822" w:type="pct"/>
                  <w:vAlign w:val="center"/>
                </w:tcPr>
                <w:p>
                  <w:pPr>
                    <w:widowControl/>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79" w:type="pct"/>
                  <w:vAlign w:val="center"/>
                </w:tcPr>
                <w:p>
                  <w:pPr>
                    <w:widowControl/>
                    <w:jc w:val="center"/>
                    <w:rPr>
                      <w:szCs w:val="21"/>
                    </w:rPr>
                  </w:pPr>
                  <w:r>
                    <w:rPr>
                      <w:szCs w:val="21"/>
                    </w:rPr>
                    <w:t>4</w:t>
                  </w:r>
                </w:p>
              </w:tc>
              <w:tc>
                <w:tcPr>
                  <w:tcW w:w="682" w:type="pct"/>
                  <w:vAlign w:val="center"/>
                </w:tcPr>
                <w:p>
                  <w:pPr>
                    <w:widowControl/>
                    <w:jc w:val="center"/>
                    <w:rPr>
                      <w:szCs w:val="21"/>
                    </w:rPr>
                  </w:pPr>
                  <w:r>
                    <w:rPr>
                      <w:szCs w:val="21"/>
                    </w:rPr>
                    <w:t>北厂界</w:t>
                  </w:r>
                </w:p>
              </w:tc>
              <w:tc>
                <w:tcPr>
                  <w:tcW w:w="571" w:type="pct"/>
                  <w:vAlign w:val="center"/>
                </w:tcPr>
                <w:p>
                  <w:pPr>
                    <w:widowControl/>
                    <w:jc w:val="center"/>
                    <w:rPr>
                      <w:szCs w:val="21"/>
                    </w:rPr>
                  </w:pPr>
                  <w:r>
                    <w:rPr>
                      <w:szCs w:val="21"/>
                    </w:rPr>
                    <w:t>昼间</w:t>
                  </w:r>
                </w:p>
              </w:tc>
              <w:tc>
                <w:tcPr>
                  <w:tcW w:w="982" w:type="pct"/>
                  <w:vAlign w:val="center"/>
                </w:tcPr>
                <w:p>
                  <w:pPr>
                    <w:jc w:val="center"/>
                    <w:rPr>
                      <w:szCs w:val="21"/>
                    </w:rPr>
                  </w:pPr>
                  <w:r>
                    <w:rPr>
                      <w:szCs w:val="21"/>
                    </w:rPr>
                    <w:t>4</w:t>
                  </w:r>
                  <w:r>
                    <w:rPr>
                      <w:rFonts w:hint="eastAsia"/>
                      <w:szCs w:val="21"/>
                    </w:rPr>
                    <w:t>5.8</w:t>
                  </w:r>
                </w:p>
              </w:tc>
              <w:tc>
                <w:tcPr>
                  <w:tcW w:w="690" w:type="pct"/>
                  <w:vAlign w:val="center"/>
                </w:tcPr>
                <w:p>
                  <w:pPr>
                    <w:widowControl/>
                    <w:jc w:val="center"/>
                    <w:rPr>
                      <w:szCs w:val="21"/>
                    </w:rPr>
                  </w:pPr>
                  <w:r>
                    <w:rPr>
                      <w:rFonts w:hint="eastAsia"/>
                      <w:szCs w:val="21"/>
                    </w:rPr>
                    <w:t>51.4</w:t>
                  </w:r>
                </w:p>
              </w:tc>
              <w:tc>
                <w:tcPr>
                  <w:tcW w:w="671" w:type="pct"/>
                  <w:vAlign w:val="center"/>
                </w:tcPr>
                <w:p>
                  <w:pPr>
                    <w:widowControl/>
                    <w:jc w:val="center"/>
                    <w:rPr>
                      <w:szCs w:val="21"/>
                    </w:rPr>
                  </w:pPr>
                  <w:r>
                    <w:rPr>
                      <w:szCs w:val="21"/>
                    </w:rPr>
                    <w:t>60</w:t>
                  </w:r>
                </w:p>
              </w:tc>
              <w:tc>
                <w:tcPr>
                  <w:tcW w:w="822" w:type="pct"/>
                  <w:vAlign w:val="center"/>
                </w:tcPr>
                <w:p>
                  <w:pPr>
                    <w:widowControl/>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79" w:type="pct"/>
                  <w:vAlign w:val="center"/>
                </w:tcPr>
                <w:p>
                  <w:pPr>
                    <w:widowControl/>
                    <w:jc w:val="center"/>
                    <w:rPr>
                      <w:szCs w:val="21"/>
                    </w:rPr>
                  </w:pPr>
                  <w:r>
                    <w:rPr>
                      <w:szCs w:val="21"/>
                    </w:rPr>
                    <w:t>5</w:t>
                  </w:r>
                </w:p>
              </w:tc>
              <w:tc>
                <w:tcPr>
                  <w:tcW w:w="682" w:type="pct"/>
                  <w:vAlign w:val="center"/>
                </w:tcPr>
                <w:p>
                  <w:pPr>
                    <w:widowControl/>
                    <w:jc w:val="center"/>
                    <w:rPr>
                      <w:szCs w:val="21"/>
                    </w:rPr>
                  </w:pPr>
                  <w:r>
                    <w:rPr>
                      <w:rFonts w:hint="eastAsia"/>
                      <w:szCs w:val="21"/>
                    </w:rPr>
                    <w:t>居民点</w:t>
                  </w:r>
                </w:p>
              </w:tc>
              <w:tc>
                <w:tcPr>
                  <w:tcW w:w="571" w:type="pct"/>
                  <w:vAlign w:val="center"/>
                </w:tcPr>
                <w:p>
                  <w:pPr>
                    <w:widowControl/>
                    <w:jc w:val="center"/>
                    <w:rPr>
                      <w:szCs w:val="21"/>
                    </w:rPr>
                  </w:pPr>
                  <w:r>
                    <w:rPr>
                      <w:szCs w:val="21"/>
                    </w:rPr>
                    <w:t>昼间</w:t>
                  </w:r>
                </w:p>
              </w:tc>
              <w:tc>
                <w:tcPr>
                  <w:tcW w:w="982" w:type="pct"/>
                  <w:vAlign w:val="center"/>
                </w:tcPr>
                <w:p>
                  <w:pPr>
                    <w:jc w:val="center"/>
                    <w:rPr>
                      <w:szCs w:val="21"/>
                    </w:rPr>
                  </w:pPr>
                  <w:r>
                    <w:rPr>
                      <w:rFonts w:hint="eastAsia"/>
                      <w:szCs w:val="21"/>
                    </w:rPr>
                    <w:t>34.8</w:t>
                  </w:r>
                </w:p>
              </w:tc>
              <w:tc>
                <w:tcPr>
                  <w:tcW w:w="690" w:type="pct"/>
                  <w:vAlign w:val="center"/>
                </w:tcPr>
                <w:p>
                  <w:pPr>
                    <w:widowControl/>
                    <w:jc w:val="center"/>
                    <w:rPr>
                      <w:szCs w:val="21"/>
                    </w:rPr>
                  </w:pPr>
                  <w:r>
                    <w:rPr>
                      <w:rFonts w:hint="eastAsia"/>
                      <w:szCs w:val="21"/>
                    </w:rPr>
                    <w:t>52.1</w:t>
                  </w:r>
                </w:p>
              </w:tc>
              <w:tc>
                <w:tcPr>
                  <w:tcW w:w="671" w:type="pct"/>
                  <w:vAlign w:val="center"/>
                </w:tcPr>
                <w:p>
                  <w:pPr>
                    <w:widowControl/>
                    <w:jc w:val="center"/>
                    <w:rPr>
                      <w:szCs w:val="21"/>
                    </w:rPr>
                  </w:pPr>
                  <w:r>
                    <w:rPr>
                      <w:szCs w:val="21"/>
                    </w:rPr>
                    <w:t>60</w:t>
                  </w:r>
                </w:p>
              </w:tc>
              <w:tc>
                <w:tcPr>
                  <w:tcW w:w="822" w:type="pct"/>
                  <w:vAlign w:val="center"/>
                </w:tcPr>
                <w:p>
                  <w:pPr>
                    <w:widowControl/>
                    <w:jc w:val="center"/>
                    <w:rPr>
                      <w:szCs w:val="21"/>
                    </w:rPr>
                  </w:pPr>
                  <w:r>
                    <w:rPr>
                      <w:szCs w:val="21"/>
                    </w:rPr>
                    <w:t>达标</w:t>
                  </w:r>
                </w:p>
              </w:tc>
            </w:tr>
          </w:tbl>
          <w:p>
            <w:pPr>
              <w:widowControl/>
              <w:adjustRightInd w:val="0"/>
              <w:snapToGrid w:val="0"/>
              <w:spacing w:line="360" w:lineRule="auto"/>
              <w:ind w:firstLine="420" w:firstLineChars="200"/>
              <w:rPr>
                <w:b/>
                <w:bCs/>
                <w:kern w:val="24"/>
                <w:szCs w:val="21"/>
              </w:rPr>
            </w:pPr>
            <w:r>
              <w:rPr>
                <w:rFonts w:hint="eastAsia"/>
                <w:b/>
                <w:bCs/>
                <w:kern w:val="24"/>
                <w:szCs w:val="21"/>
              </w:rPr>
              <w:t>注：夜间不生产。</w:t>
            </w:r>
          </w:p>
          <w:p>
            <w:pPr>
              <w:widowControl/>
              <w:spacing w:line="360" w:lineRule="auto"/>
              <w:ind w:firstLine="480" w:firstLineChars="200"/>
              <w:rPr>
                <w:b/>
                <w:bCs/>
                <w:kern w:val="24"/>
                <w:sz w:val="24"/>
              </w:rPr>
            </w:pPr>
            <w:r>
              <w:rPr>
                <w:kern w:val="24"/>
                <w:sz w:val="24"/>
              </w:rPr>
              <w:t>由预测结果可见，在采取措施后，本项目</w:t>
            </w:r>
            <w:r>
              <w:rPr>
                <w:rFonts w:hint="eastAsia"/>
                <w:kern w:val="24"/>
                <w:sz w:val="24"/>
              </w:rPr>
              <w:t>各厂界及敏感点噪声值</w:t>
            </w:r>
            <w:r>
              <w:rPr>
                <w:kern w:val="24"/>
                <w:sz w:val="24"/>
              </w:rPr>
              <w:t>均满足《工业企业厂界环境噪声排放标准》（GB12348-2008）对应的2类区标准限值</w:t>
            </w:r>
            <w:r>
              <w:rPr>
                <w:rFonts w:hint="eastAsia"/>
                <w:kern w:val="24"/>
                <w:sz w:val="24"/>
              </w:rPr>
              <w:t>要求</w:t>
            </w:r>
            <w:r>
              <w:rPr>
                <w:sz w:val="24"/>
              </w:rPr>
              <w:t>。</w:t>
            </w:r>
          </w:p>
          <w:p>
            <w:pPr>
              <w:spacing w:line="360" w:lineRule="auto"/>
              <w:ind w:firstLine="480" w:firstLineChars="200"/>
              <w:rPr>
                <w:sz w:val="24"/>
              </w:rPr>
            </w:pPr>
            <w:r>
              <w:rPr>
                <w:sz w:val="24"/>
              </w:rPr>
              <w:t>为进一步减小项目噪声对厂界及区域环境的影响，建议采取以下防治措施：</w:t>
            </w:r>
          </w:p>
          <w:p>
            <w:pPr>
              <w:spacing w:line="360" w:lineRule="auto"/>
              <w:ind w:firstLine="480" w:firstLineChars="200"/>
              <w:rPr>
                <w:sz w:val="24"/>
              </w:rPr>
            </w:pPr>
            <w:r>
              <w:rPr>
                <w:sz w:val="24"/>
              </w:rPr>
              <w:t>加强管理，降低人为噪声。从管理方面看，可通过加强以下几方面工作，以减少设备噪声对周围声环境的污染。</w:t>
            </w:r>
          </w:p>
          <w:p>
            <w:pPr>
              <w:spacing w:line="360" w:lineRule="auto"/>
              <w:ind w:firstLine="480" w:firstLineChars="200"/>
              <w:rPr>
                <w:sz w:val="24"/>
              </w:rPr>
            </w:pPr>
            <w:r>
              <w:rPr>
                <w:rFonts w:hint="eastAsia" w:ascii="宋体" w:hAnsi="宋体" w:cs="宋体"/>
                <w:sz w:val="24"/>
              </w:rPr>
              <w:t>①</w:t>
            </w:r>
            <w:r>
              <w:rPr>
                <w:sz w:val="24"/>
              </w:rPr>
              <w:t>建立设备定期维护、保养的管理制度，以防止设备故障形成的非正常生产噪声。</w:t>
            </w:r>
          </w:p>
          <w:p>
            <w:pPr>
              <w:spacing w:line="360" w:lineRule="auto"/>
              <w:ind w:firstLine="480" w:firstLineChars="200"/>
              <w:rPr>
                <w:sz w:val="24"/>
              </w:rPr>
            </w:pPr>
            <w:r>
              <w:rPr>
                <w:rFonts w:hint="eastAsia" w:ascii="宋体" w:hAnsi="宋体" w:cs="宋体"/>
                <w:sz w:val="24"/>
              </w:rPr>
              <w:t>②</w:t>
            </w:r>
            <w:r>
              <w:rPr>
                <w:sz w:val="24"/>
              </w:rPr>
              <w:t>加强职工环保意识教育，提倡文明生产，防止人为噪声。</w:t>
            </w:r>
          </w:p>
          <w:p>
            <w:pPr>
              <w:spacing w:line="360" w:lineRule="auto"/>
              <w:ind w:firstLine="480" w:firstLineChars="200"/>
              <w:rPr>
                <w:sz w:val="24"/>
              </w:rPr>
            </w:pPr>
            <w:r>
              <w:rPr>
                <w:rFonts w:hint="eastAsia" w:ascii="宋体" w:hAnsi="宋体" w:cs="宋体"/>
                <w:sz w:val="24"/>
              </w:rPr>
              <w:t>③</w:t>
            </w:r>
            <w:r>
              <w:rPr>
                <w:sz w:val="24"/>
              </w:rPr>
              <w:t>对于流动声源（汽车），要求驾驶员加强环保意识，尽可能减少鸣笛次数，特别是行驶车辆经过居住点等敏感区域时，更应注意减少交通噪声影响。</w:t>
            </w:r>
          </w:p>
          <w:p>
            <w:pPr>
              <w:spacing w:line="360" w:lineRule="auto"/>
              <w:ind w:firstLine="470" w:firstLineChars="196"/>
              <w:rPr>
                <w:b/>
                <w:sz w:val="24"/>
              </w:rPr>
            </w:pPr>
            <w:r>
              <w:rPr>
                <w:b/>
                <w:sz w:val="24"/>
              </w:rPr>
              <w:t>4、固体废物影响分析</w:t>
            </w:r>
          </w:p>
          <w:p>
            <w:pPr>
              <w:spacing w:line="360" w:lineRule="auto"/>
              <w:ind w:firstLine="480" w:firstLineChars="200"/>
              <w:rPr>
                <w:kern w:val="0"/>
                <w:sz w:val="24"/>
                <w:szCs w:val="20"/>
              </w:rPr>
            </w:pPr>
            <w:r>
              <w:rPr>
                <w:kern w:val="0"/>
                <w:sz w:val="24"/>
                <w:szCs w:val="20"/>
              </w:rPr>
              <w:t>本项目产生的固废主要为</w:t>
            </w:r>
            <w:r>
              <w:rPr>
                <w:rFonts w:hint="eastAsia"/>
                <w:kern w:val="0"/>
                <w:sz w:val="24"/>
                <w:szCs w:val="20"/>
              </w:rPr>
              <w:t>废润滑油</w:t>
            </w:r>
            <w:r>
              <w:rPr>
                <w:kern w:val="0"/>
                <w:sz w:val="24"/>
                <w:szCs w:val="20"/>
              </w:rPr>
              <w:t>、员工</w:t>
            </w:r>
            <w:r>
              <w:rPr>
                <w:rFonts w:hint="eastAsia"/>
                <w:kern w:val="0"/>
                <w:sz w:val="24"/>
                <w:szCs w:val="20"/>
              </w:rPr>
              <w:t>办公</w:t>
            </w:r>
            <w:r>
              <w:rPr>
                <w:kern w:val="0"/>
                <w:sz w:val="24"/>
                <w:szCs w:val="20"/>
              </w:rPr>
              <w:t>垃圾、</w:t>
            </w:r>
            <w:r>
              <w:rPr>
                <w:rFonts w:hint="eastAsia"/>
                <w:kern w:val="0"/>
                <w:sz w:val="24"/>
                <w:szCs w:val="20"/>
              </w:rPr>
              <w:t>洗车池</w:t>
            </w:r>
            <w:r>
              <w:rPr>
                <w:kern w:val="0"/>
                <w:sz w:val="24"/>
                <w:szCs w:val="20"/>
              </w:rPr>
              <w:t>沉渣</w:t>
            </w:r>
            <w:r>
              <w:rPr>
                <w:rFonts w:hint="eastAsia"/>
                <w:kern w:val="0"/>
                <w:sz w:val="24"/>
                <w:szCs w:val="20"/>
              </w:rPr>
              <w:t>和除尘器收尘灰</w:t>
            </w:r>
            <w:r>
              <w:rPr>
                <w:kern w:val="0"/>
                <w:sz w:val="24"/>
                <w:szCs w:val="20"/>
              </w:rPr>
              <w:t>。项目各类固废具体产生量与处理方式见下表。</w:t>
            </w:r>
          </w:p>
          <w:p>
            <w:pPr>
              <w:widowControl/>
              <w:spacing w:line="360" w:lineRule="auto"/>
              <w:jc w:val="center"/>
              <w:rPr>
                <w:b/>
                <w:bCs/>
                <w:kern w:val="0"/>
                <w:szCs w:val="21"/>
              </w:rPr>
            </w:pPr>
            <w:r>
              <w:rPr>
                <w:b/>
                <w:bCs/>
                <w:kern w:val="0"/>
                <w:szCs w:val="21"/>
              </w:rPr>
              <w:t>表</w:t>
            </w:r>
            <w:r>
              <w:rPr>
                <w:rFonts w:hint="eastAsia"/>
                <w:b/>
                <w:bCs/>
                <w:kern w:val="0"/>
                <w:szCs w:val="21"/>
              </w:rPr>
              <w:t>34</w:t>
            </w:r>
            <w:r>
              <w:rPr>
                <w:b/>
                <w:bCs/>
                <w:kern w:val="0"/>
                <w:szCs w:val="21"/>
              </w:rPr>
              <w:t xml:space="preserve">  固废产生及治理措施情况一览表单位：t/a</w:t>
            </w:r>
          </w:p>
          <w:tbl>
            <w:tblPr>
              <w:tblStyle w:val="20"/>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7"/>
              <w:gridCol w:w="1712"/>
              <w:gridCol w:w="1369"/>
              <w:gridCol w:w="51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463" w:type="pct"/>
                  <w:vAlign w:val="center"/>
                </w:tcPr>
                <w:p>
                  <w:pPr>
                    <w:adjustRightInd w:val="0"/>
                    <w:jc w:val="center"/>
                    <w:textAlignment w:val="baseline"/>
                    <w:rPr>
                      <w:kern w:val="24"/>
                      <w:szCs w:val="21"/>
                    </w:rPr>
                  </w:pPr>
                  <w:r>
                    <w:rPr>
                      <w:kern w:val="24"/>
                      <w:szCs w:val="21"/>
                    </w:rPr>
                    <w:t>序号</w:t>
                  </w:r>
                </w:p>
              </w:tc>
              <w:tc>
                <w:tcPr>
                  <w:tcW w:w="947" w:type="pct"/>
                  <w:vAlign w:val="center"/>
                </w:tcPr>
                <w:p>
                  <w:pPr>
                    <w:adjustRightInd w:val="0"/>
                    <w:jc w:val="center"/>
                    <w:textAlignment w:val="baseline"/>
                    <w:rPr>
                      <w:kern w:val="24"/>
                      <w:szCs w:val="21"/>
                    </w:rPr>
                  </w:pPr>
                  <w:r>
                    <w:rPr>
                      <w:kern w:val="24"/>
                      <w:szCs w:val="21"/>
                    </w:rPr>
                    <w:t>固废名称</w:t>
                  </w:r>
                </w:p>
              </w:tc>
              <w:tc>
                <w:tcPr>
                  <w:tcW w:w="757" w:type="pct"/>
                  <w:vAlign w:val="center"/>
                </w:tcPr>
                <w:p>
                  <w:pPr>
                    <w:adjustRightInd w:val="0"/>
                    <w:jc w:val="center"/>
                    <w:textAlignment w:val="baseline"/>
                    <w:rPr>
                      <w:kern w:val="24"/>
                      <w:szCs w:val="21"/>
                    </w:rPr>
                  </w:pPr>
                  <w:r>
                    <w:rPr>
                      <w:kern w:val="24"/>
                      <w:szCs w:val="21"/>
                    </w:rPr>
                    <w:t>产生量</w:t>
                  </w:r>
                </w:p>
              </w:tc>
              <w:tc>
                <w:tcPr>
                  <w:tcW w:w="2831" w:type="pct"/>
                  <w:vAlign w:val="center"/>
                </w:tcPr>
                <w:p>
                  <w:pPr>
                    <w:adjustRightInd w:val="0"/>
                    <w:jc w:val="center"/>
                    <w:textAlignment w:val="baseline"/>
                    <w:rPr>
                      <w:kern w:val="24"/>
                      <w:szCs w:val="21"/>
                    </w:rPr>
                  </w:pPr>
                  <w:r>
                    <w:rPr>
                      <w:kern w:val="24"/>
                      <w:szCs w:val="21"/>
                    </w:rPr>
                    <w:t>处置措施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463" w:type="pct"/>
                  <w:vAlign w:val="center"/>
                </w:tcPr>
                <w:p>
                  <w:pPr>
                    <w:adjustRightInd w:val="0"/>
                    <w:jc w:val="center"/>
                    <w:textAlignment w:val="baseline"/>
                    <w:rPr>
                      <w:kern w:val="24"/>
                      <w:szCs w:val="21"/>
                    </w:rPr>
                  </w:pPr>
                  <w:r>
                    <w:rPr>
                      <w:kern w:val="24"/>
                      <w:szCs w:val="21"/>
                    </w:rPr>
                    <w:t>1</w:t>
                  </w:r>
                </w:p>
              </w:tc>
              <w:tc>
                <w:tcPr>
                  <w:tcW w:w="947" w:type="pct"/>
                  <w:vAlign w:val="center"/>
                </w:tcPr>
                <w:p>
                  <w:pPr>
                    <w:adjustRightInd w:val="0"/>
                    <w:jc w:val="center"/>
                    <w:textAlignment w:val="baseline"/>
                    <w:rPr>
                      <w:kern w:val="24"/>
                      <w:szCs w:val="21"/>
                    </w:rPr>
                  </w:pPr>
                  <w:r>
                    <w:rPr>
                      <w:rFonts w:hint="eastAsia"/>
                      <w:kern w:val="24"/>
                      <w:szCs w:val="21"/>
                    </w:rPr>
                    <w:t>废润滑油</w:t>
                  </w:r>
                </w:p>
              </w:tc>
              <w:tc>
                <w:tcPr>
                  <w:tcW w:w="757" w:type="pct"/>
                  <w:vAlign w:val="center"/>
                </w:tcPr>
                <w:p>
                  <w:pPr>
                    <w:adjustRightInd w:val="0"/>
                    <w:jc w:val="center"/>
                    <w:textAlignment w:val="baseline"/>
                    <w:rPr>
                      <w:kern w:val="24"/>
                      <w:szCs w:val="21"/>
                    </w:rPr>
                  </w:pPr>
                  <w:r>
                    <w:rPr>
                      <w:kern w:val="24"/>
                      <w:szCs w:val="21"/>
                    </w:rPr>
                    <w:t>0.0</w:t>
                  </w:r>
                  <w:r>
                    <w:rPr>
                      <w:rFonts w:hint="eastAsia"/>
                      <w:kern w:val="24"/>
                      <w:szCs w:val="21"/>
                    </w:rPr>
                    <w:t>2</w:t>
                  </w:r>
                </w:p>
              </w:tc>
              <w:tc>
                <w:tcPr>
                  <w:tcW w:w="2831" w:type="pct"/>
                  <w:vAlign w:val="center"/>
                </w:tcPr>
                <w:p>
                  <w:pPr>
                    <w:adjustRightInd w:val="0"/>
                    <w:jc w:val="center"/>
                    <w:textAlignment w:val="baseline"/>
                    <w:rPr>
                      <w:kern w:val="24"/>
                      <w:szCs w:val="21"/>
                    </w:rPr>
                  </w:pPr>
                  <w:r>
                    <w:rPr>
                      <w:kern w:val="24"/>
                      <w:szCs w:val="21"/>
                    </w:rPr>
                    <w:t>厂区设</w:t>
                  </w:r>
                  <w:r>
                    <w:rPr>
                      <w:rFonts w:hint="eastAsia"/>
                      <w:kern w:val="24"/>
                      <w:szCs w:val="21"/>
                    </w:rPr>
                    <w:t>危废暂存间</w:t>
                  </w:r>
                  <w:r>
                    <w:rPr>
                      <w:kern w:val="24"/>
                      <w:szCs w:val="21"/>
                    </w:rPr>
                    <w:t>，定期委托有处置资质的单位处置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463" w:type="pct"/>
                  <w:vAlign w:val="center"/>
                </w:tcPr>
                <w:p>
                  <w:pPr>
                    <w:adjustRightInd w:val="0"/>
                    <w:jc w:val="center"/>
                    <w:textAlignment w:val="baseline"/>
                    <w:rPr>
                      <w:kern w:val="24"/>
                      <w:szCs w:val="21"/>
                    </w:rPr>
                  </w:pPr>
                  <w:r>
                    <w:rPr>
                      <w:kern w:val="24"/>
                      <w:szCs w:val="21"/>
                    </w:rPr>
                    <w:t>2</w:t>
                  </w:r>
                </w:p>
              </w:tc>
              <w:tc>
                <w:tcPr>
                  <w:tcW w:w="947" w:type="pct"/>
                  <w:vAlign w:val="center"/>
                </w:tcPr>
                <w:p>
                  <w:pPr>
                    <w:adjustRightInd w:val="0"/>
                    <w:jc w:val="center"/>
                    <w:textAlignment w:val="baseline"/>
                    <w:rPr>
                      <w:kern w:val="24"/>
                      <w:szCs w:val="21"/>
                    </w:rPr>
                  </w:pPr>
                  <w:r>
                    <w:rPr>
                      <w:kern w:val="24"/>
                      <w:szCs w:val="21"/>
                    </w:rPr>
                    <w:t>生活垃圾</w:t>
                  </w:r>
                </w:p>
              </w:tc>
              <w:tc>
                <w:tcPr>
                  <w:tcW w:w="757" w:type="pct"/>
                  <w:vAlign w:val="center"/>
                </w:tcPr>
                <w:p>
                  <w:pPr>
                    <w:adjustRightInd w:val="0"/>
                    <w:jc w:val="center"/>
                    <w:textAlignment w:val="baseline"/>
                    <w:rPr>
                      <w:kern w:val="24"/>
                      <w:szCs w:val="21"/>
                    </w:rPr>
                  </w:pPr>
                  <w:r>
                    <w:rPr>
                      <w:rFonts w:hint="eastAsia"/>
                      <w:kern w:val="24"/>
                      <w:szCs w:val="21"/>
                    </w:rPr>
                    <w:t>0.6</w:t>
                  </w:r>
                </w:p>
              </w:tc>
              <w:tc>
                <w:tcPr>
                  <w:tcW w:w="2831" w:type="pct"/>
                  <w:vAlign w:val="center"/>
                </w:tcPr>
                <w:p>
                  <w:pPr>
                    <w:adjustRightInd w:val="0"/>
                    <w:jc w:val="center"/>
                    <w:textAlignment w:val="baseline"/>
                    <w:rPr>
                      <w:kern w:val="24"/>
                      <w:szCs w:val="21"/>
                    </w:rPr>
                  </w:pPr>
                  <w:r>
                    <w:rPr>
                      <w:kern w:val="24"/>
                      <w:szCs w:val="21"/>
                    </w:rPr>
                    <w:t>集中收集，环卫清运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463" w:type="pct"/>
                  <w:vAlign w:val="center"/>
                </w:tcPr>
                <w:p>
                  <w:pPr>
                    <w:adjustRightInd w:val="0"/>
                    <w:jc w:val="center"/>
                    <w:textAlignment w:val="baseline"/>
                    <w:rPr>
                      <w:kern w:val="24"/>
                      <w:szCs w:val="21"/>
                    </w:rPr>
                  </w:pPr>
                  <w:r>
                    <w:rPr>
                      <w:kern w:val="24"/>
                      <w:szCs w:val="21"/>
                    </w:rPr>
                    <w:t>3</w:t>
                  </w:r>
                </w:p>
              </w:tc>
              <w:tc>
                <w:tcPr>
                  <w:tcW w:w="947" w:type="pct"/>
                  <w:vAlign w:val="center"/>
                </w:tcPr>
                <w:p>
                  <w:pPr>
                    <w:adjustRightInd w:val="0"/>
                    <w:jc w:val="center"/>
                    <w:textAlignment w:val="baseline"/>
                    <w:rPr>
                      <w:kern w:val="24"/>
                      <w:szCs w:val="21"/>
                    </w:rPr>
                  </w:pPr>
                  <w:r>
                    <w:rPr>
                      <w:rFonts w:hint="eastAsia"/>
                      <w:kern w:val="24"/>
                      <w:szCs w:val="21"/>
                    </w:rPr>
                    <w:t>洗车池</w:t>
                  </w:r>
                  <w:r>
                    <w:rPr>
                      <w:kern w:val="24"/>
                      <w:szCs w:val="21"/>
                    </w:rPr>
                    <w:t>沉渣</w:t>
                  </w:r>
                </w:p>
              </w:tc>
              <w:tc>
                <w:tcPr>
                  <w:tcW w:w="757" w:type="pct"/>
                  <w:vAlign w:val="center"/>
                </w:tcPr>
                <w:p>
                  <w:pPr>
                    <w:adjustRightInd w:val="0"/>
                    <w:jc w:val="center"/>
                    <w:textAlignment w:val="baseline"/>
                    <w:rPr>
                      <w:kern w:val="24"/>
                      <w:szCs w:val="21"/>
                    </w:rPr>
                  </w:pPr>
                  <w:r>
                    <w:rPr>
                      <w:rFonts w:hint="eastAsia"/>
                      <w:kern w:val="24"/>
                      <w:szCs w:val="21"/>
                    </w:rPr>
                    <w:t>2.53</w:t>
                  </w:r>
                </w:p>
              </w:tc>
              <w:tc>
                <w:tcPr>
                  <w:tcW w:w="2831" w:type="pct"/>
                  <w:vAlign w:val="center"/>
                </w:tcPr>
                <w:p>
                  <w:pPr>
                    <w:adjustRightInd w:val="0"/>
                    <w:jc w:val="center"/>
                    <w:textAlignment w:val="baseline"/>
                    <w:rPr>
                      <w:kern w:val="24"/>
                      <w:szCs w:val="21"/>
                    </w:rPr>
                  </w:pPr>
                  <w:r>
                    <w:rPr>
                      <w:rFonts w:hint="eastAsia"/>
                      <w:kern w:val="24"/>
                      <w:szCs w:val="21"/>
                    </w:rPr>
                    <w:t>回用生产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463" w:type="pct"/>
                  <w:vAlign w:val="center"/>
                </w:tcPr>
                <w:p>
                  <w:pPr>
                    <w:adjustRightInd w:val="0"/>
                    <w:jc w:val="center"/>
                    <w:textAlignment w:val="baseline"/>
                    <w:rPr>
                      <w:kern w:val="24"/>
                      <w:szCs w:val="21"/>
                    </w:rPr>
                  </w:pPr>
                  <w:r>
                    <w:rPr>
                      <w:rFonts w:hint="eastAsia"/>
                      <w:kern w:val="24"/>
                      <w:szCs w:val="21"/>
                    </w:rPr>
                    <w:t>4</w:t>
                  </w:r>
                </w:p>
              </w:tc>
              <w:tc>
                <w:tcPr>
                  <w:tcW w:w="947" w:type="pct"/>
                  <w:vAlign w:val="center"/>
                </w:tcPr>
                <w:p>
                  <w:pPr>
                    <w:adjustRightInd w:val="0"/>
                    <w:jc w:val="center"/>
                    <w:textAlignment w:val="baseline"/>
                    <w:rPr>
                      <w:kern w:val="24"/>
                      <w:szCs w:val="21"/>
                    </w:rPr>
                  </w:pPr>
                  <w:r>
                    <w:rPr>
                      <w:rFonts w:hint="eastAsia"/>
                      <w:kern w:val="24"/>
                      <w:szCs w:val="21"/>
                    </w:rPr>
                    <w:t>除尘器收尘灰</w:t>
                  </w:r>
                </w:p>
              </w:tc>
              <w:tc>
                <w:tcPr>
                  <w:tcW w:w="757" w:type="pct"/>
                  <w:vAlign w:val="center"/>
                </w:tcPr>
                <w:p>
                  <w:pPr>
                    <w:adjustRightInd w:val="0"/>
                    <w:jc w:val="center"/>
                    <w:textAlignment w:val="baseline"/>
                    <w:rPr>
                      <w:kern w:val="24"/>
                      <w:szCs w:val="21"/>
                    </w:rPr>
                  </w:pPr>
                  <w:r>
                    <w:rPr>
                      <w:rFonts w:hint="eastAsia"/>
                      <w:kern w:val="24"/>
                      <w:szCs w:val="21"/>
                    </w:rPr>
                    <w:t>43.8</w:t>
                  </w:r>
                </w:p>
              </w:tc>
              <w:tc>
                <w:tcPr>
                  <w:tcW w:w="2831" w:type="pct"/>
                  <w:vAlign w:val="center"/>
                </w:tcPr>
                <w:p>
                  <w:pPr>
                    <w:adjustRightInd w:val="0"/>
                    <w:jc w:val="center"/>
                    <w:textAlignment w:val="baseline"/>
                    <w:rPr>
                      <w:kern w:val="24"/>
                      <w:szCs w:val="21"/>
                    </w:rPr>
                  </w:pPr>
                  <w:r>
                    <w:rPr>
                      <w:rFonts w:hint="eastAsia"/>
                      <w:kern w:val="24"/>
                      <w:szCs w:val="21"/>
                    </w:rPr>
                    <w:t>作成品石粉砂外售</w:t>
                  </w:r>
                </w:p>
              </w:tc>
            </w:tr>
          </w:tbl>
          <w:p>
            <w:pPr>
              <w:widowControl/>
              <w:spacing w:line="360" w:lineRule="auto"/>
              <w:ind w:firstLine="480" w:firstLineChars="200"/>
              <w:rPr>
                <w:kern w:val="0"/>
                <w:sz w:val="24"/>
                <w:szCs w:val="20"/>
              </w:rPr>
            </w:pPr>
            <w:r>
              <w:rPr>
                <w:kern w:val="0"/>
                <w:sz w:val="24"/>
                <w:szCs w:val="20"/>
              </w:rPr>
              <w:t>根据《国家危险废物名录》（2016年），废</w:t>
            </w:r>
            <w:r>
              <w:rPr>
                <w:rFonts w:hint="eastAsia"/>
                <w:kern w:val="0"/>
                <w:sz w:val="24"/>
                <w:szCs w:val="20"/>
              </w:rPr>
              <w:t>润滑油</w:t>
            </w:r>
            <w:r>
              <w:rPr>
                <w:kern w:val="0"/>
                <w:sz w:val="24"/>
                <w:szCs w:val="20"/>
              </w:rPr>
              <w:t>属于危险废物，其危废类别为HW08。本次评价要求：建设单位应与有资质单位签订处置协议，同时应严格按照《危险废物贮存污染控制标准》（GB18597-2001）及《陕西省环境保护厅关于进一步加强危险废物简单管理工作的通知》要求，应配套设置符合危险废物暂存要求的专用贮存容器和危废暂时贮存场所，危废暂存间应做好防渗漏、防火等措施。危险废物严禁与其它固废混合存放，并对危险废物贮存装置进行明显标识；建设单位应与有危废处置资质的单位签订协议，同时应建立危险废物转移联单制度，保证危废可得到安全、合理的处置。本次评价要求危险废物暂存防治措施如下：</w:t>
            </w:r>
          </w:p>
          <w:p>
            <w:pPr>
              <w:widowControl/>
              <w:spacing w:line="360" w:lineRule="auto"/>
              <w:ind w:firstLine="480" w:firstLineChars="200"/>
              <w:rPr>
                <w:kern w:val="0"/>
                <w:sz w:val="24"/>
                <w:szCs w:val="20"/>
              </w:rPr>
            </w:pPr>
            <w:r>
              <w:rPr>
                <w:kern w:val="0"/>
                <w:sz w:val="24"/>
                <w:szCs w:val="20"/>
              </w:rPr>
              <w:t>a、危废暂存间内必须设置警示标志，每种危险废物必须分开单独存放；</w:t>
            </w:r>
          </w:p>
          <w:p>
            <w:pPr>
              <w:widowControl/>
              <w:spacing w:line="360" w:lineRule="auto"/>
              <w:ind w:firstLine="480" w:firstLineChars="200"/>
              <w:rPr>
                <w:kern w:val="0"/>
                <w:sz w:val="24"/>
                <w:szCs w:val="20"/>
              </w:rPr>
            </w:pPr>
            <w:r>
              <w:rPr>
                <w:kern w:val="0"/>
                <w:sz w:val="24"/>
                <w:szCs w:val="20"/>
              </w:rPr>
              <w:t>b、危废暂存间地面、围墙均应进行防腐防渗处理；</w:t>
            </w:r>
          </w:p>
          <w:p>
            <w:pPr>
              <w:widowControl/>
              <w:spacing w:line="360" w:lineRule="auto"/>
              <w:ind w:firstLine="480" w:firstLineChars="200"/>
              <w:rPr>
                <w:kern w:val="0"/>
                <w:sz w:val="24"/>
                <w:szCs w:val="20"/>
              </w:rPr>
            </w:pPr>
            <w:r>
              <w:rPr>
                <w:kern w:val="0"/>
                <w:sz w:val="24"/>
                <w:szCs w:val="20"/>
              </w:rPr>
              <w:t>c、危废暂存间地面基础必须防渗，防渗层为至少1m厚粘土层（渗透系数≤10</w:t>
            </w:r>
            <w:r>
              <w:rPr>
                <w:kern w:val="0"/>
                <w:sz w:val="24"/>
                <w:szCs w:val="20"/>
                <w:vertAlign w:val="superscript"/>
              </w:rPr>
              <w:t>-7</w:t>
            </w:r>
            <w:r>
              <w:rPr>
                <w:kern w:val="0"/>
                <w:sz w:val="24"/>
                <w:szCs w:val="20"/>
              </w:rPr>
              <w:t>cm/s），或2mm厚高密度聚乙烯，或至少2mm厚的其它人工材料，渗透系数≤10</w:t>
            </w:r>
            <w:r>
              <w:rPr>
                <w:kern w:val="0"/>
                <w:sz w:val="24"/>
                <w:szCs w:val="20"/>
                <w:vertAlign w:val="superscript"/>
              </w:rPr>
              <w:t>-10</w:t>
            </w:r>
            <w:r>
              <w:rPr>
                <w:kern w:val="0"/>
                <w:sz w:val="24"/>
                <w:szCs w:val="20"/>
              </w:rPr>
              <w:t>cm/s；</w:t>
            </w:r>
          </w:p>
          <w:p>
            <w:pPr>
              <w:widowControl/>
              <w:spacing w:line="360" w:lineRule="auto"/>
              <w:ind w:firstLine="480" w:firstLineChars="200"/>
              <w:rPr>
                <w:kern w:val="0"/>
                <w:sz w:val="24"/>
                <w:szCs w:val="20"/>
              </w:rPr>
            </w:pPr>
            <w:r>
              <w:rPr>
                <w:kern w:val="0"/>
                <w:sz w:val="24"/>
                <w:szCs w:val="20"/>
              </w:rPr>
              <w:t>d、必须对危险废物的转移进行有效监督管理，应严格执行《危险废物转移联单管理办法》。</w:t>
            </w:r>
          </w:p>
          <w:p>
            <w:pPr>
              <w:spacing w:line="360" w:lineRule="auto"/>
              <w:ind w:firstLine="480" w:firstLineChars="200"/>
              <w:rPr>
                <w:sz w:val="24"/>
              </w:rPr>
            </w:pPr>
            <w:r>
              <w:rPr>
                <w:rFonts w:hint="eastAsia"/>
                <w:sz w:val="24"/>
              </w:rPr>
              <w:t>危险废物贮存容器应符合下列要求：</w:t>
            </w:r>
          </w:p>
          <w:p>
            <w:pPr>
              <w:spacing w:line="360" w:lineRule="auto"/>
              <w:ind w:firstLine="480" w:firstLineChars="200"/>
              <w:rPr>
                <w:sz w:val="24"/>
              </w:rPr>
            </w:pPr>
            <w:r>
              <w:rPr>
                <w:sz w:val="24"/>
              </w:rPr>
              <w:t>①</w:t>
            </w:r>
            <w:r>
              <w:rPr>
                <w:rFonts w:hint="eastAsia"/>
                <w:sz w:val="24"/>
              </w:rPr>
              <w:t>应使用符合国家标准的容器盛装危险废物；</w:t>
            </w:r>
          </w:p>
          <w:p>
            <w:pPr>
              <w:spacing w:line="360" w:lineRule="auto"/>
              <w:ind w:firstLine="480" w:firstLineChars="200"/>
              <w:rPr>
                <w:sz w:val="24"/>
              </w:rPr>
            </w:pPr>
            <w:r>
              <w:rPr>
                <w:sz w:val="24"/>
              </w:rPr>
              <w:t>②</w:t>
            </w:r>
            <w:r>
              <w:rPr>
                <w:rFonts w:hint="eastAsia"/>
                <w:sz w:val="24"/>
              </w:rPr>
              <w:t>贮存容器必须具有耐腐蚀、耐压、密封盒不与贮存的废物发生反应等特性；</w:t>
            </w:r>
          </w:p>
          <w:p>
            <w:pPr>
              <w:spacing w:line="360" w:lineRule="auto"/>
              <w:ind w:firstLine="480" w:firstLineChars="200"/>
              <w:rPr>
                <w:sz w:val="24"/>
              </w:rPr>
            </w:pPr>
            <w:r>
              <w:rPr>
                <w:sz w:val="24"/>
              </w:rPr>
              <w:t>③</w:t>
            </w:r>
            <w:r>
              <w:rPr>
                <w:rFonts w:hint="eastAsia"/>
                <w:sz w:val="24"/>
              </w:rPr>
              <w:t>贮存容器应保证完好无损并具有明显标志。</w:t>
            </w:r>
          </w:p>
          <w:p>
            <w:pPr>
              <w:spacing w:line="360" w:lineRule="auto"/>
              <w:ind w:firstLine="480" w:firstLineChars="200"/>
              <w:rPr>
                <w:kern w:val="0"/>
                <w:sz w:val="24"/>
                <w:szCs w:val="20"/>
              </w:rPr>
            </w:pPr>
            <w:r>
              <w:rPr>
                <w:kern w:val="0"/>
                <w:sz w:val="24"/>
                <w:szCs w:val="20"/>
              </w:rPr>
              <w:t>综上，本项目运营期间各类固废均可得到妥善处置，不会产生二次污染，对周边环境影响较小</w:t>
            </w:r>
            <w:r>
              <w:rPr>
                <w:sz w:val="24"/>
              </w:rPr>
              <w:t>。</w:t>
            </w:r>
          </w:p>
          <w:p>
            <w:pPr>
              <w:spacing w:line="360" w:lineRule="auto"/>
              <w:ind w:firstLine="470" w:firstLineChars="196"/>
              <w:rPr>
                <w:b/>
                <w:sz w:val="24"/>
              </w:rPr>
            </w:pPr>
            <w:r>
              <w:rPr>
                <w:rFonts w:hint="eastAsia"/>
                <w:b/>
                <w:sz w:val="24"/>
              </w:rPr>
              <w:t>5</w:t>
            </w:r>
            <w:r>
              <w:rPr>
                <w:b/>
                <w:sz w:val="24"/>
              </w:rPr>
              <w:t>、</w:t>
            </w:r>
            <w:r>
              <w:rPr>
                <w:rFonts w:hint="eastAsia"/>
                <w:b/>
                <w:sz w:val="24"/>
              </w:rPr>
              <w:t>土壤环境</w:t>
            </w:r>
            <w:r>
              <w:rPr>
                <w:b/>
                <w:sz w:val="24"/>
              </w:rPr>
              <w:t>影响分析</w:t>
            </w:r>
          </w:p>
          <w:p>
            <w:pPr>
              <w:spacing w:line="360" w:lineRule="auto"/>
              <w:ind w:firstLine="480" w:firstLineChars="200"/>
              <w:rPr>
                <w:sz w:val="24"/>
              </w:rPr>
            </w:pPr>
            <w:r>
              <w:rPr>
                <w:kern w:val="0"/>
                <w:sz w:val="24"/>
              </w:rPr>
              <w:t>根据《环境影响评价技术导则-土壤环境》（HJ 964-2018）导则附录A中的划分依据，本项目属于附录A中的交</w:t>
            </w:r>
            <w:r>
              <w:rPr>
                <w:rFonts w:hint="eastAsia"/>
                <w:kern w:val="0"/>
                <w:sz w:val="24"/>
              </w:rPr>
              <w:t>环境和公共设施管理业</w:t>
            </w:r>
            <w:r>
              <w:rPr>
                <w:kern w:val="0"/>
                <w:sz w:val="24"/>
              </w:rPr>
              <w:t>：</w:t>
            </w:r>
            <w:r>
              <w:rPr>
                <w:rFonts w:hint="eastAsia"/>
                <w:kern w:val="0"/>
                <w:sz w:val="24"/>
              </w:rPr>
              <w:t>一般工业固体废物处置及综合利用（除采取填埋和焚烧方式以外的）废旧资源加工、再生利用</w:t>
            </w:r>
            <w:r>
              <w:rPr>
                <w:kern w:val="0"/>
                <w:sz w:val="24"/>
              </w:rPr>
              <w:t>，土壤环境影响评价项目分类中，</w:t>
            </w:r>
            <w:r>
              <w:rPr>
                <w:rFonts w:hint="eastAsia"/>
                <w:kern w:val="0"/>
                <w:sz w:val="24"/>
              </w:rPr>
              <w:t>本项目</w:t>
            </w:r>
            <w:r>
              <w:rPr>
                <w:kern w:val="0"/>
                <w:sz w:val="24"/>
              </w:rPr>
              <w:t>属于III类项目。本项目位于</w:t>
            </w:r>
            <w:r>
              <w:rPr>
                <w:rFonts w:hint="eastAsia"/>
                <w:kern w:val="0"/>
                <w:sz w:val="24"/>
              </w:rPr>
              <w:t>石泉县城关镇杨柳社区</w:t>
            </w:r>
            <w:r>
              <w:rPr>
                <w:kern w:val="0"/>
                <w:sz w:val="24"/>
              </w:rPr>
              <w:t>，周边涉及</w:t>
            </w:r>
            <w:r>
              <w:rPr>
                <w:rFonts w:hint="eastAsia"/>
                <w:kern w:val="0"/>
                <w:sz w:val="24"/>
              </w:rPr>
              <w:t>较敏感区域，</w:t>
            </w:r>
            <w:r>
              <w:rPr>
                <w:kern w:val="0"/>
                <w:sz w:val="24"/>
              </w:rPr>
              <w:t>且本项目占地面积小于5hm</w:t>
            </w:r>
            <w:r>
              <w:rPr>
                <w:kern w:val="0"/>
                <w:sz w:val="24"/>
                <w:vertAlign w:val="superscript"/>
              </w:rPr>
              <w:t>2</w:t>
            </w:r>
            <w:r>
              <w:rPr>
                <w:kern w:val="0"/>
                <w:sz w:val="24"/>
              </w:rPr>
              <w:t>，占地规模属于小型，因此</w:t>
            </w:r>
            <w:r>
              <w:rPr>
                <w:sz w:val="24"/>
              </w:rPr>
              <w:t>，按照土壤导则中的评价工作等级划分表，确定本项目不需进行土壤环境影响评价。</w:t>
            </w:r>
          </w:p>
          <w:p>
            <w:pPr>
              <w:spacing w:line="360" w:lineRule="auto"/>
              <w:rPr>
                <w:b/>
                <w:sz w:val="30"/>
                <w:szCs w:val="30"/>
              </w:rPr>
            </w:pPr>
            <w:r>
              <w:rPr>
                <w:b/>
                <w:sz w:val="30"/>
                <w:szCs w:val="30"/>
              </w:rPr>
              <w:t>三、污染物排放清单</w:t>
            </w:r>
          </w:p>
          <w:p>
            <w:pPr>
              <w:adjustRightInd w:val="0"/>
              <w:spacing w:line="360" w:lineRule="auto"/>
              <w:ind w:firstLine="480" w:firstLineChars="200"/>
              <w:jc w:val="left"/>
              <w:rPr>
                <w:sz w:val="24"/>
                <w:szCs w:val="30"/>
              </w:rPr>
            </w:pPr>
            <w:r>
              <w:rPr>
                <w:sz w:val="24"/>
                <w:szCs w:val="30"/>
                <w:lang w:val="en-GB"/>
              </w:rPr>
              <w:t>本项目污染物排放清单见表</w:t>
            </w:r>
            <w:r>
              <w:rPr>
                <w:rFonts w:hint="eastAsia"/>
                <w:sz w:val="24"/>
                <w:szCs w:val="30"/>
              </w:rPr>
              <w:t>35</w:t>
            </w:r>
            <w:r>
              <w:rPr>
                <w:sz w:val="24"/>
                <w:szCs w:val="30"/>
              </w:rPr>
              <w:t>。</w:t>
            </w:r>
          </w:p>
          <w:p>
            <w:pPr>
              <w:jc w:val="center"/>
              <w:rPr>
                <w:sz w:val="24"/>
              </w:rPr>
            </w:pPr>
            <w:r>
              <w:rPr>
                <w:b/>
                <w:szCs w:val="21"/>
              </w:rPr>
              <w:t>表</w:t>
            </w:r>
            <w:r>
              <w:rPr>
                <w:rFonts w:hint="eastAsia"/>
                <w:b/>
                <w:szCs w:val="21"/>
              </w:rPr>
              <w:t xml:space="preserve">35    </w:t>
            </w:r>
            <w:r>
              <w:rPr>
                <w:b/>
                <w:szCs w:val="21"/>
              </w:rPr>
              <w:t>项目污染物排放清单</w:t>
            </w:r>
          </w:p>
          <w:tbl>
            <w:tblPr>
              <w:tblStyle w:val="19"/>
              <w:tblW w:w="499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4"/>
              <w:gridCol w:w="1144"/>
              <w:gridCol w:w="1096"/>
              <w:gridCol w:w="1661"/>
              <w:gridCol w:w="2162"/>
              <w:gridCol w:w="22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56" w:type="pct"/>
                  <w:gridSpan w:val="3"/>
                  <w:vMerge w:val="restart"/>
                  <w:tcBorders>
                    <w:tl2br w:val="nil"/>
                    <w:tr2bl w:val="nil"/>
                  </w:tcBorders>
                  <w:vAlign w:val="center"/>
                </w:tcPr>
                <w:p>
                  <w:pPr>
                    <w:adjustRightInd w:val="0"/>
                    <w:jc w:val="center"/>
                    <w:rPr>
                      <w:b/>
                      <w:szCs w:val="21"/>
                      <w:lang w:val="en-GB"/>
                    </w:rPr>
                  </w:pPr>
                  <w:r>
                    <w:rPr>
                      <w:b/>
                      <w:szCs w:val="21"/>
                      <w:lang w:val="en-GB"/>
                    </w:rPr>
                    <w:t>项目</w:t>
                  </w:r>
                </w:p>
              </w:tc>
              <w:tc>
                <w:tcPr>
                  <w:tcW w:w="919" w:type="pct"/>
                  <w:vMerge w:val="restart"/>
                  <w:tcBorders>
                    <w:tl2br w:val="nil"/>
                    <w:tr2bl w:val="nil"/>
                  </w:tcBorders>
                  <w:vAlign w:val="center"/>
                </w:tcPr>
                <w:p>
                  <w:pPr>
                    <w:adjustRightInd w:val="0"/>
                    <w:jc w:val="center"/>
                    <w:rPr>
                      <w:b/>
                      <w:szCs w:val="21"/>
                      <w:lang w:val="en-GB"/>
                    </w:rPr>
                  </w:pPr>
                  <w:r>
                    <w:rPr>
                      <w:b/>
                      <w:szCs w:val="21"/>
                      <w:lang w:val="en-GB"/>
                    </w:rPr>
                    <w:t>污染物</w:t>
                  </w:r>
                </w:p>
              </w:tc>
              <w:tc>
                <w:tcPr>
                  <w:tcW w:w="2423" w:type="pct"/>
                  <w:gridSpan w:val="2"/>
                  <w:tcBorders>
                    <w:tl2br w:val="nil"/>
                    <w:tr2bl w:val="nil"/>
                  </w:tcBorders>
                  <w:vAlign w:val="center"/>
                </w:tcPr>
                <w:p>
                  <w:pPr>
                    <w:adjustRightInd w:val="0"/>
                    <w:jc w:val="center"/>
                    <w:rPr>
                      <w:b/>
                      <w:szCs w:val="21"/>
                      <w:lang w:val="en-GB"/>
                    </w:rPr>
                  </w:pPr>
                  <w:r>
                    <w:rPr>
                      <w:b/>
                      <w:szCs w:val="21"/>
                      <w:lang w:val="en-GB"/>
                    </w:rPr>
                    <w:t>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56" w:type="pct"/>
                  <w:gridSpan w:val="3"/>
                  <w:vMerge w:val="continue"/>
                  <w:tcBorders>
                    <w:tl2br w:val="nil"/>
                    <w:tr2bl w:val="nil"/>
                  </w:tcBorders>
                  <w:vAlign w:val="center"/>
                </w:tcPr>
                <w:p>
                  <w:pPr>
                    <w:adjustRightInd w:val="0"/>
                    <w:jc w:val="center"/>
                    <w:rPr>
                      <w:b/>
                      <w:szCs w:val="21"/>
                      <w:lang w:val="en-GB"/>
                    </w:rPr>
                  </w:pPr>
                </w:p>
              </w:tc>
              <w:tc>
                <w:tcPr>
                  <w:tcW w:w="919" w:type="pct"/>
                  <w:vMerge w:val="continue"/>
                  <w:tcBorders>
                    <w:tl2br w:val="nil"/>
                    <w:tr2bl w:val="nil"/>
                  </w:tcBorders>
                  <w:vAlign w:val="center"/>
                </w:tcPr>
                <w:p>
                  <w:pPr>
                    <w:adjustRightInd w:val="0"/>
                    <w:jc w:val="center"/>
                    <w:rPr>
                      <w:b/>
                      <w:szCs w:val="21"/>
                      <w:lang w:val="en-GB"/>
                    </w:rPr>
                  </w:pPr>
                </w:p>
              </w:tc>
              <w:tc>
                <w:tcPr>
                  <w:tcW w:w="1196" w:type="pct"/>
                  <w:tcBorders>
                    <w:tl2br w:val="nil"/>
                    <w:tr2bl w:val="nil"/>
                  </w:tcBorders>
                  <w:vAlign w:val="center"/>
                </w:tcPr>
                <w:p>
                  <w:pPr>
                    <w:adjustRightInd w:val="0"/>
                    <w:jc w:val="center"/>
                    <w:rPr>
                      <w:b/>
                      <w:szCs w:val="21"/>
                      <w:lang w:val="en-GB"/>
                    </w:rPr>
                  </w:pPr>
                  <w:r>
                    <w:rPr>
                      <w:b/>
                      <w:szCs w:val="21"/>
                      <w:lang w:val="en-GB"/>
                    </w:rPr>
                    <w:t>排污量(t/a)</w:t>
                  </w:r>
                </w:p>
              </w:tc>
              <w:tc>
                <w:tcPr>
                  <w:tcW w:w="1227" w:type="pct"/>
                  <w:tcBorders>
                    <w:tl2br w:val="nil"/>
                    <w:tr2bl w:val="nil"/>
                  </w:tcBorders>
                  <w:vAlign w:val="center"/>
                </w:tcPr>
                <w:p>
                  <w:pPr>
                    <w:adjustRightInd w:val="0"/>
                    <w:jc w:val="center"/>
                    <w:rPr>
                      <w:b/>
                      <w:szCs w:val="21"/>
                      <w:lang w:val="en-GB"/>
                    </w:rPr>
                  </w:pPr>
                  <w:r>
                    <w:rPr>
                      <w:b/>
                      <w:szCs w:val="21"/>
                      <w:lang w:val="en-GB"/>
                    </w:rPr>
                    <w:t>排污浓度(mg/L)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restart"/>
                  <w:tcBorders>
                    <w:tl2br w:val="nil"/>
                    <w:tr2bl w:val="nil"/>
                  </w:tcBorders>
                  <w:vAlign w:val="center"/>
                </w:tcPr>
                <w:p>
                  <w:pPr>
                    <w:adjustRightInd w:val="0"/>
                    <w:jc w:val="center"/>
                    <w:rPr>
                      <w:szCs w:val="21"/>
                      <w:lang w:val="en-GB"/>
                    </w:rPr>
                  </w:pPr>
                  <w:r>
                    <w:rPr>
                      <w:szCs w:val="21"/>
                      <w:lang w:val="en-GB"/>
                    </w:rPr>
                    <w:t>废水</w:t>
                  </w:r>
                </w:p>
              </w:tc>
              <w:tc>
                <w:tcPr>
                  <w:tcW w:w="1239" w:type="pct"/>
                  <w:gridSpan w:val="2"/>
                  <w:tcBorders>
                    <w:tl2br w:val="nil"/>
                    <w:tr2bl w:val="nil"/>
                  </w:tcBorders>
                  <w:vAlign w:val="center"/>
                </w:tcPr>
                <w:p>
                  <w:pPr>
                    <w:adjustRightInd w:val="0"/>
                    <w:jc w:val="center"/>
                    <w:rPr>
                      <w:szCs w:val="21"/>
                    </w:rPr>
                  </w:pPr>
                  <w:r>
                    <w:rPr>
                      <w:rFonts w:hint="eastAsia"/>
                      <w:szCs w:val="21"/>
                    </w:rPr>
                    <w:t>洗车废水</w:t>
                  </w:r>
                </w:p>
              </w:tc>
              <w:tc>
                <w:tcPr>
                  <w:tcW w:w="919" w:type="pct"/>
                  <w:tcBorders>
                    <w:tl2br w:val="nil"/>
                    <w:tr2bl w:val="nil"/>
                  </w:tcBorders>
                  <w:vAlign w:val="center"/>
                </w:tcPr>
                <w:p>
                  <w:pPr>
                    <w:adjustRightInd w:val="0"/>
                    <w:jc w:val="center"/>
                    <w:rPr>
                      <w:szCs w:val="21"/>
                      <w:lang w:val="en-GB"/>
                    </w:rPr>
                  </w:pPr>
                  <w:r>
                    <w:rPr>
                      <w:szCs w:val="21"/>
                      <w:lang w:val="en-GB"/>
                    </w:rPr>
                    <w:t>SS</w:t>
                  </w:r>
                </w:p>
              </w:tc>
              <w:tc>
                <w:tcPr>
                  <w:tcW w:w="2423" w:type="pct"/>
                  <w:gridSpan w:val="2"/>
                  <w:tcBorders>
                    <w:tl2br w:val="nil"/>
                    <w:tr2bl w:val="nil"/>
                  </w:tcBorders>
                  <w:vAlign w:val="center"/>
                </w:tcPr>
                <w:p>
                  <w:pPr>
                    <w:adjustRightInd w:val="0"/>
                    <w:jc w:val="center"/>
                    <w:rPr>
                      <w:szCs w:val="21"/>
                      <w:lang w:val="en-GB"/>
                    </w:rPr>
                  </w:pPr>
                  <w:r>
                    <w:rPr>
                      <w:rFonts w:hint="eastAsia"/>
                      <w:szCs w:val="21"/>
                      <w:lang w:val="en-GB"/>
                    </w:rPr>
                    <w:t>循环利用，</w:t>
                  </w:r>
                  <w:r>
                    <w:rPr>
                      <w:szCs w:val="21"/>
                      <w:lang w:val="en-GB"/>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continue"/>
                  <w:tcBorders>
                    <w:tl2br w:val="nil"/>
                    <w:tr2bl w:val="nil"/>
                  </w:tcBorders>
                  <w:vAlign w:val="center"/>
                </w:tcPr>
                <w:p>
                  <w:pPr>
                    <w:adjustRightInd w:val="0"/>
                    <w:jc w:val="center"/>
                    <w:rPr>
                      <w:szCs w:val="21"/>
                      <w:lang w:val="en-GB"/>
                    </w:rPr>
                  </w:pPr>
                </w:p>
              </w:tc>
              <w:tc>
                <w:tcPr>
                  <w:tcW w:w="1239" w:type="pct"/>
                  <w:gridSpan w:val="2"/>
                  <w:tcBorders>
                    <w:tl2br w:val="nil"/>
                    <w:tr2bl w:val="nil"/>
                  </w:tcBorders>
                  <w:vAlign w:val="center"/>
                </w:tcPr>
                <w:p>
                  <w:pPr>
                    <w:adjustRightInd w:val="0"/>
                    <w:jc w:val="center"/>
                    <w:rPr>
                      <w:szCs w:val="21"/>
                    </w:rPr>
                  </w:pPr>
                  <w:r>
                    <w:rPr>
                      <w:rFonts w:hint="eastAsia"/>
                      <w:szCs w:val="21"/>
                    </w:rPr>
                    <w:t>生活污水</w:t>
                  </w:r>
                </w:p>
              </w:tc>
              <w:tc>
                <w:tcPr>
                  <w:tcW w:w="919" w:type="pct"/>
                  <w:tcBorders>
                    <w:tl2br w:val="nil"/>
                    <w:tr2bl w:val="nil"/>
                  </w:tcBorders>
                  <w:vAlign w:val="center"/>
                </w:tcPr>
                <w:p>
                  <w:pPr>
                    <w:adjustRightInd w:val="0"/>
                    <w:jc w:val="center"/>
                    <w:rPr>
                      <w:szCs w:val="21"/>
                    </w:rPr>
                  </w:pPr>
                  <w:r>
                    <w:rPr>
                      <w:rFonts w:hint="eastAsia"/>
                      <w:szCs w:val="21"/>
                    </w:rPr>
                    <w:t>COD、BOD、氨氮、SS</w:t>
                  </w:r>
                </w:p>
              </w:tc>
              <w:tc>
                <w:tcPr>
                  <w:tcW w:w="2423" w:type="pct"/>
                  <w:gridSpan w:val="2"/>
                  <w:tcBorders>
                    <w:tl2br w:val="nil"/>
                    <w:tr2bl w:val="nil"/>
                  </w:tcBorders>
                  <w:vAlign w:val="center"/>
                </w:tcPr>
                <w:p>
                  <w:pPr>
                    <w:adjustRightInd w:val="0"/>
                    <w:jc w:val="center"/>
                    <w:rPr>
                      <w:szCs w:val="21"/>
                    </w:rPr>
                  </w:pPr>
                  <w:r>
                    <w:rPr>
                      <w:rFonts w:hint="eastAsia"/>
                      <w:szCs w:val="21"/>
                    </w:rPr>
                    <w:t>定期清淘，用于周围农田灌溉施肥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restart"/>
                  <w:tcBorders>
                    <w:tl2br w:val="nil"/>
                    <w:tr2bl w:val="nil"/>
                  </w:tcBorders>
                  <w:vAlign w:val="center"/>
                </w:tcPr>
                <w:p>
                  <w:pPr>
                    <w:adjustRightInd w:val="0"/>
                    <w:jc w:val="center"/>
                    <w:rPr>
                      <w:szCs w:val="21"/>
                      <w:lang w:val="en-GB"/>
                    </w:rPr>
                  </w:pPr>
                  <w:r>
                    <w:rPr>
                      <w:szCs w:val="21"/>
                      <w:lang w:val="en-GB"/>
                    </w:rPr>
                    <w:t>废气</w:t>
                  </w:r>
                </w:p>
              </w:tc>
              <w:tc>
                <w:tcPr>
                  <w:tcW w:w="633" w:type="pct"/>
                  <w:tcBorders>
                    <w:tl2br w:val="nil"/>
                    <w:tr2bl w:val="nil"/>
                  </w:tcBorders>
                  <w:vAlign w:val="center"/>
                </w:tcPr>
                <w:p>
                  <w:pPr>
                    <w:adjustRightInd w:val="0"/>
                    <w:jc w:val="center"/>
                    <w:rPr>
                      <w:szCs w:val="21"/>
                    </w:rPr>
                  </w:pPr>
                  <w:r>
                    <w:rPr>
                      <w:rFonts w:hint="eastAsia"/>
                      <w:szCs w:val="21"/>
                    </w:rPr>
                    <w:t>有组织</w:t>
                  </w:r>
                </w:p>
              </w:tc>
              <w:tc>
                <w:tcPr>
                  <w:tcW w:w="606" w:type="pct"/>
                  <w:tcBorders>
                    <w:tl2br w:val="nil"/>
                    <w:tr2bl w:val="nil"/>
                  </w:tcBorders>
                  <w:vAlign w:val="center"/>
                </w:tcPr>
                <w:p>
                  <w:pPr>
                    <w:adjustRightInd w:val="0"/>
                    <w:jc w:val="center"/>
                    <w:rPr>
                      <w:szCs w:val="21"/>
                    </w:rPr>
                  </w:pPr>
                  <w:r>
                    <w:rPr>
                      <w:rFonts w:hint="eastAsia"/>
                      <w:szCs w:val="21"/>
                    </w:rPr>
                    <w:t>粉尘</w:t>
                  </w:r>
                </w:p>
              </w:tc>
              <w:tc>
                <w:tcPr>
                  <w:tcW w:w="919" w:type="pct"/>
                  <w:tcBorders>
                    <w:tl2br w:val="nil"/>
                    <w:tr2bl w:val="nil"/>
                  </w:tcBorders>
                  <w:vAlign w:val="center"/>
                </w:tcPr>
                <w:p>
                  <w:pPr>
                    <w:adjustRightInd w:val="0"/>
                    <w:jc w:val="center"/>
                    <w:rPr>
                      <w:szCs w:val="21"/>
                      <w:lang w:val="en-GB"/>
                    </w:rPr>
                  </w:pPr>
                  <w:r>
                    <w:rPr>
                      <w:rFonts w:hint="eastAsia"/>
                      <w:szCs w:val="21"/>
                      <w:lang w:val="en-GB"/>
                    </w:rPr>
                    <w:t>颗粒物</w:t>
                  </w:r>
                </w:p>
              </w:tc>
              <w:tc>
                <w:tcPr>
                  <w:tcW w:w="2423" w:type="pct"/>
                  <w:gridSpan w:val="2"/>
                  <w:tcBorders>
                    <w:tl2br w:val="nil"/>
                    <w:tr2bl w:val="nil"/>
                  </w:tcBorders>
                  <w:vAlign w:val="center"/>
                </w:tcPr>
                <w:p>
                  <w:pPr>
                    <w:adjustRightInd w:val="0"/>
                    <w:jc w:val="center"/>
                    <w:rPr>
                      <w:szCs w:val="21"/>
                    </w:rPr>
                  </w:pPr>
                  <w:r>
                    <w:rPr>
                      <w:rFonts w:hint="eastAsia"/>
                      <w:szCs w:val="21"/>
                    </w:rPr>
                    <w:t>0.4t</w:t>
                  </w:r>
                  <w:r>
                    <w:rPr>
                      <w:szCs w:val="21"/>
                    </w:rPr>
                    <w:t>/a，</w:t>
                  </w:r>
                  <w:r>
                    <w:rPr>
                      <w:rFonts w:hint="eastAsia"/>
                      <w:szCs w:val="21"/>
                    </w:rPr>
                    <w:t>0.16</w:t>
                  </w:r>
                  <w:r>
                    <w:rPr>
                      <w:szCs w:val="21"/>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continue"/>
                  <w:tcBorders>
                    <w:tl2br w:val="nil"/>
                    <w:tr2bl w:val="nil"/>
                  </w:tcBorders>
                  <w:vAlign w:val="center"/>
                </w:tcPr>
                <w:p>
                  <w:pPr>
                    <w:adjustRightInd w:val="0"/>
                    <w:jc w:val="center"/>
                    <w:rPr>
                      <w:szCs w:val="21"/>
                      <w:lang w:val="en-GB"/>
                    </w:rPr>
                  </w:pPr>
                </w:p>
              </w:tc>
              <w:tc>
                <w:tcPr>
                  <w:tcW w:w="633" w:type="pct"/>
                  <w:tcBorders>
                    <w:tl2br w:val="nil"/>
                    <w:tr2bl w:val="nil"/>
                  </w:tcBorders>
                  <w:vAlign w:val="center"/>
                </w:tcPr>
                <w:p>
                  <w:pPr>
                    <w:adjustRightInd w:val="0"/>
                    <w:jc w:val="center"/>
                    <w:rPr>
                      <w:szCs w:val="21"/>
                    </w:rPr>
                  </w:pPr>
                  <w:r>
                    <w:rPr>
                      <w:rFonts w:hint="eastAsia"/>
                      <w:szCs w:val="21"/>
                    </w:rPr>
                    <w:t>无组织</w:t>
                  </w:r>
                </w:p>
              </w:tc>
              <w:tc>
                <w:tcPr>
                  <w:tcW w:w="606" w:type="pct"/>
                  <w:tcBorders>
                    <w:tl2br w:val="nil"/>
                    <w:tr2bl w:val="nil"/>
                  </w:tcBorders>
                  <w:vAlign w:val="center"/>
                </w:tcPr>
                <w:p>
                  <w:pPr>
                    <w:adjustRightInd w:val="0"/>
                    <w:jc w:val="center"/>
                    <w:rPr>
                      <w:szCs w:val="21"/>
                    </w:rPr>
                  </w:pPr>
                  <w:r>
                    <w:rPr>
                      <w:rFonts w:hint="eastAsia"/>
                      <w:szCs w:val="21"/>
                    </w:rPr>
                    <w:t>粉尘</w:t>
                  </w:r>
                </w:p>
              </w:tc>
              <w:tc>
                <w:tcPr>
                  <w:tcW w:w="919" w:type="pct"/>
                  <w:tcBorders>
                    <w:tl2br w:val="nil"/>
                    <w:tr2bl w:val="nil"/>
                  </w:tcBorders>
                  <w:vAlign w:val="center"/>
                </w:tcPr>
                <w:p>
                  <w:pPr>
                    <w:adjustRightInd w:val="0"/>
                    <w:jc w:val="center"/>
                    <w:rPr>
                      <w:szCs w:val="21"/>
                      <w:lang w:val="en-GB"/>
                    </w:rPr>
                  </w:pPr>
                  <w:r>
                    <w:rPr>
                      <w:rFonts w:hint="eastAsia"/>
                      <w:szCs w:val="21"/>
                      <w:lang w:val="en-GB"/>
                    </w:rPr>
                    <w:t>颗粒物</w:t>
                  </w:r>
                </w:p>
              </w:tc>
              <w:tc>
                <w:tcPr>
                  <w:tcW w:w="2423" w:type="pct"/>
                  <w:gridSpan w:val="2"/>
                  <w:tcBorders>
                    <w:tl2br w:val="nil"/>
                    <w:tr2bl w:val="nil"/>
                  </w:tcBorders>
                  <w:vAlign w:val="center"/>
                </w:tcPr>
                <w:p>
                  <w:pPr>
                    <w:adjustRightInd w:val="0"/>
                    <w:jc w:val="center"/>
                    <w:rPr>
                      <w:szCs w:val="21"/>
                    </w:rPr>
                  </w:pPr>
                  <w:r>
                    <w:rPr>
                      <w:rFonts w:hint="eastAsia"/>
                      <w:szCs w:val="21"/>
                    </w:rPr>
                    <w:t>0.47t</w:t>
                  </w:r>
                  <w:r>
                    <w:rPr>
                      <w:szCs w:val="21"/>
                    </w:rPr>
                    <w:t>/a，</w:t>
                  </w:r>
                  <w:r>
                    <w:rPr>
                      <w:rFonts w:hint="eastAsia"/>
                      <w:szCs w:val="21"/>
                    </w:rPr>
                    <w:t>0.19</w:t>
                  </w:r>
                  <w:r>
                    <w:rPr>
                      <w:szCs w:val="21"/>
                    </w:rPr>
                    <w:t>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tcBorders>
                    <w:tl2br w:val="nil"/>
                    <w:tr2bl w:val="nil"/>
                  </w:tcBorders>
                  <w:vAlign w:val="center"/>
                </w:tcPr>
                <w:p>
                  <w:pPr>
                    <w:adjustRightInd w:val="0"/>
                    <w:jc w:val="center"/>
                    <w:rPr>
                      <w:szCs w:val="21"/>
                      <w:lang w:val="en-GB"/>
                    </w:rPr>
                  </w:pPr>
                  <w:r>
                    <w:rPr>
                      <w:szCs w:val="21"/>
                      <w:lang w:val="en-GB"/>
                    </w:rPr>
                    <w:t>噪声</w:t>
                  </w:r>
                </w:p>
              </w:tc>
              <w:tc>
                <w:tcPr>
                  <w:tcW w:w="1239" w:type="pct"/>
                  <w:gridSpan w:val="2"/>
                  <w:tcBorders>
                    <w:tl2br w:val="nil"/>
                    <w:tr2bl w:val="nil"/>
                  </w:tcBorders>
                  <w:vAlign w:val="center"/>
                </w:tcPr>
                <w:p>
                  <w:pPr>
                    <w:adjustRightInd w:val="0"/>
                    <w:jc w:val="center"/>
                    <w:rPr>
                      <w:szCs w:val="21"/>
                      <w:lang w:val="en-GB"/>
                    </w:rPr>
                  </w:pPr>
                  <w:r>
                    <w:rPr>
                      <w:szCs w:val="21"/>
                      <w:lang w:val="en-GB"/>
                    </w:rPr>
                    <w:t>场界噪声</w:t>
                  </w:r>
                </w:p>
              </w:tc>
              <w:tc>
                <w:tcPr>
                  <w:tcW w:w="919" w:type="pct"/>
                  <w:tcBorders>
                    <w:tl2br w:val="nil"/>
                    <w:tr2bl w:val="nil"/>
                  </w:tcBorders>
                  <w:vAlign w:val="center"/>
                </w:tcPr>
                <w:p>
                  <w:pPr>
                    <w:adjustRightInd w:val="0"/>
                    <w:jc w:val="center"/>
                    <w:rPr>
                      <w:szCs w:val="21"/>
                      <w:lang w:val="en-GB"/>
                    </w:rPr>
                  </w:pPr>
                  <w:r>
                    <w:rPr>
                      <w:szCs w:val="21"/>
                      <w:lang w:val="en-GB"/>
                    </w:rPr>
                    <w:t>dB(A)</w:t>
                  </w:r>
                </w:p>
              </w:tc>
              <w:tc>
                <w:tcPr>
                  <w:tcW w:w="2423" w:type="pct"/>
                  <w:gridSpan w:val="2"/>
                  <w:tcBorders>
                    <w:tl2br w:val="nil"/>
                    <w:tr2bl w:val="nil"/>
                  </w:tcBorders>
                  <w:vAlign w:val="center"/>
                </w:tcPr>
                <w:p>
                  <w:pPr>
                    <w:adjustRightInd w:val="0"/>
                    <w:jc w:val="center"/>
                    <w:rPr>
                      <w:szCs w:val="21"/>
                      <w:lang w:val="en-GB"/>
                    </w:rPr>
                  </w:pPr>
                  <w:r>
                    <w:rPr>
                      <w:szCs w:val="21"/>
                      <w:lang w:val="en-GB"/>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restart"/>
                  <w:tcBorders>
                    <w:tl2br w:val="nil"/>
                    <w:tr2bl w:val="nil"/>
                  </w:tcBorders>
                  <w:vAlign w:val="center"/>
                </w:tcPr>
                <w:p>
                  <w:pPr>
                    <w:adjustRightInd w:val="0"/>
                    <w:jc w:val="center"/>
                    <w:rPr>
                      <w:szCs w:val="21"/>
                      <w:lang w:val="en-GB"/>
                    </w:rPr>
                  </w:pPr>
                  <w:r>
                    <w:rPr>
                      <w:szCs w:val="21"/>
                      <w:lang w:val="en-GB"/>
                    </w:rPr>
                    <w:t>固废</w:t>
                  </w:r>
                </w:p>
              </w:tc>
              <w:tc>
                <w:tcPr>
                  <w:tcW w:w="1239" w:type="pct"/>
                  <w:gridSpan w:val="2"/>
                  <w:tcBorders>
                    <w:tl2br w:val="nil"/>
                    <w:tr2bl w:val="nil"/>
                  </w:tcBorders>
                  <w:vAlign w:val="center"/>
                </w:tcPr>
                <w:p>
                  <w:pPr>
                    <w:adjustRightInd w:val="0"/>
                    <w:jc w:val="center"/>
                    <w:rPr>
                      <w:szCs w:val="21"/>
                      <w:lang w:val="en-GB"/>
                    </w:rPr>
                  </w:pPr>
                  <w:r>
                    <w:rPr>
                      <w:szCs w:val="21"/>
                      <w:lang w:val="en-GB"/>
                    </w:rPr>
                    <w:t>职工办公生活</w:t>
                  </w:r>
                </w:p>
              </w:tc>
              <w:tc>
                <w:tcPr>
                  <w:tcW w:w="919" w:type="pct"/>
                  <w:tcBorders>
                    <w:tl2br w:val="nil"/>
                    <w:tr2bl w:val="nil"/>
                  </w:tcBorders>
                  <w:vAlign w:val="center"/>
                </w:tcPr>
                <w:p>
                  <w:pPr>
                    <w:adjustRightInd w:val="0"/>
                    <w:jc w:val="center"/>
                    <w:rPr>
                      <w:szCs w:val="21"/>
                      <w:lang w:val="en-GB"/>
                    </w:rPr>
                  </w:pPr>
                  <w:r>
                    <w:rPr>
                      <w:szCs w:val="21"/>
                      <w:lang w:val="en-GB"/>
                    </w:rPr>
                    <w:t>生活垃圾</w:t>
                  </w:r>
                </w:p>
              </w:tc>
              <w:tc>
                <w:tcPr>
                  <w:tcW w:w="2423" w:type="pct"/>
                  <w:gridSpan w:val="2"/>
                  <w:tcBorders>
                    <w:tl2br w:val="nil"/>
                    <w:tr2bl w:val="nil"/>
                  </w:tcBorders>
                  <w:vAlign w:val="center"/>
                </w:tcPr>
                <w:p>
                  <w:pPr>
                    <w:adjustRightInd w:val="0"/>
                    <w:jc w:val="center"/>
                    <w:rPr>
                      <w:szCs w:val="21"/>
                      <w:lang w:val="en-GB"/>
                    </w:rPr>
                  </w:pPr>
                  <w:r>
                    <w:rPr>
                      <w:rFonts w:hint="eastAsia"/>
                      <w:szCs w:val="21"/>
                    </w:rPr>
                    <w:t>0.6</w:t>
                  </w:r>
                  <w:r>
                    <w:rPr>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continue"/>
                  <w:tcBorders>
                    <w:tl2br w:val="nil"/>
                    <w:tr2bl w:val="nil"/>
                  </w:tcBorders>
                  <w:vAlign w:val="center"/>
                </w:tcPr>
                <w:p>
                  <w:pPr>
                    <w:adjustRightInd w:val="0"/>
                    <w:jc w:val="center"/>
                    <w:rPr>
                      <w:szCs w:val="21"/>
                      <w:lang w:val="en-GB"/>
                    </w:rPr>
                  </w:pPr>
                </w:p>
              </w:tc>
              <w:tc>
                <w:tcPr>
                  <w:tcW w:w="1239" w:type="pct"/>
                  <w:gridSpan w:val="2"/>
                  <w:vMerge w:val="restart"/>
                  <w:tcBorders>
                    <w:tl2br w:val="nil"/>
                    <w:tr2bl w:val="nil"/>
                  </w:tcBorders>
                  <w:vAlign w:val="center"/>
                </w:tcPr>
                <w:p>
                  <w:pPr>
                    <w:adjustRightInd w:val="0"/>
                    <w:jc w:val="center"/>
                    <w:rPr>
                      <w:szCs w:val="21"/>
                      <w:lang w:val="en-GB"/>
                    </w:rPr>
                  </w:pPr>
                  <w:r>
                    <w:rPr>
                      <w:szCs w:val="21"/>
                      <w:lang w:val="en-GB"/>
                    </w:rPr>
                    <w:t>生产作业</w:t>
                  </w:r>
                </w:p>
              </w:tc>
              <w:tc>
                <w:tcPr>
                  <w:tcW w:w="919" w:type="pct"/>
                  <w:tcBorders>
                    <w:tl2br w:val="nil"/>
                    <w:tr2bl w:val="nil"/>
                  </w:tcBorders>
                  <w:vAlign w:val="center"/>
                </w:tcPr>
                <w:p>
                  <w:pPr>
                    <w:adjustRightInd w:val="0"/>
                    <w:jc w:val="center"/>
                    <w:rPr>
                      <w:szCs w:val="21"/>
                      <w:lang w:val="en-GB"/>
                    </w:rPr>
                  </w:pPr>
                  <w:r>
                    <w:rPr>
                      <w:rFonts w:hint="eastAsia"/>
                    </w:rPr>
                    <w:t>洗车池</w:t>
                  </w:r>
                  <w:r>
                    <w:rPr>
                      <w:rFonts w:hint="eastAsia"/>
                      <w:lang w:val="en-GB"/>
                    </w:rPr>
                    <w:t>沉渣</w:t>
                  </w:r>
                </w:p>
              </w:tc>
              <w:tc>
                <w:tcPr>
                  <w:tcW w:w="2423" w:type="pct"/>
                  <w:gridSpan w:val="2"/>
                  <w:tcBorders>
                    <w:tl2br w:val="nil"/>
                    <w:tr2bl w:val="nil"/>
                  </w:tcBorders>
                  <w:vAlign w:val="center"/>
                </w:tcPr>
                <w:p>
                  <w:pPr>
                    <w:snapToGrid w:val="0"/>
                    <w:spacing w:before="62" w:beforeLines="20" w:line="288" w:lineRule="auto"/>
                    <w:jc w:val="center"/>
                    <w:rPr>
                      <w:szCs w:val="21"/>
                    </w:rPr>
                  </w:pPr>
                  <w:r>
                    <w:rPr>
                      <w:rFonts w:hint="eastAsia"/>
                      <w:szCs w:val="21"/>
                    </w:rPr>
                    <w:t>2.53</w:t>
                  </w:r>
                  <w:r>
                    <w:rPr>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continue"/>
                  <w:tcBorders>
                    <w:tl2br w:val="nil"/>
                    <w:tr2bl w:val="nil"/>
                  </w:tcBorders>
                  <w:vAlign w:val="center"/>
                </w:tcPr>
                <w:p>
                  <w:pPr>
                    <w:adjustRightInd w:val="0"/>
                    <w:jc w:val="center"/>
                    <w:rPr>
                      <w:szCs w:val="21"/>
                      <w:lang w:val="en-GB"/>
                    </w:rPr>
                  </w:pPr>
                </w:p>
              </w:tc>
              <w:tc>
                <w:tcPr>
                  <w:tcW w:w="1239" w:type="pct"/>
                  <w:gridSpan w:val="2"/>
                  <w:vMerge w:val="continue"/>
                  <w:tcBorders>
                    <w:tl2br w:val="nil"/>
                    <w:tr2bl w:val="nil"/>
                  </w:tcBorders>
                  <w:vAlign w:val="center"/>
                </w:tcPr>
                <w:p>
                  <w:pPr>
                    <w:adjustRightInd w:val="0"/>
                    <w:jc w:val="center"/>
                    <w:rPr>
                      <w:szCs w:val="21"/>
                      <w:lang w:val="en-GB"/>
                    </w:rPr>
                  </w:pPr>
                </w:p>
              </w:tc>
              <w:tc>
                <w:tcPr>
                  <w:tcW w:w="919" w:type="pct"/>
                  <w:tcBorders>
                    <w:tl2br w:val="nil"/>
                    <w:tr2bl w:val="nil"/>
                  </w:tcBorders>
                  <w:vAlign w:val="center"/>
                </w:tcPr>
                <w:p>
                  <w:pPr>
                    <w:adjustRightInd w:val="0"/>
                    <w:jc w:val="center"/>
                  </w:pPr>
                  <w:r>
                    <w:rPr>
                      <w:rFonts w:hint="eastAsia"/>
                    </w:rPr>
                    <w:t>废润滑油</w:t>
                  </w:r>
                </w:p>
              </w:tc>
              <w:tc>
                <w:tcPr>
                  <w:tcW w:w="2423" w:type="pct"/>
                  <w:gridSpan w:val="2"/>
                  <w:tcBorders>
                    <w:tl2br w:val="nil"/>
                    <w:tr2bl w:val="nil"/>
                  </w:tcBorders>
                  <w:vAlign w:val="center"/>
                </w:tcPr>
                <w:p>
                  <w:pPr>
                    <w:snapToGrid w:val="0"/>
                    <w:spacing w:before="62" w:beforeLines="20" w:line="288" w:lineRule="auto"/>
                    <w:jc w:val="center"/>
                    <w:rPr>
                      <w:szCs w:val="21"/>
                    </w:rPr>
                  </w:pPr>
                  <w:r>
                    <w:rPr>
                      <w:rFonts w:hint="eastAsia"/>
                      <w:szCs w:val="21"/>
                    </w:rPr>
                    <w:t>0.02</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417" w:type="pct"/>
                  <w:vMerge w:val="continue"/>
                  <w:tcBorders>
                    <w:tl2br w:val="nil"/>
                    <w:tr2bl w:val="nil"/>
                  </w:tcBorders>
                  <w:vAlign w:val="center"/>
                </w:tcPr>
                <w:p>
                  <w:pPr>
                    <w:adjustRightInd w:val="0"/>
                    <w:jc w:val="center"/>
                    <w:rPr>
                      <w:szCs w:val="21"/>
                      <w:lang w:val="en-GB"/>
                    </w:rPr>
                  </w:pPr>
                </w:p>
              </w:tc>
              <w:tc>
                <w:tcPr>
                  <w:tcW w:w="1239" w:type="pct"/>
                  <w:gridSpan w:val="2"/>
                  <w:vMerge w:val="continue"/>
                  <w:tcBorders>
                    <w:tl2br w:val="nil"/>
                    <w:tr2bl w:val="nil"/>
                  </w:tcBorders>
                  <w:vAlign w:val="center"/>
                </w:tcPr>
                <w:p>
                  <w:pPr>
                    <w:adjustRightInd w:val="0"/>
                    <w:jc w:val="center"/>
                    <w:rPr>
                      <w:szCs w:val="21"/>
                      <w:lang w:val="en-GB"/>
                    </w:rPr>
                  </w:pPr>
                </w:p>
              </w:tc>
              <w:tc>
                <w:tcPr>
                  <w:tcW w:w="919" w:type="pct"/>
                  <w:tcBorders>
                    <w:tl2br w:val="nil"/>
                    <w:tr2bl w:val="nil"/>
                  </w:tcBorders>
                  <w:vAlign w:val="center"/>
                </w:tcPr>
                <w:p>
                  <w:pPr>
                    <w:adjustRightInd w:val="0"/>
                    <w:jc w:val="center"/>
                  </w:pPr>
                  <w:r>
                    <w:rPr>
                      <w:rFonts w:hint="eastAsia"/>
                    </w:rPr>
                    <w:t>除尘器收尘灰</w:t>
                  </w:r>
                </w:p>
              </w:tc>
              <w:tc>
                <w:tcPr>
                  <w:tcW w:w="2423" w:type="pct"/>
                  <w:gridSpan w:val="2"/>
                  <w:tcBorders>
                    <w:tl2br w:val="nil"/>
                    <w:tr2bl w:val="nil"/>
                  </w:tcBorders>
                  <w:vAlign w:val="center"/>
                </w:tcPr>
                <w:p>
                  <w:pPr>
                    <w:snapToGrid w:val="0"/>
                    <w:spacing w:before="62" w:beforeLines="20" w:line="288" w:lineRule="auto"/>
                    <w:jc w:val="center"/>
                    <w:rPr>
                      <w:szCs w:val="21"/>
                    </w:rPr>
                  </w:pPr>
                  <w:r>
                    <w:rPr>
                      <w:rFonts w:hint="eastAsia"/>
                      <w:szCs w:val="21"/>
                    </w:rPr>
                    <w:t>43.8</w:t>
                  </w:r>
                  <w:r>
                    <w:rPr>
                      <w:szCs w:val="21"/>
                    </w:rPr>
                    <w:t>t/a</w:t>
                  </w:r>
                </w:p>
              </w:tc>
            </w:tr>
          </w:tbl>
          <w:p>
            <w:pPr>
              <w:spacing w:before="156" w:beforeLines="50" w:line="360" w:lineRule="auto"/>
              <w:rPr>
                <w:b/>
                <w:sz w:val="30"/>
                <w:szCs w:val="30"/>
              </w:rPr>
            </w:pPr>
            <w:r>
              <w:rPr>
                <w:b/>
                <w:sz w:val="30"/>
                <w:szCs w:val="30"/>
              </w:rPr>
              <w:t>四、环保投资估算及建设项目竣工验收</w:t>
            </w:r>
          </w:p>
          <w:p>
            <w:pPr>
              <w:adjustRightInd w:val="0"/>
              <w:spacing w:line="360" w:lineRule="auto"/>
              <w:ind w:firstLine="480" w:firstLineChars="200"/>
              <w:jc w:val="left"/>
              <w:rPr>
                <w:snapToGrid w:val="0"/>
                <w:kern w:val="0"/>
                <w:sz w:val="24"/>
              </w:rPr>
            </w:pPr>
            <w:r>
              <w:rPr>
                <w:sz w:val="24"/>
                <w:szCs w:val="30"/>
                <w:lang w:val="en-GB"/>
              </w:rPr>
              <w:t>1</w:t>
            </w:r>
            <w:r>
              <w:rPr>
                <w:rFonts w:hint="eastAsia"/>
                <w:sz w:val="24"/>
                <w:szCs w:val="30"/>
                <w:lang w:val="en-GB"/>
              </w:rPr>
              <w:t>、</w:t>
            </w:r>
            <w:r>
              <w:rPr>
                <w:sz w:val="24"/>
                <w:szCs w:val="30"/>
                <w:lang w:val="en-GB"/>
              </w:rPr>
              <w:t>环保投资</w:t>
            </w:r>
          </w:p>
          <w:p>
            <w:pPr>
              <w:spacing w:line="440" w:lineRule="exact"/>
              <w:ind w:firstLine="480" w:firstLineChars="200"/>
              <w:rPr>
                <w:sz w:val="24"/>
              </w:rPr>
            </w:pPr>
            <w:r>
              <w:rPr>
                <w:snapToGrid w:val="0"/>
                <w:color w:val="FF0000"/>
                <w:kern w:val="0"/>
                <w:sz w:val="24"/>
              </w:rPr>
              <w:t>本项目总投资</w:t>
            </w:r>
            <w:r>
              <w:rPr>
                <w:rFonts w:hint="eastAsia"/>
                <w:snapToGrid w:val="0"/>
                <w:color w:val="FF0000"/>
                <w:kern w:val="0"/>
                <w:sz w:val="24"/>
              </w:rPr>
              <w:t>3000</w:t>
            </w:r>
            <w:r>
              <w:rPr>
                <w:snapToGrid w:val="0"/>
                <w:color w:val="FF0000"/>
                <w:kern w:val="0"/>
                <w:sz w:val="24"/>
              </w:rPr>
              <w:t>万元，其中环保投资</w:t>
            </w:r>
            <w:r>
              <w:rPr>
                <w:rFonts w:hint="eastAsia"/>
                <w:snapToGrid w:val="0"/>
                <w:color w:val="FF0000"/>
                <w:kern w:val="0"/>
                <w:sz w:val="24"/>
              </w:rPr>
              <w:t>24.5</w:t>
            </w:r>
            <w:r>
              <w:rPr>
                <w:snapToGrid w:val="0"/>
                <w:color w:val="FF0000"/>
                <w:kern w:val="0"/>
                <w:sz w:val="24"/>
              </w:rPr>
              <w:t>万元，环保投资占总投资的</w:t>
            </w:r>
            <w:r>
              <w:rPr>
                <w:rFonts w:hint="eastAsia"/>
                <w:snapToGrid w:val="0"/>
                <w:color w:val="FF0000"/>
                <w:kern w:val="0"/>
                <w:sz w:val="24"/>
              </w:rPr>
              <w:t>0.82</w:t>
            </w:r>
            <w:r>
              <w:rPr>
                <w:snapToGrid w:val="0"/>
                <w:color w:val="FF0000"/>
                <w:kern w:val="0"/>
                <w:sz w:val="24"/>
              </w:rPr>
              <w:t>%，</w:t>
            </w:r>
            <w:r>
              <w:rPr>
                <w:snapToGrid w:val="0"/>
                <w:kern w:val="0"/>
                <w:sz w:val="24"/>
              </w:rPr>
              <w:t>项目环保措施经济可行。</w:t>
            </w:r>
            <w:r>
              <w:rPr>
                <w:sz w:val="24"/>
              </w:rPr>
              <w:t>具体内容见表</w:t>
            </w:r>
            <w:r>
              <w:rPr>
                <w:rFonts w:hint="eastAsia"/>
                <w:sz w:val="24"/>
              </w:rPr>
              <w:t>36</w:t>
            </w:r>
            <w:r>
              <w:rPr>
                <w:sz w:val="24"/>
              </w:rPr>
              <w:t>。</w:t>
            </w:r>
          </w:p>
          <w:p>
            <w:pPr>
              <w:spacing w:line="440" w:lineRule="exact"/>
              <w:jc w:val="center"/>
              <w:rPr>
                <w:b/>
                <w:bCs/>
                <w:snapToGrid w:val="0"/>
                <w:kern w:val="0"/>
                <w:szCs w:val="21"/>
              </w:rPr>
            </w:pPr>
            <w:r>
              <w:rPr>
                <w:b/>
                <w:bCs/>
                <w:snapToGrid w:val="0"/>
                <w:kern w:val="0"/>
                <w:szCs w:val="21"/>
              </w:rPr>
              <w:t>表3</w:t>
            </w:r>
            <w:r>
              <w:rPr>
                <w:rFonts w:hint="eastAsia"/>
                <w:b/>
                <w:bCs/>
                <w:snapToGrid w:val="0"/>
                <w:kern w:val="0"/>
                <w:szCs w:val="21"/>
              </w:rPr>
              <w:t xml:space="preserve">6   </w:t>
            </w:r>
            <w:r>
              <w:rPr>
                <w:b/>
                <w:bCs/>
                <w:snapToGrid w:val="0"/>
                <w:kern w:val="0"/>
                <w:szCs w:val="21"/>
              </w:rPr>
              <w:t xml:space="preserve"> 主要环保投入估算一览表</w:t>
            </w:r>
          </w:p>
          <w:tbl>
            <w:tblPr>
              <w:tblStyle w:val="19"/>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754"/>
              <w:gridCol w:w="2275"/>
              <w:gridCol w:w="4056"/>
              <w:gridCol w:w="19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675" w:type="pct"/>
                  <w:gridSpan w:val="2"/>
                  <w:vAlign w:val="center"/>
                </w:tcPr>
                <w:p>
                  <w:pPr>
                    <w:adjustRightInd w:val="0"/>
                    <w:snapToGrid w:val="0"/>
                    <w:jc w:val="center"/>
                    <w:rPr>
                      <w:szCs w:val="21"/>
                    </w:rPr>
                  </w:pPr>
                  <w:r>
                    <w:rPr>
                      <w:szCs w:val="21"/>
                    </w:rPr>
                    <w:t>治理项目</w:t>
                  </w:r>
                </w:p>
              </w:tc>
              <w:tc>
                <w:tcPr>
                  <w:tcW w:w="2243" w:type="pct"/>
                  <w:vAlign w:val="center"/>
                </w:tcPr>
                <w:p>
                  <w:pPr>
                    <w:adjustRightInd w:val="0"/>
                    <w:snapToGrid w:val="0"/>
                    <w:jc w:val="center"/>
                    <w:rPr>
                      <w:szCs w:val="21"/>
                    </w:rPr>
                  </w:pPr>
                  <w:r>
                    <w:rPr>
                      <w:szCs w:val="21"/>
                    </w:rPr>
                    <w:t>污染物治理设施</w:t>
                  </w:r>
                </w:p>
              </w:tc>
              <w:tc>
                <w:tcPr>
                  <w:tcW w:w="1081" w:type="pct"/>
                  <w:vAlign w:val="center"/>
                </w:tcPr>
                <w:p>
                  <w:pPr>
                    <w:adjustRightInd w:val="0"/>
                    <w:snapToGrid w:val="0"/>
                    <w:jc w:val="center"/>
                    <w:rPr>
                      <w:szCs w:val="21"/>
                    </w:rPr>
                  </w:pPr>
                  <w:r>
                    <w:rPr>
                      <w:szCs w:val="21"/>
                    </w:rPr>
                    <w:t>环保投资（万元）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restart"/>
                  <w:vAlign w:val="center"/>
                </w:tcPr>
                <w:p>
                  <w:pPr>
                    <w:adjustRightInd w:val="0"/>
                    <w:snapToGrid w:val="0"/>
                    <w:ind w:firstLine="105" w:firstLineChars="50"/>
                    <w:jc w:val="center"/>
                    <w:rPr>
                      <w:szCs w:val="21"/>
                    </w:rPr>
                  </w:pPr>
                  <w:r>
                    <w:rPr>
                      <w:szCs w:val="21"/>
                    </w:rPr>
                    <w:t>废气</w:t>
                  </w:r>
                </w:p>
              </w:tc>
              <w:tc>
                <w:tcPr>
                  <w:tcW w:w="1258" w:type="pct"/>
                  <w:vMerge w:val="restart"/>
                  <w:vAlign w:val="center"/>
                </w:tcPr>
                <w:p>
                  <w:pPr>
                    <w:adjustRightInd w:val="0"/>
                    <w:snapToGrid w:val="0"/>
                    <w:jc w:val="center"/>
                    <w:rPr>
                      <w:szCs w:val="21"/>
                    </w:rPr>
                  </w:pPr>
                  <w:r>
                    <w:rPr>
                      <w:rFonts w:hint="eastAsia"/>
                      <w:szCs w:val="21"/>
                    </w:rPr>
                    <w:t>生产车间</w:t>
                  </w:r>
                  <w:r>
                    <w:rPr>
                      <w:szCs w:val="21"/>
                    </w:rPr>
                    <w:t>粉尘</w:t>
                  </w:r>
                </w:p>
              </w:tc>
              <w:tc>
                <w:tcPr>
                  <w:tcW w:w="2243" w:type="pct"/>
                  <w:vAlign w:val="center"/>
                </w:tcPr>
                <w:p>
                  <w:pPr>
                    <w:adjustRightInd w:val="0"/>
                    <w:snapToGrid w:val="0"/>
                    <w:jc w:val="center"/>
                    <w:rPr>
                      <w:szCs w:val="21"/>
                    </w:rPr>
                  </w:pPr>
                  <w:r>
                    <w:rPr>
                      <w:rFonts w:hint="eastAsia" w:ascii="宋体" w:hAnsi="宋体"/>
                      <w:szCs w:val="21"/>
                    </w:rPr>
                    <w:t>集气罩</w:t>
                  </w:r>
                  <w:r>
                    <w:rPr>
                      <w:rFonts w:hint="eastAsia"/>
                      <w:szCs w:val="21"/>
                    </w:rPr>
                    <w:t>+</w:t>
                  </w:r>
                  <w:r>
                    <w:rPr>
                      <w:rFonts w:hint="eastAsia" w:ascii="宋体" w:hAnsi="宋体"/>
                      <w:szCs w:val="21"/>
                    </w:rPr>
                    <w:t>布袋除尘器</w:t>
                  </w:r>
                  <w:r>
                    <w:rPr>
                      <w:rFonts w:hint="eastAsia"/>
                      <w:szCs w:val="21"/>
                    </w:rPr>
                    <w:t>+15m</w:t>
                  </w:r>
                  <w:r>
                    <w:rPr>
                      <w:rFonts w:hint="eastAsia" w:ascii="宋体" w:hAnsi="宋体"/>
                      <w:szCs w:val="21"/>
                    </w:rPr>
                    <w:t>排气筒</w:t>
                  </w:r>
                </w:p>
              </w:tc>
              <w:tc>
                <w:tcPr>
                  <w:tcW w:w="1081" w:type="pct"/>
                  <w:vAlign w:val="center"/>
                </w:tcPr>
                <w:p>
                  <w:pPr>
                    <w:adjustRightInd w:val="0"/>
                    <w:snapToGrid w:val="0"/>
                    <w:jc w:val="center"/>
                    <w:rPr>
                      <w:spacing w:val="-2"/>
                      <w:szCs w:val="21"/>
                    </w:rPr>
                  </w:pPr>
                  <w:r>
                    <w:rPr>
                      <w:rFonts w:hint="eastAsia"/>
                      <w:spacing w:val="-2"/>
                      <w:szCs w:val="21"/>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continue"/>
                  <w:vAlign w:val="center"/>
                </w:tcPr>
                <w:p>
                  <w:pPr>
                    <w:adjustRightInd w:val="0"/>
                    <w:snapToGrid w:val="0"/>
                    <w:ind w:firstLine="105" w:firstLineChars="50"/>
                    <w:jc w:val="center"/>
                    <w:rPr>
                      <w:szCs w:val="21"/>
                    </w:rPr>
                  </w:pPr>
                </w:p>
              </w:tc>
              <w:tc>
                <w:tcPr>
                  <w:tcW w:w="1258" w:type="pct"/>
                  <w:vMerge w:val="continue"/>
                  <w:vAlign w:val="center"/>
                </w:tcPr>
                <w:p>
                  <w:pPr>
                    <w:adjustRightInd w:val="0"/>
                    <w:snapToGrid w:val="0"/>
                    <w:jc w:val="center"/>
                    <w:rPr>
                      <w:szCs w:val="21"/>
                    </w:rPr>
                  </w:pPr>
                </w:p>
              </w:tc>
              <w:tc>
                <w:tcPr>
                  <w:tcW w:w="2243" w:type="pct"/>
                  <w:vAlign w:val="center"/>
                </w:tcPr>
                <w:p>
                  <w:pPr>
                    <w:adjustRightInd w:val="0"/>
                    <w:snapToGrid w:val="0"/>
                    <w:jc w:val="center"/>
                    <w:rPr>
                      <w:rFonts w:ascii="宋体" w:hAnsi="宋体"/>
                      <w:szCs w:val="21"/>
                    </w:rPr>
                  </w:pPr>
                  <w:r>
                    <w:rPr>
                      <w:spacing w:val="-2"/>
                      <w:szCs w:val="21"/>
                    </w:rPr>
                    <w:t>车间顶部喷淋装置</w:t>
                  </w:r>
                </w:p>
              </w:tc>
              <w:tc>
                <w:tcPr>
                  <w:tcW w:w="1081" w:type="pct"/>
                  <w:vAlign w:val="center"/>
                </w:tcPr>
                <w:p>
                  <w:pPr>
                    <w:adjustRightInd w:val="0"/>
                    <w:snapToGrid w:val="0"/>
                    <w:jc w:val="center"/>
                    <w:rPr>
                      <w:spacing w:val="-2"/>
                      <w:szCs w:val="21"/>
                    </w:rPr>
                  </w:pPr>
                  <w:r>
                    <w:rPr>
                      <w:rFonts w:hint="eastAsia"/>
                      <w:spacing w:val="-2"/>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continue"/>
                  <w:vAlign w:val="center"/>
                </w:tcPr>
                <w:p>
                  <w:pPr>
                    <w:adjustRightInd w:val="0"/>
                    <w:snapToGrid w:val="0"/>
                    <w:ind w:firstLine="105" w:firstLineChars="50"/>
                    <w:jc w:val="center"/>
                    <w:rPr>
                      <w:szCs w:val="21"/>
                    </w:rPr>
                  </w:pPr>
                </w:p>
              </w:tc>
              <w:tc>
                <w:tcPr>
                  <w:tcW w:w="1258" w:type="pct"/>
                  <w:vAlign w:val="center"/>
                </w:tcPr>
                <w:p>
                  <w:pPr>
                    <w:adjustRightInd w:val="0"/>
                    <w:snapToGrid w:val="0"/>
                    <w:jc w:val="center"/>
                    <w:rPr>
                      <w:szCs w:val="21"/>
                    </w:rPr>
                  </w:pPr>
                  <w:r>
                    <w:rPr>
                      <w:rFonts w:hint="eastAsia"/>
                      <w:szCs w:val="21"/>
                    </w:rPr>
                    <w:t>原料堆场粉尘</w:t>
                  </w:r>
                </w:p>
              </w:tc>
              <w:tc>
                <w:tcPr>
                  <w:tcW w:w="2243" w:type="pct"/>
                  <w:vAlign w:val="center"/>
                </w:tcPr>
                <w:p>
                  <w:pPr>
                    <w:adjustRightInd w:val="0"/>
                    <w:snapToGrid w:val="0"/>
                    <w:jc w:val="center"/>
                    <w:rPr>
                      <w:szCs w:val="21"/>
                    </w:rPr>
                  </w:pPr>
                  <w:r>
                    <w:rPr>
                      <w:spacing w:val="-2"/>
                      <w:szCs w:val="21"/>
                    </w:rPr>
                    <w:t>车间顶部喷淋装置</w:t>
                  </w:r>
                </w:p>
              </w:tc>
              <w:tc>
                <w:tcPr>
                  <w:tcW w:w="1081" w:type="pct"/>
                  <w:vAlign w:val="center"/>
                </w:tcPr>
                <w:p>
                  <w:pPr>
                    <w:adjustRightInd w:val="0"/>
                    <w:snapToGrid w:val="0"/>
                    <w:jc w:val="center"/>
                    <w:rPr>
                      <w:spacing w:val="-2"/>
                      <w:szCs w:val="21"/>
                    </w:rPr>
                  </w:pPr>
                  <w:r>
                    <w:rPr>
                      <w:rFonts w:hint="eastAsia"/>
                      <w:spacing w:val="-2"/>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continue"/>
                  <w:vAlign w:val="center"/>
                </w:tcPr>
                <w:p>
                  <w:pPr>
                    <w:adjustRightInd w:val="0"/>
                    <w:snapToGrid w:val="0"/>
                    <w:ind w:firstLine="105" w:firstLineChars="50"/>
                    <w:jc w:val="center"/>
                    <w:rPr>
                      <w:szCs w:val="21"/>
                    </w:rPr>
                  </w:pPr>
                </w:p>
              </w:tc>
              <w:tc>
                <w:tcPr>
                  <w:tcW w:w="1258" w:type="pct"/>
                  <w:vAlign w:val="center"/>
                </w:tcPr>
                <w:p>
                  <w:pPr>
                    <w:adjustRightInd w:val="0"/>
                    <w:snapToGrid w:val="0"/>
                    <w:jc w:val="center"/>
                    <w:rPr>
                      <w:szCs w:val="21"/>
                    </w:rPr>
                  </w:pPr>
                  <w:r>
                    <w:rPr>
                      <w:rFonts w:hint="eastAsia"/>
                      <w:szCs w:val="21"/>
                    </w:rPr>
                    <w:t>成品料堆场</w:t>
                  </w:r>
                  <w:r>
                    <w:rPr>
                      <w:szCs w:val="21"/>
                    </w:rPr>
                    <w:t>粉尘</w:t>
                  </w:r>
                </w:p>
              </w:tc>
              <w:tc>
                <w:tcPr>
                  <w:tcW w:w="2243" w:type="pct"/>
                  <w:vAlign w:val="center"/>
                </w:tcPr>
                <w:p>
                  <w:pPr>
                    <w:adjustRightInd w:val="0"/>
                    <w:snapToGrid w:val="0"/>
                    <w:jc w:val="center"/>
                    <w:rPr>
                      <w:szCs w:val="21"/>
                    </w:rPr>
                  </w:pPr>
                  <w:r>
                    <w:rPr>
                      <w:spacing w:val="-2"/>
                      <w:szCs w:val="21"/>
                    </w:rPr>
                    <w:t>车间顶部喷淋装置</w:t>
                  </w:r>
                </w:p>
              </w:tc>
              <w:tc>
                <w:tcPr>
                  <w:tcW w:w="1081" w:type="pct"/>
                  <w:vAlign w:val="center"/>
                </w:tcPr>
                <w:p>
                  <w:pPr>
                    <w:adjustRightInd w:val="0"/>
                    <w:snapToGrid w:val="0"/>
                    <w:jc w:val="center"/>
                    <w:rPr>
                      <w:spacing w:val="-2"/>
                      <w:szCs w:val="21"/>
                    </w:rPr>
                  </w:pPr>
                  <w:r>
                    <w:rPr>
                      <w:rFonts w:hint="eastAsia"/>
                      <w:spacing w:val="-2"/>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continue"/>
                  <w:vAlign w:val="center"/>
                </w:tcPr>
                <w:p>
                  <w:pPr>
                    <w:adjustRightInd w:val="0"/>
                    <w:snapToGrid w:val="0"/>
                    <w:ind w:firstLine="105" w:firstLineChars="50"/>
                    <w:jc w:val="center"/>
                    <w:rPr>
                      <w:szCs w:val="21"/>
                    </w:rPr>
                  </w:pPr>
                </w:p>
              </w:tc>
              <w:tc>
                <w:tcPr>
                  <w:tcW w:w="1258" w:type="pct"/>
                  <w:vAlign w:val="center"/>
                </w:tcPr>
                <w:p>
                  <w:pPr>
                    <w:adjustRightInd w:val="0"/>
                    <w:snapToGrid w:val="0"/>
                    <w:jc w:val="center"/>
                    <w:rPr>
                      <w:szCs w:val="21"/>
                    </w:rPr>
                  </w:pPr>
                  <w:r>
                    <w:rPr>
                      <w:rFonts w:hint="eastAsia"/>
                      <w:szCs w:val="21"/>
                    </w:rPr>
                    <w:t>道路运输粉尘</w:t>
                  </w:r>
                </w:p>
              </w:tc>
              <w:tc>
                <w:tcPr>
                  <w:tcW w:w="2243" w:type="pct"/>
                  <w:vAlign w:val="center"/>
                </w:tcPr>
                <w:p>
                  <w:pPr>
                    <w:adjustRightInd w:val="0"/>
                    <w:snapToGrid w:val="0"/>
                    <w:jc w:val="center"/>
                    <w:rPr>
                      <w:spacing w:val="-2"/>
                      <w:szCs w:val="21"/>
                    </w:rPr>
                  </w:pPr>
                  <w:r>
                    <w:rPr>
                      <w:rFonts w:hint="eastAsia"/>
                      <w:spacing w:val="-2"/>
                      <w:szCs w:val="21"/>
                    </w:rPr>
                    <w:t>喷淋装置</w:t>
                  </w:r>
                </w:p>
              </w:tc>
              <w:tc>
                <w:tcPr>
                  <w:tcW w:w="1081" w:type="pct"/>
                  <w:vAlign w:val="center"/>
                </w:tcPr>
                <w:p>
                  <w:pPr>
                    <w:adjustRightInd w:val="0"/>
                    <w:snapToGrid w:val="0"/>
                    <w:jc w:val="center"/>
                    <w:rPr>
                      <w:spacing w:val="-2"/>
                      <w:szCs w:val="21"/>
                    </w:rPr>
                  </w:pPr>
                  <w:r>
                    <w:rPr>
                      <w:rFonts w:hint="eastAsia"/>
                      <w:spacing w:val="-2"/>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restart"/>
                  <w:vAlign w:val="center"/>
                </w:tcPr>
                <w:p>
                  <w:pPr>
                    <w:adjustRightInd w:val="0"/>
                    <w:snapToGrid w:val="0"/>
                    <w:ind w:firstLine="105" w:firstLineChars="50"/>
                    <w:jc w:val="center"/>
                    <w:rPr>
                      <w:szCs w:val="21"/>
                    </w:rPr>
                  </w:pPr>
                  <w:r>
                    <w:rPr>
                      <w:szCs w:val="21"/>
                    </w:rPr>
                    <w:t>废水</w:t>
                  </w:r>
                </w:p>
              </w:tc>
              <w:tc>
                <w:tcPr>
                  <w:tcW w:w="1258" w:type="pct"/>
                  <w:vAlign w:val="center"/>
                </w:tcPr>
                <w:p>
                  <w:pPr>
                    <w:adjustRightInd w:val="0"/>
                    <w:snapToGrid w:val="0"/>
                    <w:jc w:val="center"/>
                    <w:rPr>
                      <w:szCs w:val="21"/>
                    </w:rPr>
                  </w:pPr>
                  <w:r>
                    <w:rPr>
                      <w:rFonts w:hint="eastAsia"/>
                      <w:szCs w:val="21"/>
                    </w:rPr>
                    <w:t>洗车废水</w:t>
                  </w:r>
                </w:p>
              </w:tc>
              <w:tc>
                <w:tcPr>
                  <w:tcW w:w="2243" w:type="pct"/>
                  <w:vAlign w:val="center"/>
                </w:tcPr>
                <w:p>
                  <w:pPr>
                    <w:adjustRightInd w:val="0"/>
                    <w:snapToGrid w:val="0"/>
                    <w:jc w:val="center"/>
                    <w:rPr>
                      <w:szCs w:val="21"/>
                    </w:rPr>
                  </w:pPr>
                  <w:r>
                    <w:rPr>
                      <w:rFonts w:hint="eastAsia"/>
                      <w:kern w:val="0"/>
                      <w:szCs w:val="21"/>
                    </w:rPr>
                    <w:t>洗车</w:t>
                  </w:r>
                  <w:r>
                    <w:rPr>
                      <w:kern w:val="0"/>
                      <w:szCs w:val="21"/>
                    </w:rPr>
                    <w:t>池（</w:t>
                  </w:r>
                  <w:r>
                    <w:rPr>
                      <w:rFonts w:hint="eastAsia"/>
                      <w:kern w:val="0"/>
                      <w:szCs w:val="21"/>
                    </w:rPr>
                    <w:t>6</w:t>
                  </w:r>
                  <w:r>
                    <w:rPr>
                      <w:kern w:val="0"/>
                      <w:szCs w:val="21"/>
                    </w:rPr>
                    <w:t>m</w:t>
                  </w:r>
                  <w:r>
                    <w:rPr>
                      <w:kern w:val="0"/>
                      <w:szCs w:val="21"/>
                      <w:vertAlign w:val="superscript"/>
                    </w:rPr>
                    <w:t>3</w:t>
                  </w:r>
                  <w:r>
                    <w:rPr>
                      <w:kern w:val="0"/>
                      <w:szCs w:val="21"/>
                    </w:rPr>
                    <w:t>）</w:t>
                  </w:r>
                </w:p>
              </w:tc>
              <w:tc>
                <w:tcPr>
                  <w:tcW w:w="1081" w:type="pct"/>
                  <w:vAlign w:val="center"/>
                </w:tcPr>
                <w:p>
                  <w:pPr>
                    <w:adjustRightInd w:val="0"/>
                    <w:snapToGrid w:val="0"/>
                    <w:jc w:val="center"/>
                    <w:rPr>
                      <w:kern w:val="0"/>
                      <w:szCs w:val="21"/>
                    </w:rPr>
                  </w:pPr>
                  <w:r>
                    <w:rPr>
                      <w:rFonts w:hint="eastAsia"/>
                      <w:kern w:val="0"/>
                      <w:szCs w:val="21"/>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continue"/>
                  <w:vAlign w:val="center"/>
                </w:tcPr>
                <w:p>
                  <w:pPr>
                    <w:adjustRightInd w:val="0"/>
                    <w:snapToGrid w:val="0"/>
                    <w:ind w:firstLine="105" w:firstLineChars="50"/>
                    <w:jc w:val="center"/>
                    <w:rPr>
                      <w:szCs w:val="21"/>
                    </w:rPr>
                  </w:pPr>
                </w:p>
              </w:tc>
              <w:tc>
                <w:tcPr>
                  <w:tcW w:w="1258" w:type="pct"/>
                  <w:vAlign w:val="center"/>
                </w:tcPr>
                <w:p>
                  <w:pPr>
                    <w:adjustRightInd w:val="0"/>
                    <w:snapToGrid w:val="0"/>
                    <w:jc w:val="center"/>
                    <w:rPr>
                      <w:szCs w:val="21"/>
                    </w:rPr>
                  </w:pPr>
                  <w:r>
                    <w:rPr>
                      <w:rFonts w:hint="eastAsia"/>
                      <w:szCs w:val="21"/>
                    </w:rPr>
                    <w:t>生活污水</w:t>
                  </w:r>
                </w:p>
              </w:tc>
              <w:tc>
                <w:tcPr>
                  <w:tcW w:w="2243" w:type="pct"/>
                  <w:vAlign w:val="center"/>
                </w:tcPr>
                <w:p>
                  <w:pPr>
                    <w:adjustRightInd w:val="0"/>
                    <w:snapToGrid w:val="0"/>
                    <w:jc w:val="center"/>
                    <w:rPr>
                      <w:kern w:val="0"/>
                      <w:szCs w:val="21"/>
                    </w:rPr>
                  </w:pPr>
                  <w:r>
                    <w:rPr>
                      <w:rFonts w:hint="eastAsia"/>
                      <w:kern w:val="0"/>
                      <w:szCs w:val="21"/>
                    </w:rPr>
                    <w:t>旱厕</w:t>
                  </w:r>
                  <w:r>
                    <w:rPr>
                      <w:kern w:val="0"/>
                      <w:szCs w:val="21"/>
                    </w:rPr>
                    <w:t>（</w:t>
                  </w:r>
                  <w:r>
                    <w:rPr>
                      <w:rFonts w:hint="eastAsia"/>
                      <w:kern w:val="0"/>
                      <w:szCs w:val="21"/>
                    </w:rPr>
                    <w:t>1</w:t>
                  </w:r>
                  <w:r>
                    <w:rPr>
                      <w:kern w:val="0"/>
                      <w:szCs w:val="21"/>
                    </w:rPr>
                    <w:t>m</w:t>
                  </w:r>
                  <w:r>
                    <w:rPr>
                      <w:kern w:val="0"/>
                      <w:szCs w:val="21"/>
                      <w:vertAlign w:val="superscript"/>
                    </w:rPr>
                    <w:t>3</w:t>
                  </w:r>
                  <w:r>
                    <w:rPr>
                      <w:kern w:val="0"/>
                      <w:szCs w:val="21"/>
                    </w:rPr>
                    <w:t>）</w:t>
                  </w:r>
                </w:p>
              </w:tc>
              <w:tc>
                <w:tcPr>
                  <w:tcW w:w="1081" w:type="pct"/>
                  <w:vAlign w:val="center"/>
                </w:tcPr>
                <w:p>
                  <w:pPr>
                    <w:adjustRightInd w:val="0"/>
                    <w:snapToGrid w:val="0"/>
                    <w:jc w:val="center"/>
                    <w:rPr>
                      <w:kern w:val="0"/>
                      <w:szCs w:val="21"/>
                    </w:rPr>
                  </w:pPr>
                  <w:r>
                    <w:rPr>
                      <w:rFonts w:hint="eastAsia"/>
                      <w:kern w:val="0"/>
                      <w:szCs w:val="21"/>
                    </w:rPr>
                    <w:t>0.3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Align w:val="center"/>
                </w:tcPr>
                <w:p>
                  <w:pPr>
                    <w:adjustRightInd w:val="0"/>
                    <w:snapToGrid w:val="0"/>
                    <w:jc w:val="center"/>
                    <w:rPr>
                      <w:szCs w:val="21"/>
                    </w:rPr>
                  </w:pPr>
                  <w:r>
                    <w:rPr>
                      <w:szCs w:val="21"/>
                    </w:rPr>
                    <w:t>噪声</w:t>
                  </w:r>
                </w:p>
              </w:tc>
              <w:tc>
                <w:tcPr>
                  <w:tcW w:w="1258" w:type="pct"/>
                  <w:vAlign w:val="center"/>
                </w:tcPr>
                <w:p>
                  <w:pPr>
                    <w:adjustRightInd w:val="0"/>
                    <w:snapToGrid w:val="0"/>
                    <w:jc w:val="center"/>
                    <w:rPr>
                      <w:szCs w:val="21"/>
                    </w:rPr>
                  </w:pPr>
                  <w:r>
                    <w:rPr>
                      <w:szCs w:val="21"/>
                    </w:rPr>
                    <w:t>设备噪声</w:t>
                  </w:r>
                </w:p>
              </w:tc>
              <w:tc>
                <w:tcPr>
                  <w:tcW w:w="2243" w:type="pct"/>
                  <w:vAlign w:val="center"/>
                </w:tcPr>
                <w:p>
                  <w:pPr>
                    <w:adjustRightInd w:val="0"/>
                    <w:snapToGrid w:val="0"/>
                    <w:jc w:val="center"/>
                    <w:rPr>
                      <w:szCs w:val="21"/>
                    </w:rPr>
                  </w:pPr>
                  <w:r>
                    <w:rPr>
                      <w:szCs w:val="21"/>
                    </w:rPr>
                    <w:t>隔声、基础减振</w:t>
                  </w:r>
                </w:p>
              </w:tc>
              <w:tc>
                <w:tcPr>
                  <w:tcW w:w="1081" w:type="pct"/>
                  <w:vAlign w:val="center"/>
                </w:tcPr>
                <w:p>
                  <w:pPr>
                    <w:adjustRightInd w:val="0"/>
                    <w:snapToGrid w:val="0"/>
                    <w:jc w:val="center"/>
                    <w:rPr>
                      <w:szCs w:val="21"/>
                    </w:rPr>
                  </w:pPr>
                  <w:r>
                    <w:rPr>
                      <w:rFonts w:hint="eastAsia"/>
                      <w:szCs w:val="21"/>
                    </w:rPr>
                    <w:t>4.5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restart"/>
                  <w:vAlign w:val="center"/>
                </w:tcPr>
                <w:p>
                  <w:pPr>
                    <w:adjustRightInd w:val="0"/>
                    <w:snapToGrid w:val="0"/>
                    <w:jc w:val="center"/>
                    <w:rPr>
                      <w:szCs w:val="21"/>
                    </w:rPr>
                  </w:pPr>
                  <w:r>
                    <w:rPr>
                      <w:szCs w:val="21"/>
                    </w:rPr>
                    <w:t>固废</w:t>
                  </w:r>
                </w:p>
              </w:tc>
              <w:tc>
                <w:tcPr>
                  <w:tcW w:w="1258" w:type="pct"/>
                  <w:vAlign w:val="center"/>
                </w:tcPr>
                <w:p>
                  <w:pPr>
                    <w:adjustRightInd w:val="0"/>
                    <w:snapToGrid w:val="0"/>
                    <w:jc w:val="center"/>
                    <w:rPr>
                      <w:szCs w:val="21"/>
                    </w:rPr>
                  </w:pPr>
                  <w:r>
                    <w:rPr>
                      <w:szCs w:val="21"/>
                    </w:rPr>
                    <w:t>生活垃圾</w:t>
                  </w:r>
                </w:p>
              </w:tc>
              <w:tc>
                <w:tcPr>
                  <w:tcW w:w="2243" w:type="pct"/>
                  <w:vAlign w:val="center"/>
                </w:tcPr>
                <w:p>
                  <w:pPr>
                    <w:adjustRightInd w:val="0"/>
                    <w:snapToGrid w:val="0"/>
                    <w:jc w:val="center"/>
                    <w:rPr>
                      <w:szCs w:val="21"/>
                    </w:rPr>
                  </w:pPr>
                  <w:r>
                    <w:rPr>
                      <w:szCs w:val="21"/>
                    </w:rPr>
                    <w:t>分类收集垃圾桶，由环卫部门统一清运</w:t>
                  </w:r>
                </w:p>
              </w:tc>
              <w:tc>
                <w:tcPr>
                  <w:tcW w:w="1081" w:type="pct"/>
                  <w:vAlign w:val="center"/>
                </w:tcPr>
                <w:p>
                  <w:pPr>
                    <w:adjustRightInd w:val="0"/>
                    <w:snapToGrid w:val="0"/>
                    <w:jc w:val="center"/>
                    <w:rPr>
                      <w:szCs w:val="21"/>
                    </w:rPr>
                  </w:pPr>
                  <w:r>
                    <w:rPr>
                      <w:rFonts w:hint="eastAsia"/>
                      <w:szCs w:val="21"/>
                    </w:rPr>
                    <w:t>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7" w:type="pct"/>
                  <w:vMerge w:val="continue"/>
                  <w:vAlign w:val="center"/>
                </w:tcPr>
                <w:p>
                  <w:pPr>
                    <w:adjustRightInd w:val="0"/>
                    <w:snapToGrid w:val="0"/>
                    <w:jc w:val="center"/>
                    <w:rPr>
                      <w:szCs w:val="21"/>
                    </w:rPr>
                  </w:pPr>
                </w:p>
              </w:tc>
              <w:tc>
                <w:tcPr>
                  <w:tcW w:w="1258" w:type="pct"/>
                  <w:vAlign w:val="center"/>
                </w:tcPr>
                <w:p>
                  <w:pPr>
                    <w:adjustRightInd w:val="0"/>
                    <w:snapToGrid w:val="0"/>
                    <w:jc w:val="center"/>
                    <w:rPr>
                      <w:color w:val="FF0000"/>
                      <w:szCs w:val="21"/>
                    </w:rPr>
                  </w:pPr>
                  <w:r>
                    <w:rPr>
                      <w:rFonts w:hint="eastAsia"/>
                      <w:color w:val="FF0000"/>
                      <w:szCs w:val="21"/>
                    </w:rPr>
                    <w:t>废润滑油</w:t>
                  </w:r>
                </w:p>
              </w:tc>
              <w:tc>
                <w:tcPr>
                  <w:tcW w:w="2243" w:type="pct"/>
                  <w:vAlign w:val="center"/>
                </w:tcPr>
                <w:p>
                  <w:pPr>
                    <w:adjustRightInd w:val="0"/>
                    <w:snapToGrid w:val="0"/>
                    <w:jc w:val="center"/>
                    <w:rPr>
                      <w:color w:val="FF0000"/>
                      <w:szCs w:val="21"/>
                    </w:rPr>
                  </w:pPr>
                  <w:r>
                    <w:rPr>
                      <w:color w:val="FF0000"/>
                      <w:szCs w:val="21"/>
                    </w:rPr>
                    <w:t>危废</w:t>
                  </w:r>
                  <w:r>
                    <w:rPr>
                      <w:rFonts w:hint="eastAsia"/>
                      <w:color w:val="FF0000"/>
                      <w:szCs w:val="21"/>
                    </w:rPr>
                    <w:t>暂存间，定期交由有资质单位处置</w:t>
                  </w:r>
                </w:p>
              </w:tc>
              <w:tc>
                <w:tcPr>
                  <w:tcW w:w="1081" w:type="pct"/>
                  <w:vAlign w:val="center"/>
                </w:tcPr>
                <w:p>
                  <w:pPr>
                    <w:adjustRightInd w:val="0"/>
                    <w:snapToGrid w:val="0"/>
                    <w:jc w:val="center"/>
                    <w:rPr>
                      <w:color w:val="FF0000"/>
                      <w:szCs w:val="21"/>
                    </w:rPr>
                  </w:pPr>
                  <w:r>
                    <w:rPr>
                      <w:rFonts w:hint="eastAsia"/>
                      <w:color w:val="FF0000"/>
                      <w:szCs w:val="21"/>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675" w:type="pct"/>
                  <w:gridSpan w:val="2"/>
                  <w:vAlign w:val="center"/>
                </w:tcPr>
                <w:p>
                  <w:pPr>
                    <w:adjustRightInd w:val="0"/>
                    <w:snapToGrid w:val="0"/>
                    <w:jc w:val="center"/>
                    <w:rPr>
                      <w:szCs w:val="21"/>
                    </w:rPr>
                  </w:pPr>
                  <w:r>
                    <w:rPr>
                      <w:rFonts w:hint="eastAsia"/>
                      <w:szCs w:val="21"/>
                    </w:rPr>
                    <w:t>绿化</w:t>
                  </w:r>
                </w:p>
              </w:tc>
              <w:tc>
                <w:tcPr>
                  <w:tcW w:w="2243" w:type="pct"/>
                  <w:vAlign w:val="center"/>
                </w:tcPr>
                <w:p>
                  <w:pPr>
                    <w:adjustRightInd w:val="0"/>
                    <w:snapToGrid w:val="0"/>
                    <w:jc w:val="center"/>
                    <w:rPr>
                      <w:szCs w:val="21"/>
                    </w:rPr>
                  </w:pPr>
                  <w:r>
                    <w:rPr>
                      <w:rFonts w:hint="eastAsia"/>
                      <w:szCs w:val="21"/>
                    </w:rPr>
                    <w:t>绿化面积100m</w:t>
                  </w:r>
                  <w:r>
                    <w:rPr>
                      <w:rFonts w:hint="eastAsia"/>
                      <w:szCs w:val="21"/>
                      <w:vertAlign w:val="superscript"/>
                    </w:rPr>
                    <w:t>2</w:t>
                  </w:r>
                </w:p>
              </w:tc>
              <w:tc>
                <w:tcPr>
                  <w:tcW w:w="1081" w:type="pct"/>
                  <w:vAlign w:val="center"/>
                </w:tcPr>
                <w:p>
                  <w:pPr>
                    <w:adjustRightInd w:val="0"/>
                    <w:snapToGrid w:val="0"/>
                    <w:jc w:val="center"/>
                    <w:rPr>
                      <w:szCs w:val="21"/>
                    </w:rPr>
                  </w:pPr>
                  <w:r>
                    <w:rPr>
                      <w:rFonts w:hint="eastAsia"/>
                      <w:szCs w:val="21"/>
                    </w:rPr>
                    <w:t>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3918" w:type="pct"/>
                  <w:gridSpan w:val="3"/>
                  <w:vAlign w:val="center"/>
                </w:tcPr>
                <w:p>
                  <w:pPr>
                    <w:adjustRightInd w:val="0"/>
                    <w:snapToGrid w:val="0"/>
                    <w:jc w:val="center"/>
                    <w:rPr>
                      <w:color w:val="FF0000"/>
                      <w:szCs w:val="21"/>
                    </w:rPr>
                  </w:pPr>
                  <w:r>
                    <w:rPr>
                      <w:color w:val="FF0000"/>
                      <w:szCs w:val="21"/>
                    </w:rPr>
                    <w:t>环保投入合计</w:t>
                  </w:r>
                </w:p>
              </w:tc>
              <w:tc>
                <w:tcPr>
                  <w:tcW w:w="1081" w:type="pct"/>
                  <w:vAlign w:val="center"/>
                </w:tcPr>
                <w:p>
                  <w:pPr>
                    <w:adjustRightInd w:val="0"/>
                    <w:snapToGrid w:val="0"/>
                    <w:jc w:val="center"/>
                    <w:rPr>
                      <w:color w:val="FF0000"/>
                      <w:szCs w:val="21"/>
                    </w:rPr>
                  </w:pPr>
                  <w:r>
                    <w:rPr>
                      <w:rFonts w:hint="eastAsia"/>
                      <w:color w:val="FF0000"/>
                      <w:szCs w:val="21"/>
                    </w:rPr>
                    <w:t>24.5</w:t>
                  </w:r>
                </w:p>
              </w:tc>
            </w:tr>
          </w:tbl>
          <w:p>
            <w:pPr>
              <w:adjustRightInd w:val="0"/>
              <w:spacing w:line="360" w:lineRule="auto"/>
              <w:ind w:firstLine="480" w:firstLineChars="200"/>
              <w:jc w:val="left"/>
              <w:rPr>
                <w:sz w:val="24"/>
                <w:szCs w:val="30"/>
                <w:lang w:val="en-GB"/>
              </w:rPr>
            </w:pPr>
            <w:r>
              <w:rPr>
                <w:rFonts w:hint="eastAsia"/>
                <w:sz w:val="24"/>
                <w:szCs w:val="30"/>
              </w:rPr>
              <w:t>2</w:t>
            </w:r>
            <w:r>
              <w:rPr>
                <w:rFonts w:hint="eastAsia"/>
                <w:sz w:val="24"/>
                <w:szCs w:val="30"/>
                <w:lang w:val="en-GB"/>
              </w:rPr>
              <w:t>、</w:t>
            </w:r>
            <w:r>
              <w:rPr>
                <w:sz w:val="24"/>
                <w:szCs w:val="30"/>
                <w:lang w:val="en-GB"/>
              </w:rPr>
              <w:t>建设项目环境保护验收内容</w:t>
            </w:r>
          </w:p>
          <w:p>
            <w:pPr>
              <w:adjustRightInd w:val="0"/>
              <w:spacing w:line="360" w:lineRule="auto"/>
              <w:ind w:firstLine="480" w:firstLineChars="200"/>
              <w:jc w:val="left"/>
              <w:rPr>
                <w:sz w:val="24"/>
                <w:szCs w:val="30"/>
                <w:lang w:val="en-GB"/>
              </w:rPr>
            </w:pPr>
            <w:r>
              <w:rPr>
                <w:sz w:val="24"/>
                <w:szCs w:val="30"/>
                <w:lang w:val="en-GB"/>
              </w:rPr>
              <w:t>表</w:t>
            </w:r>
            <w:r>
              <w:rPr>
                <w:rFonts w:hint="eastAsia"/>
                <w:sz w:val="24"/>
                <w:szCs w:val="30"/>
              </w:rPr>
              <w:t>37</w:t>
            </w:r>
            <w:r>
              <w:rPr>
                <w:sz w:val="24"/>
                <w:szCs w:val="30"/>
                <w:lang w:val="en-GB"/>
              </w:rPr>
              <w:t>列出了本项目实施的环保项目，供环保监测与管理部门验收参考。</w:t>
            </w:r>
          </w:p>
          <w:p>
            <w:pPr>
              <w:jc w:val="center"/>
              <w:rPr>
                <w:b/>
                <w:szCs w:val="21"/>
              </w:rPr>
            </w:pPr>
            <w:r>
              <w:rPr>
                <w:b/>
                <w:szCs w:val="21"/>
              </w:rPr>
              <w:t>表</w:t>
            </w:r>
            <w:r>
              <w:rPr>
                <w:rFonts w:hint="eastAsia"/>
                <w:b/>
                <w:szCs w:val="21"/>
              </w:rPr>
              <w:t>37</w:t>
            </w:r>
            <w:r>
              <w:rPr>
                <w:b/>
                <w:szCs w:val="21"/>
              </w:rPr>
              <w:t xml:space="preserve">    项目环保工程设施验收要求一览表</w:t>
            </w:r>
          </w:p>
          <w:tbl>
            <w:tblPr>
              <w:tblStyle w:val="19"/>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799"/>
              <w:gridCol w:w="1235"/>
              <w:gridCol w:w="4060"/>
              <w:gridCol w:w="2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tcBorders>
                    <w:tl2br w:val="nil"/>
                    <w:tr2bl w:val="nil"/>
                  </w:tcBorders>
                  <w:vAlign w:val="center"/>
                </w:tcPr>
                <w:p>
                  <w:pPr>
                    <w:jc w:val="center"/>
                    <w:rPr>
                      <w:szCs w:val="21"/>
                    </w:rPr>
                  </w:pPr>
                  <w:r>
                    <w:rPr>
                      <w:rFonts w:hint="eastAsia"/>
                      <w:szCs w:val="21"/>
                    </w:rPr>
                    <w:t>项目</w:t>
                  </w:r>
                </w:p>
              </w:tc>
              <w:tc>
                <w:tcPr>
                  <w:tcW w:w="1125" w:type="pct"/>
                  <w:gridSpan w:val="2"/>
                  <w:tcBorders>
                    <w:tl2br w:val="nil"/>
                    <w:tr2bl w:val="nil"/>
                  </w:tcBorders>
                  <w:vAlign w:val="center"/>
                </w:tcPr>
                <w:p>
                  <w:pPr>
                    <w:jc w:val="center"/>
                    <w:rPr>
                      <w:szCs w:val="21"/>
                    </w:rPr>
                  </w:pPr>
                  <w:r>
                    <w:rPr>
                      <w:rFonts w:hint="eastAsia"/>
                      <w:szCs w:val="21"/>
                    </w:rPr>
                    <w:t>污染环节</w:t>
                  </w:r>
                </w:p>
              </w:tc>
              <w:tc>
                <w:tcPr>
                  <w:tcW w:w="2246" w:type="pct"/>
                  <w:tcBorders>
                    <w:tl2br w:val="nil"/>
                    <w:tr2bl w:val="nil"/>
                  </w:tcBorders>
                  <w:vAlign w:val="center"/>
                </w:tcPr>
                <w:p>
                  <w:pPr>
                    <w:jc w:val="center"/>
                    <w:rPr>
                      <w:szCs w:val="21"/>
                    </w:rPr>
                  </w:pPr>
                  <w:r>
                    <w:rPr>
                      <w:szCs w:val="21"/>
                    </w:rPr>
                    <w:t>处理设施</w:t>
                  </w:r>
                </w:p>
              </w:tc>
              <w:tc>
                <w:tcPr>
                  <w:tcW w:w="1165" w:type="pct"/>
                  <w:tcBorders>
                    <w:tl2br w:val="nil"/>
                    <w:tr2bl w:val="nil"/>
                  </w:tcBorders>
                  <w:vAlign w:val="center"/>
                </w:tcPr>
                <w:p>
                  <w:pPr>
                    <w:jc w:val="center"/>
                    <w:rPr>
                      <w:szCs w:val="21"/>
                    </w:rPr>
                  </w:pPr>
                  <w:r>
                    <w:rPr>
                      <w:rFonts w:hint="eastAsia"/>
                      <w:szCs w:val="21"/>
                    </w:rPr>
                    <w:t>验收标准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restart"/>
                  <w:tcBorders>
                    <w:tl2br w:val="nil"/>
                    <w:tr2bl w:val="nil"/>
                  </w:tcBorders>
                  <w:vAlign w:val="center"/>
                </w:tcPr>
                <w:p>
                  <w:pPr>
                    <w:jc w:val="center"/>
                    <w:rPr>
                      <w:szCs w:val="21"/>
                    </w:rPr>
                  </w:pPr>
                  <w:r>
                    <w:rPr>
                      <w:rFonts w:hint="eastAsia"/>
                      <w:szCs w:val="21"/>
                    </w:rPr>
                    <w:t>废气</w:t>
                  </w:r>
                </w:p>
              </w:tc>
              <w:tc>
                <w:tcPr>
                  <w:tcW w:w="442" w:type="pct"/>
                  <w:tcBorders>
                    <w:tl2br w:val="nil"/>
                    <w:tr2bl w:val="nil"/>
                  </w:tcBorders>
                  <w:vAlign w:val="center"/>
                </w:tcPr>
                <w:p>
                  <w:pPr>
                    <w:jc w:val="center"/>
                    <w:rPr>
                      <w:szCs w:val="21"/>
                    </w:rPr>
                  </w:pPr>
                  <w:r>
                    <w:rPr>
                      <w:rFonts w:hint="eastAsia"/>
                      <w:szCs w:val="21"/>
                    </w:rPr>
                    <w:t>有组织粉尘</w:t>
                  </w:r>
                </w:p>
              </w:tc>
              <w:tc>
                <w:tcPr>
                  <w:tcW w:w="683" w:type="pct"/>
                  <w:tcBorders>
                    <w:tl2br w:val="nil"/>
                    <w:tr2bl w:val="nil"/>
                  </w:tcBorders>
                  <w:vAlign w:val="center"/>
                </w:tcPr>
                <w:p>
                  <w:pPr>
                    <w:jc w:val="center"/>
                    <w:rPr>
                      <w:szCs w:val="21"/>
                    </w:rPr>
                  </w:pPr>
                  <w:r>
                    <w:rPr>
                      <w:rFonts w:hint="eastAsia"/>
                      <w:szCs w:val="21"/>
                    </w:rPr>
                    <w:t>破碎、筛分</w:t>
                  </w:r>
                  <w:r>
                    <w:rPr>
                      <w:szCs w:val="21"/>
                    </w:rPr>
                    <w:t>粉尘</w:t>
                  </w:r>
                </w:p>
              </w:tc>
              <w:tc>
                <w:tcPr>
                  <w:tcW w:w="2246" w:type="pct"/>
                  <w:tcBorders>
                    <w:tl2br w:val="nil"/>
                    <w:tr2bl w:val="nil"/>
                  </w:tcBorders>
                  <w:vAlign w:val="center"/>
                </w:tcPr>
                <w:p>
                  <w:pPr>
                    <w:jc w:val="center"/>
                    <w:rPr>
                      <w:szCs w:val="21"/>
                    </w:rPr>
                  </w:pPr>
                  <w:r>
                    <w:rPr>
                      <w:rFonts w:hint="eastAsia" w:ascii="宋体" w:hAnsi="宋体"/>
                      <w:szCs w:val="21"/>
                    </w:rPr>
                    <w:t>集气罩</w:t>
                  </w:r>
                  <w:r>
                    <w:rPr>
                      <w:rFonts w:hint="eastAsia"/>
                      <w:szCs w:val="21"/>
                    </w:rPr>
                    <w:t>+</w:t>
                  </w:r>
                  <w:r>
                    <w:rPr>
                      <w:szCs w:val="21"/>
                    </w:rPr>
                    <w:t>布袋除尘器+15m</w:t>
                  </w:r>
                  <w:r>
                    <w:rPr>
                      <w:rFonts w:ascii="宋体" w:hAnsi="宋体"/>
                      <w:szCs w:val="21"/>
                    </w:rPr>
                    <w:t>高排气筒</w:t>
                  </w:r>
                </w:p>
              </w:tc>
              <w:tc>
                <w:tcPr>
                  <w:tcW w:w="1165" w:type="pct"/>
                  <w:vMerge w:val="restart"/>
                  <w:tcBorders>
                    <w:tl2br w:val="nil"/>
                    <w:tr2bl w:val="nil"/>
                  </w:tcBorders>
                  <w:vAlign w:val="center"/>
                </w:tcPr>
                <w:p>
                  <w:pPr>
                    <w:jc w:val="center"/>
                    <w:rPr>
                      <w:szCs w:val="21"/>
                    </w:rPr>
                  </w:pPr>
                  <w:r>
                    <w:rPr>
                      <w:rFonts w:hAnsi="宋体"/>
                      <w:szCs w:val="21"/>
                    </w:rPr>
                    <w:t>《大气污染物综合排放标准》（</w:t>
                  </w:r>
                  <w:r>
                    <w:rPr>
                      <w:szCs w:val="21"/>
                    </w:rPr>
                    <w:t>GB16297-1996</w:t>
                  </w:r>
                  <w:r>
                    <w:rPr>
                      <w:rFonts w:hAnsi="宋体"/>
                      <w:szCs w:val="21"/>
                    </w:rPr>
                    <w:t>）表</w:t>
                  </w:r>
                  <w:r>
                    <w:rPr>
                      <w:szCs w:val="21"/>
                    </w:rPr>
                    <w:t>2</w:t>
                  </w:r>
                  <w:r>
                    <w:rPr>
                      <w:rFonts w:hAnsi="宋体"/>
                      <w:szCs w:val="21"/>
                    </w:rPr>
                    <w:t>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widowControl/>
                    <w:jc w:val="left"/>
                    <w:rPr>
                      <w:szCs w:val="21"/>
                    </w:rPr>
                  </w:pPr>
                </w:p>
              </w:tc>
              <w:tc>
                <w:tcPr>
                  <w:tcW w:w="442" w:type="pct"/>
                  <w:tcBorders>
                    <w:tl2br w:val="nil"/>
                    <w:tr2bl w:val="nil"/>
                  </w:tcBorders>
                  <w:vAlign w:val="center"/>
                </w:tcPr>
                <w:p>
                  <w:pPr>
                    <w:jc w:val="center"/>
                    <w:rPr>
                      <w:szCs w:val="21"/>
                    </w:rPr>
                  </w:pPr>
                  <w:r>
                    <w:rPr>
                      <w:rFonts w:hint="eastAsia"/>
                      <w:szCs w:val="21"/>
                    </w:rPr>
                    <w:t>无组织粉尘</w:t>
                  </w:r>
                </w:p>
              </w:tc>
              <w:tc>
                <w:tcPr>
                  <w:tcW w:w="683" w:type="pct"/>
                  <w:tcBorders>
                    <w:tl2br w:val="nil"/>
                    <w:tr2bl w:val="nil"/>
                  </w:tcBorders>
                  <w:vAlign w:val="center"/>
                </w:tcPr>
                <w:p>
                  <w:pPr>
                    <w:jc w:val="center"/>
                    <w:rPr>
                      <w:szCs w:val="21"/>
                    </w:rPr>
                  </w:pPr>
                  <w:r>
                    <w:rPr>
                      <w:rFonts w:hint="eastAsia"/>
                      <w:szCs w:val="21"/>
                    </w:rPr>
                    <w:t>装卸粉尘、投料粉尘、堆场粉尘、输送粉尘及未捕集的破碎筛分粉尘</w:t>
                  </w:r>
                </w:p>
              </w:tc>
              <w:tc>
                <w:tcPr>
                  <w:tcW w:w="2246" w:type="pct"/>
                  <w:tcBorders>
                    <w:tl2br w:val="nil"/>
                    <w:tr2bl w:val="nil"/>
                  </w:tcBorders>
                  <w:vAlign w:val="center"/>
                </w:tcPr>
                <w:p>
                  <w:pPr>
                    <w:jc w:val="center"/>
                    <w:rPr>
                      <w:szCs w:val="21"/>
                    </w:rPr>
                  </w:pPr>
                  <w:r>
                    <w:rPr>
                      <w:rFonts w:hint="eastAsia"/>
                      <w:szCs w:val="21"/>
                    </w:rPr>
                    <w:t>封闭车间+ 喷淋装置</w:t>
                  </w:r>
                </w:p>
              </w:tc>
              <w:tc>
                <w:tcPr>
                  <w:tcW w:w="1165" w:type="pct"/>
                  <w:vMerge w:val="continue"/>
                  <w:tcBorders>
                    <w:tl2br w:val="nil"/>
                    <w:tr2bl w:val="nil"/>
                  </w:tcBorders>
                  <w:vAlign w:val="center"/>
                </w:tcPr>
                <w:p>
                  <w:pPr>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widowControl/>
                    <w:jc w:val="left"/>
                    <w:rPr>
                      <w:szCs w:val="21"/>
                    </w:rPr>
                  </w:pPr>
                </w:p>
              </w:tc>
              <w:tc>
                <w:tcPr>
                  <w:tcW w:w="1125" w:type="pct"/>
                  <w:gridSpan w:val="2"/>
                  <w:tcBorders>
                    <w:tl2br w:val="nil"/>
                    <w:tr2bl w:val="nil"/>
                  </w:tcBorders>
                  <w:vAlign w:val="center"/>
                </w:tcPr>
                <w:p>
                  <w:pPr>
                    <w:widowControl/>
                    <w:jc w:val="center"/>
                    <w:rPr>
                      <w:szCs w:val="21"/>
                    </w:rPr>
                  </w:pPr>
                  <w:r>
                    <w:rPr>
                      <w:rFonts w:hint="eastAsia"/>
                      <w:szCs w:val="21"/>
                    </w:rPr>
                    <w:t>厂内交通</w:t>
                  </w:r>
                  <w:r>
                    <w:rPr>
                      <w:szCs w:val="21"/>
                    </w:rPr>
                    <w:t>运输</w:t>
                  </w:r>
                </w:p>
              </w:tc>
              <w:tc>
                <w:tcPr>
                  <w:tcW w:w="2246" w:type="pct"/>
                  <w:tcBorders>
                    <w:tl2br w:val="nil"/>
                    <w:tr2bl w:val="nil"/>
                  </w:tcBorders>
                  <w:vAlign w:val="center"/>
                </w:tcPr>
                <w:p>
                  <w:pPr>
                    <w:spacing w:line="320" w:lineRule="exact"/>
                    <w:jc w:val="center"/>
                    <w:rPr>
                      <w:szCs w:val="21"/>
                    </w:rPr>
                  </w:pPr>
                  <w:r>
                    <w:rPr>
                      <w:szCs w:val="21"/>
                    </w:rPr>
                    <w:t>运输车辆冲洗平台</w:t>
                  </w:r>
                  <w:r>
                    <w:rPr>
                      <w:rFonts w:hint="eastAsia"/>
                      <w:szCs w:val="21"/>
                    </w:rPr>
                    <w:t>+</w:t>
                  </w:r>
                  <w:r>
                    <w:rPr>
                      <w:szCs w:val="21"/>
                    </w:rPr>
                    <w:t>道路硬化+</w:t>
                  </w:r>
                  <w:r>
                    <w:rPr>
                      <w:rFonts w:hint="eastAsia" w:ascii="宋体" w:hAnsi="宋体"/>
                      <w:szCs w:val="21"/>
                    </w:rPr>
                    <w:t>喷淋装置</w:t>
                  </w:r>
                </w:p>
              </w:tc>
              <w:tc>
                <w:tcPr>
                  <w:tcW w:w="1165" w:type="pct"/>
                  <w:vMerge w:val="continue"/>
                  <w:tcBorders>
                    <w:tl2br w:val="nil"/>
                    <w:tr2bl w:val="nil"/>
                  </w:tcBorders>
                  <w:vAlign w:val="center"/>
                </w:tcPr>
                <w:p>
                  <w:pPr>
                    <w:widowControl/>
                    <w:jc w:val="left"/>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restart"/>
                  <w:tcBorders>
                    <w:tl2br w:val="nil"/>
                    <w:tr2bl w:val="nil"/>
                  </w:tcBorders>
                  <w:vAlign w:val="center"/>
                </w:tcPr>
                <w:p>
                  <w:pPr>
                    <w:jc w:val="center"/>
                    <w:rPr>
                      <w:szCs w:val="21"/>
                    </w:rPr>
                  </w:pPr>
                  <w:r>
                    <w:rPr>
                      <w:rFonts w:hint="eastAsia"/>
                      <w:szCs w:val="21"/>
                    </w:rPr>
                    <w:t>废水</w:t>
                  </w:r>
                </w:p>
              </w:tc>
              <w:tc>
                <w:tcPr>
                  <w:tcW w:w="1125" w:type="pct"/>
                  <w:gridSpan w:val="2"/>
                  <w:tcBorders>
                    <w:tl2br w:val="nil"/>
                    <w:tr2bl w:val="nil"/>
                  </w:tcBorders>
                  <w:vAlign w:val="center"/>
                </w:tcPr>
                <w:p>
                  <w:pPr>
                    <w:spacing w:line="320" w:lineRule="exact"/>
                    <w:jc w:val="center"/>
                    <w:rPr>
                      <w:szCs w:val="21"/>
                    </w:rPr>
                  </w:pPr>
                  <w:r>
                    <w:rPr>
                      <w:rFonts w:hint="eastAsia"/>
                      <w:szCs w:val="21"/>
                    </w:rPr>
                    <w:t>清洗车辆废水</w:t>
                  </w:r>
                </w:p>
              </w:tc>
              <w:tc>
                <w:tcPr>
                  <w:tcW w:w="2246" w:type="pct"/>
                  <w:tcBorders>
                    <w:tl2br w:val="nil"/>
                    <w:tr2bl w:val="nil"/>
                  </w:tcBorders>
                  <w:vAlign w:val="center"/>
                </w:tcPr>
                <w:p>
                  <w:pPr>
                    <w:spacing w:line="320" w:lineRule="exact"/>
                    <w:jc w:val="center"/>
                    <w:rPr>
                      <w:szCs w:val="21"/>
                    </w:rPr>
                  </w:pPr>
                  <w:r>
                    <w:rPr>
                      <w:rFonts w:hint="eastAsia"/>
                      <w:szCs w:val="21"/>
                    </w:rPr>
                    <w:t>洗车池，容积6m</w:t>
                  </w:r>
                  <w:r>
                    <w:rPr>
                      <w:rFonts w:hint="eastAsia"/>
                      <w:szCs w:val="21"/>
                      <w:vertAlign w:val="superscript"/>
                    </w:rPr>
                    <w:t>3</w:t>
                  </w:r>
                </w:p>
              </w:tc>
              <w:tc>
                <w:tcPr>
                  <w:tcW w:w="1165" w:type="pct"/>
                  <w:vMerge w:val="restart"/>
                  <w:tcBorders>
                    <w:tl2br w:val="nil"/>
                    <w:tr2bl w:val="nil"/>
                  </w:tcBorders>
                  <w:vAlign w:val="center"/>
                </w:tcPr>
                <w:p>
                  <w:pPr>
                    <w:jc w:val="center"/>
                    <w:rPr>
                      <w:szCs w:val="21"/>
                    </w:rPr>
                  </w:pPr>
                  <w:r>
                    <w:rPr>
                      <w:rFonts w:hint="eastAsia"/>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jc w:val="center"/>
                    <w:rPr>
                      <w:szCs w:val="21"/>
                    </w:rPr>
                  </w:pPr>
                </w:p>
              </w:tc>
              <w:tc>
                <w:tcPr>
                  <w:tcW w:w="1125" w:type="pct"/>
                  <w:gridSpan w:val="2"/>
                  <w:tcBorders>
                    <w:tl2br w:val="nil"/>
                    <w:tr2bl w:val="nil"/>
                  </w:tcBorders>
                  <w:vAlign w:val="center"/>
                </w:tcPr>
                <w:p>
                  <w:pPr>
                    <w:spacing w:line="320" w:lineRule="exact"/>
                    <w:jc w:val="center"/>
                    <w:rPr>
                      <w:szCs w:val="21"/>
                    </w:rPr>
                  </w:pPr>
                  <w:r>
                    <w:rPr>
                      <w:rFonts w:hint="eastAsia"/>
                      <w:szCs w:val="21"/>
                    </w:rPr>
                    <w:t>生活污水</w:t>
                  </w:r>
                </w:p>
              </w:tc>
              <w:tc>
                <w:tcPr>
                  <w:tcW w:w="2246" w:type="pct"/>
                  <w:tcBorders>
                    <w:tl2br w:val="nil"/>
                    <w:tr2bl w:val="nil"/>
                  </w:tcBorders>
                  <w:vAlign w:val="center"/>
                </w:tcPr>
                <w:p>
                  <w:pPr>
                    <w:spacing w:line="320" w:lineRule="exact"/>
                    <w:jc w:val="center"/>
                    <w:rPr>
                      <w:szCs w:val="21"/>
                    </w:rPr>
                  </w:pPr>
                  <w:r>
                    <w:rPr>
                      <w:rFonts w:hint="eastAsia"/>
                      <w:szCs w:val="21"/>
                    </w:rPr>
                    <w:t>旱厕，容积1m</w:t>
                  </w:r>
                  <w:r>
                    <w:rPr>
                      <w:rFonts w:hint="eastAsia"/>
                      <w:szCs w:val="21"/>
                      <w:vertAlign w:val="superscript"/>
                    </w:rPr>
                    <w:t>3</w:t>
                  </w:r>
                </w:p>
              </w:tc>
              <w:tc>
                <w:tcPr>
                  <w:tcW w:w="1165" w:type="pct"/>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restart"/>
                  <w:tcBorders>
                    <w:tl2br w:val="nil"/>
                    <w:tr2bl w:val="nil"/>
                  </w:tcBorders>
                  <w:vAlign w:val="center"/>
                </w:tcPr>
                <w:p>
                  <w:pPr>
                    <w:jc w:val="center"/>
                    <w:rPr>
                      <w:szCs w:val="21"/>
                    </w:rPr>
                  </w:pPr>
                  <w:r>
                    <w:rPr>
                      <w:szCs w:val="21"/>
                    </w:rPr>
                    <w:t>噪声</w:t>
                  </w:r>
                </w:p>
              </w:tc>
              <w:tc>
                <w:tcPr>
                  <w:tcW w:w="1125" w:type="pct"/>
                  <w:gridSpan w:val="2"/>
                  <w:tcBorders>
                    <w:tl2br w:val="nil"/>
                    <w:tr2bl w:val="nil"/>
                  </w:tcBorders>
                  <w:vAlign w:val="center"/>
                </w:tcPr>
                <w:p>
                  <w:pPr>
                    <w:jc w:val="center"/>
                    <w:rPr>
                      <w:szCs w:val="21"/>
                    </w:rPr>
                  </w:pPr>
                  <w:r>
                    <w:rPr>
                      <w:rFonts w:hint="eastAsia"/>
                      <w:szCs w:val="21"/>
                    </w:rPr>
                    <w:t>破碎机、筛分机、</w:t>
                  </w:r>
                  <w:r>
                    <w:rPr>
                      <w:szCs w:val="21"/>
                    </w:rPr>
                    <w:t>搅拌机、皮带输送机</w:t>
                  </w:r>
                  <w:r>
                    <w:rPr>
                      <w:rFonts w:hint="eastAsia"/>
                      <w:szCs w:val="21"/>
                    </w:rPr>
                    <w:t>、</w:t>
                  </w:r>
                  <w:r>
                    <w:rPr>
                      <w:szCs w:val="21"/>
                    </w:rPr>
                    <w:t>水泵等设备噪声</w:t>
                  </w:r>
                </w:p>
              </w:tc>
              <w:tc>
                <w:tcPr>
                  <w:tcW w:w="2246" w:type="pct"/>
                  <w:tcBorders>
                    <w:tl2br w:val="nil"/>
                    <w:tr2bl w:val="nil"/>
                  </w:tcBorders>
                  <w:vAlign w:val="center"/>
                </w:tcPr>
                <w:p>
                  <w:pPr>
                    <w:jc w:val="center"/>
                    <w:rPr>
                      <w:szCs w:val="21"/>
                    </w:rPr>
                  </w:pPr>
                  <w:r>
                    <w:rPr>
                      <w:szCs w:val="21"/>
                    </w:rPr>
                    <w:t>选用低噪声设备、隔声、减振等综合措施</w:t>
                  </w:r>
                </w:p>
              </w:tc>
              <w:tc>
                <w:tcPr>
                  <w:tcW w:w="1165" w:type="pct"/>
                  <w:vMerge w:val="restart"/>
                  <w:tcBorders>
                    <w:tl2br w:val="nil"/>
                    <w:tr2bl w:val="nil"/>
                  </w:tcBorders>
                  <w:vAlign w:val="center"/>
                </w:tcPr>
                <w:p>
                  <w:pPr>
                    <w:jc w:val="center"/>
                    <w:rPr>
                      <w:szCs w:val="21"/>
                    </w:rPr>
                  </w:pPr>
                  <w:r>
                    <w:rPr>
                      <w:szCs w:val="21"/>
                    </w:rPr>
                    <w:t>符合《工业企业厂界环境噪声排放标准》（GB12348-2008</w:t>
                  </w:r>
                  <w:r>
                    <w:rPr>
                      <w:rFonts w:ascii="宋体" w:hAnsi="宋体"/>
                      <w:szCs w:val="21"/>
                    </w:rPr>
                    <w:t>）</w:t>
                  </w:r>
                  <w:r>
                    <w:rPr>
                      <w:szCs w:val="21"/>
                    </w:rPr>
                    <w:t>表1中的</w:t>
                  </w:r>
                  <w:r>
                    <w:rPr>
                      <w:rFonts w:hint="eastAsia"/>
                      <w:szCs w:val="21"/>
                    </w:rPr>
                    <w:t>2</w:t>
                  </w:r>
                  <w:r>
                    <w:rPr>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widowControl/>
                    <w:jc w:val="left"/>
                    <w:rPr>
                      <w:szCs w:val="21"/>
                    </w:rPr>
                  </w:pPr>
                </w:p>
              </w:tc>
              <w:tc>
                <w:tcPr>
                  <w:tcW w:w="1125" w:type="pct"/>
                  <w:gridSpan w:val="2"/>
                  <w:tcBorders>
                    <w:tl2br w:val="nil"/>
                    <w:tr2bl w:val="nil"/>
                  </w:tcBorders>
                  <w:vAlign w:val="center"/>
                </w:tcPr>
                <w:p>
                  <w:pPr>
                    <w:jc w:val="center"/>
                    <w:rPr>
                      <w:szCs w:val="21"/>
                    </w:rPr>
                  </w:pPr>
                  <w:r>
                    <w:rPr>
                      <w:szCs w:val="21"/>
                    </w:rPr>
                    <w:t>装载车、运输车辆等移动噪声</w:t>
                  </w:r>
                </w:p>
              </w:tc>
              <w:tc>
                <w:tcPr>
                  <w:tcW w:w="2246" w:type="pct"/>
                  <w:tcBorders>
                    <w:tl2br w:val="nil"/>
                    <w:tr2bl w:val="nil"/>
                  </w:tcBorders>
                  <w:vAlign w:val="center"/>
                </w:tcPr>
                <w:p>
                  <w:pPr>
                    <w:jc w:val="center"/>
                    <w:rPr>
                      <w:szCs w:val="21"/>
                    </w:rPr>
                  </w:pPr>
                  <w:r>
                    <w:rPr>
                      <w:szCs w:val="21"/>
                    </w:rPr>
                    <w:t>厂区内设置警示牌禁止出入车辆鸣笛并限制车辆速度等措施</w:t>
                  </w:r>
                </w:p>
              </w:tc>
              <w:tc>
                <w:tcPr>
                  <w:tcW w:w="1165" w:type="pct"/>
                  <w:vMerge w:val="continue"/>
                  <w:tcBorders>
                    <w:tl2br w:val="nil"/>
                    <w:tr2bl w:val="nil"/>
                  </w:tcBorders>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restart"/>
                  <w:tcBorders>
                    <w:tl2br w:val="nil"/>
                    <w:tr2bl w:val="nil"/>
                  </w:tcBorders>
                  <w:vAlign w:val="center"/>
                </w:tcPr>
                <w:p>
                  <w:pPr>
                    <w:jc w:val="center"/>
                    <w:rPr>
                      <w:szCs w:val="21"/>
                    </w:rPr>
                  </w:pPr>
                  <w:r>
                    <w:rPr>
                      <w:rFonts w:hint="eastAsia"/>
                      <w:szCs w:val="21"/>
                    </w:rPr>
                    <w:t>固废</w:t>
                  </w:r>
                </w:p>
              </w:tc>
              <w:tc>
                <w:tcPr>
                  <w:tcW w:w="1125" w:type="pct"/>
                  <w:gridSpan w:val="2"/>
                  <w:tcBorders>
                    <w:tl2br w:val="nil"/>
                    <w:tr2bl w:val="nil"/>
                  </w:tcBorders>
                  <w:vAlign w:val="center"/>
                </w:tcPr>
                <w:p>
                  <w:pPr>
                    <w:adjustRightInd w:val="0"/>
                    <w:snapToGrid w:val="0"/>
                    <w:spacing w:line="320" w:lineRule="exact"/>
                    <w:jc w:val="center"/>
                    <w:rPr>
                      <w:szCs w:val="21"/>
                    </w:rPr>
                  </w:pPr>
                  <w:r>
                    <w:rPr>
                      <w:szCs w:val="21"/>
                    </w:rPr>
                    <w:t>生活垃圾</w:t>
                  </w:r>
                </w:p>
              </w:tc>
              <w:tc>
                <w:tcPr>
                  <w:tcW w:w="2246" w:type="pct"/>
                  <w:tcBorders>
                    <w:tl2br w:val="nil"/>
                    <w:tr2bl w:val="nil"/>
                  </w:tcBorders>
                  <w:vAlign w:val="center"/>
                </w:tcPr>
                <w:p>
                  <w:pPr>
                    <w:spacing w:line="320" w:lineRule="exact"/>
                    <w:jc w:val="center"/>
                    <w:rPr>
                      <w:szCs w:val="21"/>
                    </w:rPr>
                  </w:pPr>
                  <w:r>
                    <w:rPr>
                      <w:rFonts w:hint="eastAsia"/>
                      <w:szCs w:val="21"/>
                    </w:rPr>
                    <w:t>垃圾桶若干</w:t>
                  </w:r>
                </w:p>
              </w:tc>
              <w:tc>
                <w:tcPr>
                  <w:tcW w:w="1165" w:type="pct"/>
                  <w:vMerge w:val="restart"/>
                  <w:tcBorders>
                    <w:tl2br w:val="nil"/>
                    <w:tr2bl w:val="nil"/>
                  </w:tcBorders>
                  <w:vAlign w:val="center"/>
                </w:tcPr>
                <w:p>
                  <w:pPr>
                    <w:jc w:val="center"/>
                    <w:rPr>
                      <w:szCs w:val="21"/>
                    </w:rPr>
                  </w:pPr>
                  <w:r>
                    <w:rPr>
                      <w:szCs w:val="21"/>
                    </w:rPr>
                    <w:t>《一般工业固体废物贮存、处置场污染控制标准》（GB18599－2001）修改单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widowControl/>
                    <w:jc w:val="left"/>
                    <w:rPr>
                      <w:szCs w:val="21"/>
                    </w:rPr>
                  </w:pPr>
                </w:p>
              </w:tc>
              <w:tc>
                <w:tcPr>
                  <w:tcW w:w="1125" w:type="pct"/>
                  <w:gridSpan w:val="2"/>
                  <w:tcBorders>
                    <w:tl2br w:val="nil"/>
                    <w:tr2bl w:val="nil"/>
                  </w:tcBorders>
                  <w:vAlign w:val="center"/>
                </w:tcPr>
                <w:p>
                  <w:pPr>
                    <w:pStyle w:val="63"/>
                    <w:snapToGrid w:val="0"/>
                    <w:jc w:val="center"/>
                    <w:rPr>
                      <w:szCs w:val="21"/>
                    </w:rPr>
                  </w:pPr>
                  <w:r>
                    <w:rPr>
                      <w:szCs w:val="21"/>
                    </w:rPr>
                    <w:t>除尘器粉尘</w:t>
                  </w:r>
                </w:p>
              </w:tc>
              <w:tc>
                <w:tcPr>
                  <w:tcW w:w="2246" w:type="pct"/>
                  <w:tcBorders>
                    <w:tl2br w:val="nil"/>
                    <w:tr2bl w:val="nil"/>
                  </w:tcBorders>
                  <w:vAlign w:val="center"/>
                </w:tcPr>
                <w:p>
                  <w:pPr>
                    <w:adjustRightInd w:val="0"/>
                    <w:snapToGrid w:val="0"/>
                    <w:spacing w:line="320" w:lineRule="exact"/>
                    <w:jc w:val="center"/>
                    <w:rPr>
                      <w:szCs w:val="21"/>
                    </w:rPr>
                  </w:pPr>
                  <w:r>
                    <w:rPr>
                      <w:rFonts w:hint="eastAsia"/>
                      <w:szCs w:val="21"/>
                    </w:rPr>
                    <w:t>做成品石粉砂外售</w:t>
                  </w:r>
                </w:p>
              </w:tc>
              <w:tc>
                <w:tcPr>
                  <w:tcW w:w="1165" w:type="pct"/>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widowControl/>
                    <w:jc w:val="left"/>
                    <w:rPr>
                      <w:szCs w:val="21"/>
                    </w:rPr>
                  </w:pPr>
                </w:p>
              </w:tc>
              <w:tc>
                <w:tcPr>
                  <w:tcW w:w="1125" w:type="pct"/>
                  <w:gridSpan w:val="2"/>
                  <w:tcBorders>
                    <w:tl2br w:val="nil"/>
                    <w:tr2bl w:val="nil"/>
                  </w:tcBorders>
                  <w:vAlign w:val="center"/>
                </w:tcPr>
                <w:p>
                  <w:pPr>
                    <w:pStyle w:val="63"/>
                    <w:snapToGrid w:val="0"/>
                    <w:jc w:val="center"/>
                    <w:rPr>
                      <w:szCs w:val="21"/>
                    </w:rPr>
                  </w:pPr>
                  <w:r>
                    <w:rPr>
                      <w:rFonts w:hint="eastAsia"/>
                      <w:szCs w:val="21"/>
                    </w:rPr>
                    <w:t>洗车</w:t>
                  </w:r>
                  <w:r>
                    <w:rPr>
                      <w:szCs w:val="21"/>
                    </w:rPr>
                    <w:t>池沉渣</w:t>
                  </w:r>
                </w:p>
              </w:tc>
              <w:tc>
                <w:tcPr>
                  <w:tcW w:w="2246" w:type="pct"/>
                  <w:tcBorders>
                    <w:tl2br w:val="nil"/>
                    <w:tr2bl w:val="nil"/>
                  </w:tcBorders>
                  <w:vAlign w:val="center"/>
                </w:tcPr>
                <w:p>
                  <w:pPr>
                    <w:widowControl/>
                    <w:jc w:val="center"/>
                    <w:rPr>
                      <w:szCs w:val="21"/>
                    </w:rPr>
                  </w:pPr>
                  <w:r>
                    <w:rPr>
                      <w:rFonts w:hint="eastAsia"/>
                      <w:szCs w:val="21"/>
                    </w:rPr>
                    <w:t>回用生产</w:t>
                  </w:r>
                </w:p>
              </w:tc>
              <w:tc>
                <w:tcPr>
                  <w:tcW w:w="1165" w:type="pct"/>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2" w:type="pct"/>
                  <w:vMerge w:val="continue"/>
                  <w:tcBorders>
                    <w:tl2br w:val="nil"/>
                    <w:tr2bl w:val="nil"/>
                  </w:tcBorders>
                  <w:vAlign w:val="center"/>
                </w:tcPr>
                <w:p>
                  <w:pPr>
                    <w:widowControl/>
                    <w:jc w:val="left"/>
                    <w:rPr>
                      <w:szCs w:val="21"/>
                    </w:rPr>
                  </w:pPr>
                </w:p>
              </w:tc>
              <w:tc>
                <w:tcPr>
                  <w:tcW w:w="1125" w:type="pct"/>
                  <w:gridSpan w:val="2"/>
                  <w:tcBorders>
                    <w:tl2br w:val="nil"/>
                    <w:tr2bl w:val="nil"/>
                  </w:tcBorders>
                  <w:vAlign w:val="center"/>
                </w:tcPr>
                <w:p>
                  <w:pPr>
                    <w:pStyle w:val="63"/>
                    <w:snapToGrid w:val="0"/>
                    <w:jc w:val="center"/>
                    <w:rPr>
                      <w:szCs w:val="21"/>
                    </w:rPr>
                  </w:pPr>
                  <w:r>
                    <w:rPr>
                      <w:rFonts w:hint="eastAsia"/>
                      <w:szCs w:val="21"/>
                    </w:rPr>
                    <w:t>废润滑油</w:t>
                  </w:r>
                </w:p>
              </w:tc>
              <w:tc>
                <w:tcPr>
                  <w:tcW w:w="2246" w:type="pct"/>
                  <w:tcBorders>
                    <w:tl2br w:val="nil"/>
                    <w:tr2bl w:val="nil"/>
                  </w:tcBorders>
                  <w:vAlign w:val="center"/>
                </w:tcPr>
                <w:p>
                  <w:pPr>
                    <w:adjustRightInd w:val="0"/>
                    <w:snapToGrid w:val="0"/>
                    <w:jc w:val="center"/>
                    <w:rPr>
                      <w:szCs w:val="21"/>
                    </w:rPr>
                  </w:pPr>
                  <w:r>
                    <w:rPr>
                      <w:rFonts w:hint="eastAsia"/>
                      <w:szCs w:val="21"/>
                    </w:rPr>
                    <w:t>危废暂存间暂存，定期交由有资质单位处置</w:t>
                  </w:r>
                </w:p>
              </w:tc>
              <w:tc>
                <w:tcPr>
                  <w:tcW w:w="1165" w:type="pct"/>
                  <w:tcBorders>
                    <w:tl2br w:val="nil"/>
                    <w:tr2bl w:val="nil"/>
                  </w:tcBorders>
                  <w:vAlign w:val="center"/>
                </w:tcPr>
                <w:p>
                  <w:pPr>
                    <w:jc w:val="center"/>
                    <w:rPr>
                      <w:szCs w:val="21"/>
                    </w:rPr>
                  </w:pPr>
                  <w:r>
                    <w:rPr>
                      <w:rFonts w:hint="eastAsia"/>
                      <w:szCs w:val="21"/>
                    </w:rPr>
                    <w:t>《危险废物贮存污染控制标准》（GB 18597-2001）及2013年修改单中相关规定</w:t>
                  </w:r>
                </w:p>
              </w:tc>
            </w:tr>
          </w:tbl>
          <w:p>
            <w:pPr>
              <w:spacing w:before="156" w:beforeLines="50" w:line="360" w:lineRule="auto"/>
              <w:rPr>
                <w:b/>
                <w:sz w:val="30"/>
                <w:szCs w:val="30"/>
              </w:rPr>
            </w:pPr>
            <w:r>
              <w:rPr>
                <w:b/>
                <w:sz w:val="30"/>
                <w:szCs w:val="30"/>
              </w:rPr>
              <w:t>五、环境管理与监测计划</w:t>
            </w:r>
          </w:p>
          <w:p>
            <w:pPr>
              <w:adjustRightInd w:val="0"/>
              <w:spacing w:line="360" w:lineRule="auto"/>
              <w:ind w:firstLine="480" w:firstLineChars="200"/>
              <w:jc w:val="left"/>
              <w:rPr>
                <w:sz w:val="24"/>
                <w:szCs w:val="30"/>
                <w:lang w:val="zh-TW"/>
              </w:rPr>
            </w:pPr>
            <w:r>
              <w:rPr>
                <w:rFonts w:eastAsia="PMingLiU"/>
                <w:sz w:val="24"/>
                <w:szCs w:val="30"/>
                <w:lang w:val="zh-TW" w:eastAsia="zh-TW"/>
              </w:rPr>
              <w:t>1</w:t>
            </w:r>
            <w:r>
              <w:rPr>
                <w:rFonts w:hint="eastAsia"/>
                <w:sz w:val="24"/>
                <w:szCs w:val="30"/>
                <w:lang w:val="zh-TW"/>
              </w:rPr>
              <w:t>、</w:t>
            </w:r>
            <w:r>
              <w:rPr>
                <w:sz w:val="24"/>
                <w:szCs w:val="30"/>
                <w:lang w:val="zh-TW"/>
              </w:rPr>
              <w:t>环境管理</w:t>
            </w:r>
          </w:p>
          <w:p>
            <w:pPr>
              <w:adjustRightInd w:val="0"/>
              <w:spacing w:line="360" w:lineRule="auto"/>
              <w:ind w:firstLine="480" w:firstLineChars="200"/>
              <w:rPr>
                <w:sz w:val="24"/>
                <w:szCs w:val="30"/>
                <w:lang w:val="en-GB"/>
              </w:rPr>
            </w:pPr>
            <w:r>
              <w:rPr>
                <w:sz w:val="24"/>
                <w:szCs w:val="30"/>
                <w:lang w:val="zh-TW"/>
              </w:rPr>
              <w:t>按照建设项目环境保护设计规定的要求，项目建成后，建立环境保护管理机构，专人负责项目运行过程中的环境保护工作，协助</w:t>
            </w:r>
            <w:r>
              <w:rPr>
                <w:rFonts w:hint="eastAsia"/>
                <w:sz w:val="24"/>
                <w:szCs w:val="30"/>
              </w:rPr>
              <w:t>生态环境</w:t>
            </w:r>
            <w:r>
              <w:rPr>
                <w:sz w:val="24"/>
                <w:szCs w:val="30"/>
                <w:lang w:val="zh-TW"/>
              </w:rPr>
              <w:t>部门，对项目运行过程的污染物排放情况进行监督管理，确保项目污染物达标排放，不对周边环境及敏感目标产生大的不良影响。运营期要</w:t>
            </w:r>
            <w:r>
              <w:rPr>
                <w:sz w:val="24"/>
                <w:szCs w:val="30"/>
                <w:lang w:val="en-GB"/>
              </w:rPr>
              <w:t>加强排污口的规范化建设，同时保证环境监测数据按规范要求进行统计，监测结果要及时反馈，对污染治理设施存在的问题及时提出整改建议并监督实施。</w:t>
            </w:r>
          </w:p>
          <w:p>
            <w:pPr>
              <w:adjustRightInd w:val="0"/>
              <w:spacing w:line="360" w:lineRule="auto"/>
              <w:ind w:firstLine="480" w:firstLineChars="200"/>
              <w:jc w:val="left"/>
              <w:rPr>
                <w:sz w:val="24"/>
                <w:szCs w:val="30"/>
                <w:lang w:val="en-GB"/>
              </w:rPr>
            </w:pPr>
            <w:r>
              <w:rPr>
                <w:rFonts w:hint="eastAsia"/>
                <w:sz w:val="24"/>
                <w:szCs w:val="30"/>
              </w:rPr>
              <w:t>2、</w:t>
            </w:r>
            <w:r>
              <w:rPr>
                <w:sz w:val="24"/>
                <w:szCs w:val="30"/>
                <w:lang w:val="en-GB"/>
              </w:rPr>
              <w:t>监测计划</w:t>
            </w:r>
          </w:p>
          <w:p>
            <w:pPr>
              <w:adjustRightInd w:val="0"/>
              <w:spacing w:line="360" w:lineRule="auto"/>
              <w:ind w:firstLine="480" w:firstLineChars="200"/>
              <w:rPr>
                <w:sz w:val="24"/>
                <w:szCs w:val="30"/>
                <w:lang w:val="en-GB"/>
              </w:rPr>
            </w:pPr>
            <w:r>
              <w:rPr>
                <w:sz w:val="24"/>
                <w:szCs w:val="30"/>
                <w:lang w:val="en-GB"/>
              </w:rPr>
              <w:t>项目运营期委托有资质单位对本项目进行监测，根据《排污单位自行监测技术指南 总则》（HJ819-2017）中的相关要求及本项目的建设特点分析监测计划见表</w:t>
            </w:r>
            <w:r>
              <w:rPr>
                <w:rFonts w:hint="eastAsia"/>
                <w:sz w:val="24"/>
                <w:szCs w:val="30"/>
              </w:rPr>
              <w:t>38</w:t>
            </w:r>
            <w:r>
              <w:rPr>
                <w:sz w:val="24"/>
                <w:szCs w:val="30"/>
                <w:lang w:val="en-GB"/>
              </w:rPr>
              <w:t>。</w:t>
            </w:r>
          </w:p>
          <w:p>
            <w:pPr>
              <w:spacing w:line="440" w:lineRule="exact"/>
              <w:jc w:val="center"/>
              <w:rPr>
                <w:b/>
                <w:bCs/>
                <w:szCs w:val="21"/>
              </w:rPr>
            </w:pPr>
            <w:r>
              <w:rPr>
                <w:b/>
                <w:bCs/>
                <w:szCs w:val="21"/>
              </w:rPr>
              <w:t>表</w:t>
            </w:r>
            <w:r>
              <w:rPr>
                <w:rFonts w:hint="eastAsia"/>
                <w:b/>
                <w:bCs/>
                <w:szCs w:val="21"/>
              </w:rPr>
              <w:t>38</w:t>
            </w:r>
            <w:r>
              <w:rPr>
                <w:b/>
                <w:bCs/>
                <w:szCs w:val="21"/>
              </w:rPr>
              <w:t xml:space="preserve"> 环境监测计划表</w:t>
            </w:r>
          </w:p>
          <w:tbl>
            <w:tblPr>
              <w:tblStyle w:val="19"/>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313"/>
              <w:gridCol w:w="3209"/>
              <w:gridCol w:w="3153"/>
              <w:gridCol w:w="13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26" w:type="pct"/>
                  <w:vAlign w:val="center"/>
                </w:tcPr>
                <w:p>
                  <w:pPr>
                    <w:pStyle w:val="13"/>
                    <w:spacing w:after="0"/>
                    <w:ind w:left="0" w:leftChars="0"/>
                    <w:jc w:val="center"/>
                    <w:rPr>
                      <w:spacing w:val="4"/>
                      <w:sz w:val="21"/>
                      <w:szCs w:val="21"/>
                    </w:rPr>
                  </w:pPr>
                  <w:r>
                    <w:rPr>
                      <w:spacing w:val="4"/>
                      <w:sz w:val="21"/>
                      <w:szCs w:val="21"/>
                    </w:rPr>
                    <w:t>监测项目</w:t>
                  </w:r>
                </w:p>
              </w:tc>
              <w:tc>
                <w:tcPr>
                  <w:tcW w:w="1774" w:type="pct"/>
                  <w:vAlign w:val="center"/>
                </w:tcPr>
                <w:p>
                  <w:pPr>
                    <w:pStyle w:val="13"/>
                    <w:spacing w:after="0"/>
                    <w:ind w:left="0" w:leftChars="0"/>
                    <w:jc w:val="center"/>
                    <w:rPr>
                      <w:spacing w:val="4"/>
                      <w:sz w:val="21"/>
                      <w:szCs w:val="21"/>
                    </w:rPr>
                  </w:pPr>
                  <w:r>
                    <w:rPr>
                      <w:spacing w:val="4"/>
                      <w:sz w:val="21"/>
                      <w:szCs w:val="21"/>
                    </w:rPr>
                    <w:t>监测因子</w:t>
                  </w:r>
                </w:p>
              </w:tc>
              <w:tc>
                <w:tcPr>
                  <w:tcW w:w="1743" w:type="pct"/>
                  <w:vAlign w:val="center"/>
                </w:tcPr>
                <w:p>
                  <w:pPr>
                    <w:pStyle w:val="13"/>
                    <w:spacing w:after="0"/>
                    <w:ind w:left="0" w:leftChars="0"/>
                    <w:jc w:val="center"/>
                    <w:rPr>
                      <w:spacing w:val="4"/>
                      <w:sz w:val="21"/>
                      <w:szCs w:val="21"/>
                    </w:rPr>
                  </w:pPr>
                  <w:r>
                    <w:rPr>
                      <w:spacing w:val="4"/>
                      <w:sz w:val="21"/>
                      <w:szCs w:val="21"/>
                    </w:rPr>
                    <w:t>监测点位</w:t>
                  </w:r>
                </w:p>
              </w:tc>
              <w:tc>
                <w:tcPr>
                  <w:tcW w:w="754" w:type="pct"/>
                  <w:vAlign w:val="center"/>
                </w:tcPr>
                <w:p>
                  <w:pPr>
                    <w:pStyle w:val="13"/>
                    <w:spacing w:after="0"/>
                    <w:ind w:left="0" w:leftChars="0"/>
                    <w:jc w:val="center"/>
                    <w:rPr>
                      <w:spacing w:val="4"/>
                      <w:sz w:val="21"/>
                      <w:szCs w:val="21"/>
                    </w:rPr>
                  </w:pPr>
                  <w:r>
                    <w:rPr>
                      <w:spacing w:val="4"/>
                      <w:sz w:val="21"/>
                      <w:szCs w:val="21"/>
                    </w:rPr>
                    <w:t>监测频率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26" w:type="pct"/>
                  <w:vMerge w:val="restart"/>
                  <w:vAlign w:val="center"/>
                </w:tcPr>
                <w:p>
                  <w:pPr>
                    <w:pStyle w:val="13"/>
                    <w:spacing w:after="0"/>
                    <w:ind w:left="0" w:leftChars="0"/>
                    <w:jc w:val="center"/>
                    <w:rPr>
                      <w:spacing w:val="4"/>
                      <w:sz w:val="21"/>
                      <w:szCs w:val="21"/>
                    </w:rPr>
                  </w:pPr>
                  <w:r>
                    <w:rPr>
                      <w:spacing w:val="4"/>
                      <w:sz w:val="21"/>
                      <w:szCs w:val="21"/>
                    </w:rPr>
                    <w:t>废气监测</w:t>
                  </w:r>
                </w:p>
              </w:tc>
              <w:tc>
                <w:tcPr>
                  <w:tcW w:w="1774" w:type="pct"/>
                  <w:vMerge w:val="restart"/>
                  <w:vAlign w:val="center"/>
                </w:tcPr>
                <w:p>
                  <w:pPr>
                    <w:pStyle w:val="13"/>
                    <w:spacing w:after="0"/>
                    <w:ind w:left="0" w:leftChars="0"/>
                    <w:jc w:val="center"/>
                    <w:rPr>
                      <w:spacing w:val="4"/>
                      <w:sz w:val="21"/>
                      <w:szCs w:val="21"/>
                    </w:rPr>
                  </w:pPr>
                  <w:r>
                    <w:rPr>
                      <w:rFonts w:hint="eastAsia"/>
                      <w:spacing w:val="4"/>
                      <w:sz w:val="21"/>
                      <w:szCs w:val="21"/>
                    </w:rPr>
                    <w:t>颗粒物</w:t>
                  </w:r>
                </w:p>
              </w:tc>
              <w:tc>
                <w:tcPr>
                  <w:tcW w:w="1743" w:type="pct"/>
                  <w:vAlign w:val="center"/>
                </w:tcPr>
                <w:p>
                  <w:pPr>
                    <w:pStyle w:val="13"/>
                    <w:spacing w:after="0"/>
                    <w:ind w:left="0" w:leftChars="0"/>
                    <w:jc w:val="center"/>
                    <w:rPr>
                      <w:spacing w:val="4"/>
                      <w:sz w:val="21"/>
                      <w:szCs w:val="21"/>
                    </w:rPr>
                  </w:pPr>
                  <w:r>
                    <w:rPr>
                      <w:spacing w:val="4"/>
                      <w:sz w:val="21"/>
                      <w:szCs w:val="21"/>
                    </w:rPr>
                    <w:t>周界外10m范围内</w:t>
                  </w:r>
                </w:p>
              </w:tc>
              <w:tc>
                <w:tcPr>
                  <w:tcW w:w="754" w:type="pct"/>
                  <w:vMerge w:val="restart"/>
                  <w:vAlign w:val="center"/>
                </w:tcPr>
                <w:p>
                  <w:pPr>
                    <w:pStyle w:val="13"/>
                    <w:spacing w:after="0"/>
                    <w:ind w:left="0" w:leftChars="0"/>
                    <w:jc w:val="center"/>
                    <w:rPr>
                      <w:spacing w:val="4"/>
                      <w:sz w:val="21"/>
                      <w:szCs w:val="21"/>
                    </w:rPr>
                  </w:pPr>
                  <w:r>
                    <w:rPr>
                      <w:spacing w:val="4"/>
                      <w:sz w:val="21"/>
                      <w:szCs w:val="21"/>
                    </w:rPr>
                    <w:t>每季度一次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26" w:type="pct"/>
                  <w:vMerge w:val="continue"/>
                  <w:vAlign w:val="center"/>
                </w:tcPr>
                <w:p>
                  <w:pPr>
                    <w:pStyle w:val="13"/>
                    <w:spacing w:after="0"/>
                    <w:ind w:left="0" w:leftChars="0"/>
                    <w:jc w:val="center"/>
                    <w:rPr>
                      <w:spacing w:val="4"/>
                      <w:sz w:val="21"/>
                      <w:szCs w:val="21"/>
                    </w:rPr>
                  </w:pPr>
                </w:p>
              </w:tc>
              <w:tc>
                <w:tcPr>
                  <w:tcW w:w="1774" w:type="pct"/>
                  <w:vMerge w:val="continue"/>
                  <w:vAlign w:val="center"/>
                </w:tcPr>
                <w:p>
                  <w:pPr>
                    <w:pStyle w:val="13"/>
                    <w:spacing w:after="0"/>
                    <w:ind w:left="0" w:leftChars="0"/>
                    <w:jc w:val="center"/>
                    <w:rPr>
                      <w:spacing w:val="4"/>
                      <w:sz w:val="21"/>
                      <w:szCs w:val="21"/>
                    </w:rPr>
                  </w:pPr>
                </w:p>
              </w:tc>
              <w:tc>
                <w:tcPr>
                  <w:tcW w:w="1743" w:type="pct"/>
                  <w:vAlign w:val="center"/>
                </w:tcPr>
                <w:p>
                  <w:pPr>
                    <w:pStyle w:val="13"/>
                    <w:spacing w:after="0"/>
                    <w:ind w:left="0" w:leftChars="0"/>
                    <w:jc w:val="center"/>
                    <w:rPr>
                      <w:spacing w:val="4"/>
                      <w:sz w:val="21"/>
                      <w:szCs w:val="21"/>
                    </w:rPr>
                  </w:pPr>
                  <w:r>
                    <w:rPr>
                      <w:rFonts w:hint="eastAsia"/>
                      <w:spacing w:val="4"/>
                      <w:sz w:val="21"/>
                      <w:szCs w:val="21"/>
                    </w:rPr>
                    <w:t>排气筒口</w:t>
                  </w:r>
                </w:p>
              </w:tc>
              <w:tc>
                <w:tcPr>
                  <w:tcW w:w="754" w:type="pct"/>
                  <w:vMerge w:val="continue"/>
                  <w:vAlign w:val="center"/>
                </w:tcPr>
                <w:p>
                  <w:pPr>
                    <w:pStyle w:val="13"/>
                    <w:spacing w:after="0"/>
                    <w:ind w:left="0" w:leftChars="0"/>
                    <w:jc w:val="center"/>
                    <w:rPr>
                      <w:spacing w:val="4"/>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26" w:type="pct"/>
                  <w:vAlign w:val="center"/>
                </w:tcPr>
                <w:p>
                  <w:pPr>
                    <w:pStyle w:val="13"/>
                    <w:spacing w:after="0"/>
                    <w:ind w:left="0" w:leftChars="0"/>
                    <w:jc w:val="center"/>
                    <w:rPr>
                      <w:spacing w:val="4"/>
                      <w:sz w:val="21"/>
                      <w:szCs w:val="21"/>
                    </w:rPr>
                  </w:pPr>
                  <w:r>
                    <w:rPr>
                      <w:spacing w:val="4"/>
                      <w:sz w:val="21"/>
                      <w:szCs w:val="21"/>
                    </w:rPr>
                    <w:t>噪声监测</w:t>
                  </w:r>
                </w:p>
              </w:tc>
              <w:tc>
                <w:tcPr>
                  <w:tcW w:w="1774" w:type="pct"/>
                  <w:vAlign w:val="center"/>
                </w:tcPr>
                <w:p>
                  <w:pPr>
                    <w:pStyle w:val="13"/>
                    <w:spacing w:after="0"/>
                    <w:ind w:left="0" w:leftChars="0"/>
                    <w:jc w:val="center"/>
                    <w:rPr>
                      <w:spacing w:val="4"/>
                      <w:sz w:val="21"/>
                      <w:szCs w:val="21"/>
                    </w:rPr>
                  </w:pPr>
                  <w:r>
                    <w:rPr>
                      <w:spacing w:val="4"/>
                      <w:sz w:val="21"/>
                      <w:szCs w:val="21"/>
                    </w:rPr>
                    <w:t>等效（A）声级</w:t>
                  </w:r>
                </w:p>
              </w:tc>
              <w:tc>
                <w:tcPr>
                  <w:tcW w:w="1743" w:type="pct"/>
                  <w:tcBorders>
                    <w:top w:val="single" w:color="auto" w:sz="4" w:space="0"/>
                  </w:tcBorders>
                  <w:vAlign w:val="center"/>
                </w:tcPr>
                <w:p>
                  <w:pPr>
                    <w:pStyle w:val="13"/>
                    <w:spacing w:after="0"/>
                    <w:ind w:left="0" w:leftChars="0"/>
                    <w:jc w:val="center"/>
                    <w:rPr>
                      <w:spacing w:val="4"/>
                      <w:sz w:val="21"/>
                      <w:szCs w:val="21"/>
                    </w:rPr>
                  </w:pPr>
                  <w:r>
                    <w:rPr>
                      <w:spacing w:val="4"/>
                      <w:sz w:val="21"/>
                      <w:szCs w:val="21"/>
                    </w:rPr>
                    <w:t>东、南、西、北厂界外1m</w:t>
                  </w:r>
                </w:p>
              </w:tc>
              <w:tc>
                <w:tcPr>
                  <w:tcW w:w="754" w:type="pct"/>
                  <w:tcBorders>
                    <w:top w:val="single" w:color="auto" w:sz="4" w:space="0"/>
                  </w:tcBorders>
                  <w:vAlign w:val="center"/>
                </w:tcPr>
                <w:p>
                  <w:pPr>
                    <w:pStyle w:val="13"/>
                    <w:ind w:left="0" w:leftChars="0"/>
                    <w:rPr>
                      <w:spacing w:val="4"/>
                      <w:sz w:val="21"/>
                      <w:szCs w:val="21"/>
                    </w:rPr>
                  </w:pPr>
                  <w:r>
                    <w:rPr>
                      <w:spacing w:val="4"/>
                      <w:sz w:val="21"/>
                      <w:szCs w:val="21"/>
                    </w:rPr>
                    <w:t>每半年一次</w:t>
                  </w:r>
                </w:p>
              </w:tc>
            </w:tr>
          </w:tbl>
          <w:p>
            <w:pPr>
              <w:widowControl/>
              <w:jc w:val="left"/>
              <w:rPr>
                <w:kern w:val="0"/>
                <w:sz w:val="20"/>
                <w:szCs w:val="20"/>
              </w:rPr>
            </w:pPr>
          </w:p>
        </w:tc>
      </w:tr>
    </w:tbl>
    <w:p>
      <w:pPr>
        <w:pStyle w:val="6"/>
        <w:spacing w:after="0" w:line="360" w:lineRule="auto"/>
        <w:rPr>
          <w:sz w:val="28"/>
          <w:szCs w:val="28"/>
        </w:rPr>
        <w:sectPr>
          <w:pgSz w:w="11906" w:h="16838"/>
          <w:pgMar w:top="1418" w:right="1418" w:bottom="1418" w:left="1418" w:header="851" w:footer="992" w:gutter="0"/>
          <w:cols w:space="720" w:num="1"/>
          <w:docGrid w:type="linesAndChars" w:linePitch="312" w:charSpace="0"/>
        </w:sectPr>
      </w:pPr>
    </w:p>
    <w:p>
      <w:pPr>
        <w:pStyle w:val="15"/>
        <w:spacing w:before="0" w:after="0" w:line="360" w:lineRule="auto"/>
        <w:jc w:val="left"/>
        <w:rPr>
          <w:rFonts w:ascii="Times New Roman" w:hAnsi="Times New Roman"/>
          <w:highlight w:val="yellow"/>
        </w:rPr>
      </w:pPr>
      <w:r>
        <w:rPr>
          <w:rFonts w:ascii="Times New Roman" w:hAnsi="Times New Roman"/>
        </w:rPr>
        <w:t>建设项目拟采取的防治措施及预期治理效果</w:t>
      </w:r>
    </w:p>
    <w:tbl>
      <w:tblPr>
        <w:tblStyle w:val="1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827"/>
        <w:gridCol w:w="1388"/>
        <w:gridCol w:w="255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sz w:val="24"/>
              </w:rPr>
            </w:pPr>
            <w:r>
              <w:rPr>
                <w:sz w:val="24"/>
              </w:rPr>
              <w:t>内容</w:t>
            </w:r>
          </w:p>
          <w:p>
            <w:pPr>
              <w:rPr>
                <w:sz w:val="24"/>
              </w:rPr>
            </w:pPr>
            <w:r>
              <w:rPr>
                <w:sz w:val="24"/>
              </w:rPr>
              <w:t>类型</w:t>
            </w:r>
          </w:p>
        </w:tc>
        <w:tc>
          <w:tcPr>
            <w:tcW w:w="1827" w:type="dxa"/>
            <w:tcBorders>
              <w:top w:val="single" w:color="auto" w:sz="12" w:space="0"/>
              <w:left w:val="nil"/>
              <w:bottom w:val="single" w:color="auto" w:sz="4" w:space="0"/>
              <w:right w:val="single" w:color="auto" w:sz="4" w:space="0"/>
            </w:tcBorders>
            <w:vAlign w:val="center"/>
          </w:tcPr>
          <w:p>
            <w:pPr>
              <w:jc w:val="center"/>
              <w:rPr>
                <w:sz w:val="24"/>
              </w:rPr>
            </w:pPr>
            <w:r>
              <w:rPr>
                <w:sz w:val="24"/>
              </w:rPr>
              <w:t>排放源</w:t>
            </w:r>
          </w:p>
          <w:p>
            <w:pPr>
              <w:jc w:val="center"/>
              <w:rPr>
                <w:sz w:val="24"/>
              </w:rPr>
            </w:pPr>
            <w:r>
              <w:rPr>
                <w:sz w:val="24"/>
              </w:rPr>
              <w:t>（编号）</w:t>
            </w:r>
          </w:p>
        </w:tc>
        <w:tc>
          <w:tcPr>
            <w:tcW w:w="1388" w:type="dxa"/>
            <w:tcBorders>
              <w:top w:val="single" w:color="auto" w:sz="12" w:space="0"/>
              <w:left w:val="nil"/>
              <w:bottom w:val="single" w:color="auto" w:sz="4" w:space="0"/>
              <w:right w:val="single" w:color="auto" w:sz="4" w:space="0"/>
            </w:tcBorders>
            <w:vAlign w:val="center"/>
          </w:tcPr>
          <w:p>
            <w:pPr>
              <w:jc w:val="center"/>
              <w:rPr>
                <w:sz w:val="24"/>
              </w:rPr>
            </w:pPr>
            <w:r>
              <w:rPr>
                <w:sz w:val="24"/>
              </w:rPr>
              <w:t>污染物名称</w:t>
            </w:r>
          </w:p>
        </w:tc>
        <w:tc>
          <w:tcPr>
            <w:tcW w:w="2557" w:type="dxa"/>
            <w:tcBorders>
              <w:top w:val="single" w:color="auto" w:sz="12" w:space="0"/>
              <w:left w:val="nil"/>
              <w:bottom w:val="single" w:color="auto" w:sz="4" w:space="0"/>
              <w:right w:val="single" w:color="auto" w:sz="4" w:space="0"/>
            </w:tcBorders>
            <w:vAlign w:val="center"/>
          </w:tcPr>
          <w:p>
            <w:pPr>
              <w:jc w:val="center"/>
              <w:rPr>
                <w:sz w:val="24"/>
              </w:rPr>
            </w:pPr>
            <w:r>
              <w:rPr>
                <w:sz w:val="24"/>
              </w:rPr>
              <w:t>防治措施</w:t>
            </w:r>
          </w:p>
        </w:tc>
        <w:tc>
          <w:tcPr>
            <w:tcW w:w="2693" w:type="dxa"/>
            <w:tcBorders>
              <w:top w:val="single" w:color="auto" w:sz="12" w:space="0"/>
              <w:left w:val="nil"/>
              <w:bottom w:val="single" w:color="auto" w:sz="4" w:space="0"/>
              <w:right w:val="single" w:color="auto" w:sz="12" w:space="0"/>
            </w:tcBorders>
            <w:vAlign w:val="center"/>
          </w:tcPr>
          <w:p>
            <w:pPr>
              <w:jc w:val="center"/>
              <w:rPr>
                <w:sz w:val="24"/>
              </w:rPr>
            </w:pPr>
            <w:r>
              <w:rPr>
                <w:sz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857" w:type="dxa"/>
            <w:vMerge w:val="restart"/>
            <w:tcBorders>
              <w:top w:val="nil"/>
              <w:left w:val="single" w:color="auto" w:sz="12" w:space="0"/>
              <w:bottom w:val="single" w:color="auto" w:sz="4" w:space="0"/>
              <w:right w:val="single" w:color="auto" w:sz="4" w:space="0"/>
            </w:tcBorders>
            <w:vAlign w:val="center"/>
          </w:tcPr>
          <w:p>
            <w:pPr>
              <w:jc w:val="center"/>
              <w:rPr>
                <w:sz w:val="24"/>
              </w:rPr>
            </w:pPr>
            <w:r>
              <w:rPr>
                <w:sz w:val="24"/>
              </w:rPr>
              <w:t>大</w:t>
            </w:r>
          </w:p>
          <w:p>
            <w:pPr>
              <w:jc w:val="center"/>
              <w:rPr>
                <w:sz w:val="24"/>
              </w:rPr>
            </w:pPr>
            <w:r>
              <w:rPr>
                <w:sz w:val="24"/>
              </w:rPr>
              <w:t>气</w:t>
            </w:r>
          </w:p>
          <w:p>
            <w:pPr>
              <w:jc w:val="center"/>
              <w:rPr>
                <w:sz w:val="24"/>
              </w:rPr>
            </w:pPr>
            <w:r>
              <w:rPr>
                <w:sz w:val="24"/>
              </w:rPr>
              <w:t>污</w:t>
            </w:r>
          </w:p>
          <w:p>
            <w:pPr>
              <w:jc w:val="center"/>
              <w:rPr>
                <w:sz w:val="24"/>
              </w:rPr>
            </w:pPr>
            <w:r>
              <w:rPr>
                <w:sz w:val="24"/>
              </w:rPr>
              <w:t>染</w:t>
            </w:r>
          </w:p>
          <w:p>
            <w:pPr>
              <w:jc w:val="center"/>
              <w:rPr>
                <w:sz w:val="24"/>
              </w:rPr>
            </w:pPr>
            <w:r>
              <w:rPr>
                <w:sz w:val="24"/>
              </w:rPr>
              <w:t>物</w:t>
            </w:r>
          </w:p>
        </w:tc>
        <w:tc>
          <w:tcPr>
            <w:tcW w:w="1827" w:type="dxa"/>
            <w:tcBorders>
              <w:top w:val="single" w:color="auto" w:sz="4" w:space="0"/>
              <w:left w:val="nil"/>
              <w:bottom w:val="single" w:color="auto" w:sz="4" w:space="0"/>
              <w:right w:val="single" w:color="auto" w:sz="4" w:space="0"/>
            </w:tcBorders>
            <w:vAlign w:val="center"/>
          </w:tcPr>
          <w:p>
            <w:pPr>
              <w:pStyle w:val="64"/>
              <w:spacing w:line="240" w:lineRule="auto"/>
              <w:jc w:val="center"/>
            </w:pPr>
            <w:r>
              <w:rPr>
                <w:rFonts w:hint="eastAsia"/>
              </w:rPr>
              <w:t>破碎、筛分</w:t>
            </w:r>
            <w:r>
              <w:t>粉尘</w:t>
            </w:r>
          </w:p>
        </w:tc>
        <w:tc>
          <w:tcPr>
            <w:tcW w:w="1388" w:type="dxa"/>
            <w:tcBorders>
              <w:top w:val="nil"/>
              <w:left w:val="nil"/>
              <w:bottom w:val="single" w:color="auto" w:sz="4" w:space="0"/>
              <w:right w:val="single" w:color="auto" w:sz="4" w:space="0"/>
            </w:tcBorders>
            <w:vAlign w:val="center"/>
          </w:tcPr>
          <w:p>
            <w:pPr>
              <w:widowControl/>
              <w:jc w:val="center"/>
              <w:rPr>
                <w:kern w:val="0"/>
                <w:sz w:val="24"/>
              </w:rPr>
            </w:pPr>
            <w:r>
              <w:rPr>
                <w:kern w:val="0"/>
                <w:sz w:val="24"/>
              </w:rPr>
              <w:t>有组织粉尘</w:t>
            </w:r>
          </w:p>
        </w:tc>
        <w:tc>
          <w:tcPr>
            <w:tcW w:w="2557"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集气罩+</w:t>
            </w:r>
            <w:r>
              <w:rPr>
                <w:sz w:val="24"/>
              </w:rPr>
              <w:t>布袋除尘器+15m</w:t>
            </w:r>
            <w:r>
              <w:rPr>
                <w:rFonts w:ascii="宋体" w:hAnsi="宋体"/>
                <w:sz w:val="24"/>
              </w:rPr>
              <w:t>排气筒</w:t>
            </w:r>
          </w:p>
        </w:tc>
        <w:tc>
          <w:tcPr>
            <w:tcW w:w="2693" w:type="dxa"/>
            <w:vMerge w:val="restart"/>
            <w:tcBorders>
              <w:top w:val="single" w:color="auto" w:sz="4" w:space="0"/>
              <w:left w:val="nil"/>
              <w:right w:val="single" w:color="auto" w:sz="12" w:space="0"/>
            </w:tcBorders>
            <w:vAlign w:val="center"/>
          </w:tcPr>
          <w:p>
            <w:pPr>
              <w:jc w:val="center"/>
              <w:rPr>
                <w:sz w:val="24"/>
              </w:rPr>
            </w:pPr>
            <w:r>
              <w:rPr>
                <w:rFonts w:hAnsi="宋体"/>
                <w:sz w:val="24"/>
              </w:rPr>
              <w:t>《大气污染物综合排放标准》（</w:t>
            </w:r>
            <w:r>
              <w:rPr>
                <w:sz w:val="24"/>
              </w:rPr>
              <w:t>GB16297-1996</w:t>
            </w:r>
            <w:r>
              <w:rPr>
                <w:rFonts w:hAnsi="宋体"/>
                <w:sz w:val="24"/>
              </w:rPr>
              <w:t>）表</w:t>
            </w:r>
            <w:r>
              <w:rPr>
                <w:sz w:val="24"/>
              </w:rPr>
              <w:t>2</w:t>
            </w:r>
            <w:r>
              <w:rPr>
                <w:rFonts w:hAnsi="宋体"/>
                <w:sz w:val="24"/>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857" w:type="dxa"/>
            <w:vMerge w:val="continue"/>
            <w:tcBorders>
              <w:top w:val="nil"/>
              <w:left w:val="single" w:color="auto" w:sz="12" w:space="0"/>
              <w:bottom w:val="single" w:color="auto" w:sz="4" w:space="0"/>
              <w:right w:val="single" w:color="auto" w:sz="4" w:space="0"/>
            </w:tcBorders>
            <w:vAlign w:val="center"/>
          </w:tcPr>
          <w:p>
            <w:pPr>
              <w:widowControl/>
              <w:jc w:val="left"/>
              <w:rPr>
                <w:sz w:val="24"/>
                <w:highlight w:val="green"/>
              </w:rPr>
            </w:pPr>
          </w:p>
        </w:tc>
        <w:tc>
          <w:tcPr>
            <w:tcW w:w="1827" w:type="dxa"/>
            <w:tcBorders>
              <w:top w:val="single" w:color="auto" w:sz="4" w:space="0"/>
              <w:left w:val="nil"/>
              <w:bottom w:val="single" w:color="auto" w:sz="4" w:space="0"/>
              <w:right w:val="single" w:color="auto" w:sz="4" w:space="0"/>
            </w:tcBorders>
            <w:vAlign w:val="center"/>
          </w:tcPr>
          <w:p>
            <w:pPr>
              <w:pStyle w:val="64"/>
              <w:spacing w:line="240" w:lineRule="auto"/>
              <w:jc w:val="center"/>
            </w:pPr>
            <w:r>
              <w:rPr>
                <w:rFonts w:hint="eastAsia"/>
              </w:rPr>
              <w:t>堆场</w:t>
            </w:r>
            <w:r>
              <w:t>粉</w:t>
            </w:r>
            <w:r>
              <w:rPr>
                <w:rFonts w:hint="eastAsia"/>
              </w:rPr>
              <w:t>尘、投料粉尘、输送粉尘、装卸粉尘、未捕集的破碎筛分粉尘</w:t>
            </w:r>
          </w:p>
        </w:tc>
        <w:tc>
          <w:tcPr>
            <w:tcW w:w="1388" w:type="dxa"/>
            <w:tcBorders>
              <w:top w:val="nil"/>
              <w:left w:val="nil"/>
              <w:bottom w:val="single" w:color="auto" w:sz="4" w:space="0"/>
              <w:right w:val="single" w:color="auto" w:sz="4" w:space="0"/>
            </w:tcBorders>
            <w:vAlign w:val="center"/>
          </w:tcPr>
          <w:p>
            <w:pPr>
              <w:jc w:val="center"/>
              <w:rPr>
                <w:kern w:val="0"/>
                <w:sz w:val="24"/>
              </w:rPr>
            </w:pPr>
            <w:r>
              <w:rPr>
                <w:rFonts w:hint="eastAsia"/>
                <w:kern w:val="0"/>
                <w:sz w:val="24"/>
              </w:rPr>
              <w:t>无组织粉尘</w:t>
            </w:r>
          </w:p>
        </w:tc>
        <w:tc>
          <w:tcPr>
            <w:tcW w:w="2557" w:type="dxa"/>
            <w:tcBorders>
              <w:top w:val="nil"/>
              <w:left w:val="nil"/>
              <w:bottom w:val="single" w:color="auto" w:sz="4" w:space="0"/>
              <w:right w:val="single" w:color="auto" w:sz="4" w:space="0"/>
            </w:tcBorders>
            <w:vAlign w:val="center"/>
          </w:tcPr>
          <w:p>
            <w:pPr>
              <w:jc w:val="center"/>
              <w:rPr>
                <w:sz w:val="24"/>
              </w:rPr>
            </w:pPr>
            <w:r>
              <w:rPr>
                <w:rFonts w:hint="eastAsia"/>
                <w:sz w:val="24"/>
              </w:rPr>
              <w:t>封闭厂房生产，顶部设置喷淋装置</w:t>
            </w:r>
          </w:p>
        </w:tc>
        <w:tc>
          <w:tcPr>
            <w:tcW w:w="2693" w:type="dxa"/>
            <w:vMerge w:val="continue"/>
            <w:tcBorders>
              <w:left w:val="nil"/>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7" w:type="dxa"/>
            <w:vMerge w:val="restart"/>
            <w:tcBorders>
              <w:top w:val="nil"/>
              <w:left w:val="single" w:color="auto" w:sz="12" w:space="0"/>
              <w:right w:val="single" w:color="auto" w:sz="4" w:space="0"/>
            </w:tcBorders>
            <w:vAlign w:val="center"/>
          </w:tcPr>
          <w:p>
            <w:pPr>
              <w:jc w:val="center"/>
              <w:rPr>
                <w:sz w:val="24"/>
              </w:rPr>
            </w:pPr>
            <w:r>
              <w:rPr>
                <w:sz w:val="24"/>
              </w:rPr>
              <w:t>水</w:t>
            </w:r>
          </w:p>
          <w:p>
            <w:pPr>
              <w:jc w:val="center"/>
              <w:rPr>
                <w:sz w:val="24"/>
              </w:rPr>
            </w:pPr>
            <w:r>
              <w:rPr>
                <w:sz w:val="24"/>
              </w:rPr>
              <w:t>污</w:t>
            </w:r>
          </w:p>
          <w:p>
            <w:pPr>
              <w:jc w:val="center"/>
              <w:rPr>
                <w:sz w:val="24"/>
              </w:rPr>
            </w:pPr>
            <w:r>
              <w:rPr>
                <w:sz w:val="24"/>
              </w:rPr>
              <w:t>染</w:t>
            </w:r>
          </w:p>
          <w:p>
            <w:pPr>
              <w:jc w:val="center"/>
              <w:rPr>
                <w:sz w:val="24"/>
              </w:rPr>
            </w:pPr>
            <w:r>
              <w:rPr>
                <w:sz w:val="24"/>
              </w:rPr>
              <w:t>物</w:t>
            </w:r>
          </w:p>
        </w:tc>
        <w:tc>
          <w:tcPr>
            <w:tcW w:w="1827"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ascii="Times New Roman" w:hAnsi="Times New Roman" w:cs="Times New Roman"/>
              </w:rPr>
              <w:t>运输车辆冲洗废水</w:t>
            </w:r>
          </w:p>
        </w:tc>
        <w:tc>
          <w:tcPr>
            <w:tcW w:w="1388"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ascii="Times New Roman" w:hAnsi="Times New Roman" w:cs="Times New Roman"/>
              </w:rPr>
              <w:t>SS</w:t>
            </w:r>
          </w:p>
        </w:tc>
        <w:tc>
          <w:tcPr>
            <w:tcW w:w="2557" w:type="dxa"/>
            <w:tcBorders>
              <w:top w:val="single" w:color="auto" w:sz="4" w:space="0"/>
              <w:left w:val="nil"/>
              <w:bottom w:val="single" w:color="auto" w:sz="4" w:space="0"/>
              <w:right w:val="single" w:color="auto" w:sz="4" w:space="0"/>
            </w:tcBorders>
            <w:vAlign w:val="center"/>
          </w:tcPr>
          <w:p>
            <w:pPr>
              <w:jc w:val="center"/>
              <w:rPr>
                <w:sz w:val="24"/>
              </w:rPr>
            </w:pPr>
            <w:r>
              <w:rPr>
                <w:rFonts w:hint="eastAsia"/>
                <w:kern w:val="0"/>
                <w:sz w:val="24"/>
              </w:rPr>
              <w:t>洗车池（</w:t>
            </w:r>
            <w:r>
              <w:rPr>
                <w:rFonts w:hint="eastAsia"/>
                <w:sz w:val="24"/>
              </w:rPr>
              <w:t>6m</w:t>
            </w:r>
            <w:r>
              <w:rPr>
                <w:rFonts w:hint="eastAsia"/>
                <w:sz w:val="24"/>
                <w:vertAlign w:val="superscript"/>
              </w:rPr>
              <w:t>3</w:t>
            </w:r>
            <w:r>
              <w:rPr>
                <w:rFonts w:hint="eastAsia"/>
                <w:kern w:val="0"/>
                <w:sz w:val="24"/>
              </w:rPr>
              <w:t>）</w:t>
            </w:r>
          </w:p>
        </w:tc>
        <w:tc>
          <w:tcPr>
            <w:tcW w:w="2693" w:type="dxa"/>
            <w:tcBorders>
              <w:top w:val="single" w:color="auto" w:sz="4" w:space="0"/>
              <w:left w:val="nil"/>
              <w:bottom w:val="single" w:color="auto" w:sz="4" w:space="0"/>
              <w:right w:val="single" w:color="auto" w:sz="12" w:space="0"/>
            </w:tcBorders>
            <w:vAlign w:val="center"/>
          </w:tcPr>
          <w:p>
            <w:pPr>
              <w:jc w:val="center"/>
              <w:rPr>
                <w:sz w:val="24"/>
              </w:rPr>
            </w:pPr>
            <w:r>
              <w:rPr>
                <w:rFonts w:hint="eastAsia"/>
                <w:kern w:val="0"/>
                <w:sz w:val="24"/>
              </w:rPr>
              <w:t>循环使用，不外排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57" w:type="dxa"/>
            <w:vMerge w:val="continue"/>
            <w:tcBorders>
              <w:left w:val="single" w:color="auto" w:sz="12" w:space="0"/>
              <w:bottom w:val="single" w:color="auto" w:sz="4" w:space="0"/>
              <w:right w:val="single" w:color="auto" w:sz="4" w:space="0"/>
            </w:tcBorders>
            <w:vAlign w:val="center"/>
          </w:tcPr>
          <w:p>
            <w:pPr>
              <w:jc w:val="center"/>
              <w:rPr>
                <w:sz w:val="24"/>
              </w:rPr>
            </w:pPr>
          </w:p>
        </w:tc>
        <w:tc>
          <w:tcPr>
            <w:tcW w:w="1827"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hint="eastAsia" w:ascii="Times New Roman" w:hAnsi="Times New Roman" w:cs="Times New Roman"/>
              </w:rPr>
              <w:t>生活污水</w:t>
            </w:r>
          </w:p>
        </w:tc>
        <w:tc>
          <w:tcPr>
            <w:tcW w:w="1388"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hint="eastAsia" w:ascii="Times New Roman" w:hAnsi="Times New Roman" w:cs="Times New Roman"/>
              </w:rPr>
              <w:t>COD、BOD、氨氮、SS</w:t>
            </w:r>
          </w:p>
        </w:tc>
        <w:tc>
          <w:tcPr>
            <w:tcW w:w="2557" w:type="dxa"/>
            <w:tcBorders>
              <w:top w:val="single" w:color="auto" w:sz="4" w:space="0"/>
              <w:left w:val="nil"/>
              <w:bottom w:val="single" w:color="auto" w:sz="4" w:space="0"/>
              <w:right w:val="single" w:color="auto" w:sz="4" w:space="0"/>
            </w:tcBorders>
            <w:vAlign w:val="center"/>
          </w:tcPr>
          <w:p>
            <w:pPr>
              <w:jc w:val="center"/>
              <w:rPr>
                <w:kern w:val="0"/>
                <w:sz w:val="24"/>
              </w:rPr>
            </w:pPr>
            <w:r>
              <w:rPr>
                <w:rFonts w:hint="eastAsia"/>
                <w:kern w:val="0"/>
                <w:sz w:val="24"/>
              </w:rPr>
              <w:t>旱厕（</w:t>
            </w:r>
            <w:r>
              <w:rPr>
                <w:rFonts w:hint="eastAsia"/>
                <w:sz w:val="24"/>
              </w:rPr>
              <w:t>1m</w:t>
            </w:r>
            <w:r>
              <w:rPr>
                <w:rFonts w:hint="eastAsia"/>
                <w:sz w:val="24"/>
                <w:vertAlign w:val="superscript"/>
              </w:rPr>
              <w:t>3</w:t>
            </w:r>
            <w:r>
              <w:rPr>
                <w:rFonts w:hint="eastAsia"/>
                <w:kern w:val="0"/>
                <w:sz w:val="24"/>
              </w:rPr>
              <w:t>）</w:t>
            </w:r>
          </w:p>
        </w:tc>
        <w:tc>
          <w:tcPr>
            <w:tcW w:w="2693" w:type="dxa"/>
            <w:tcBorders>
              <w:top w:val="single" w:color="auto" w:sz="4" w:space="0"/>
              <w:left w:val="nil"/>
              <w:bottom w:val="single" w:color="auto" w:sz="4" w:space="0"/>
              <w:right w:val="single" w:color="auto" w:sz="12" w:space="0"/>
            </w:tcBorders>
            <w:vAlign w:val="center"/>
          </w:tcPr>
          <w:p>
            <w:pPr>
              <w:jc w:val="center"/>
              <w:rPr>
                <w:kern w:val="0"/>
                <w:sz w:val="24"/>
              </w:rPr>
            </w:pPr>
            <w:r>
              <w:rPr>
                <w:rFonts w:hint="eastAsia"/>
                <w:kern w:val="0"/>
                <w:sz w:val="24"/>
              </w:rPr>
              <w:t>定期清淘，用于周围农田灌溉施肥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57" w:type="dxa"/>
            <w:vMerge w:val="restart"/>
            <w:tcBorders>
              <w:top w:val="nil"/>
              <w:left w:val="single" w:color="auto" w:sz="12" w:space="0"/>
              <w:bottom w:val="single" w:color="auto" w:sz="4" w:space="0"/>
              <w:right w:val="single" w:color="auto" w:sz="4" w:space="0"/>
            </w:tcBorders>
            <w:vAlign w:val="center"/>
          </w:tcPr>
          <w:p>
            <w:pPr>
              <w:jc w:val="center"/>
              <w:rPr>
                <w:sz w:val="24"/>
              </w:rPr>
            </w:pPr>
            <w:r>
              <w:rPr>
                <w:sz w:val="24"/>
              </w:rPr>
              <w:t>固体</w:t>
            </w:r>
          </w:p>
          <w:p>
            <w:pPr>
              <w:jc w:val="center"/>
              <w:rPr>
                <w:sz w:val="24"/>
              </w:rPr>
            </w:pPr>
            <w:r>
              <w:rPr>
                <w:sz w:val="24"/>
              </w:rPr>
              <w:t>废物</w:t>
            </w:r>
          </w:p>
        </w:tc>
        <w:tc>
          <w:tcPr>
            <w:tcW w:w="1827"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ascii="Times New Roman" w:hAnsi="Times New Roman" w:cs="Times New Roman"/>
              </w:rPr>
              <w:t>职工</w:t>
            </w:r>
            <w:r>
              <w:rPr>
                <w:rFonts w:hint="eastAsia" w:ascii="Times New Roman" w:hAnsi="Times New Roman" w:cs="Times New Roman"/>
              </w:rPr>
              <w:t>办公</w:t>
            </w:r>
          </w:p>
        </w:tc>
        <w:tc>
          <w:tcPr>
            <w:tcW w:w="1388"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hint="eastAsia" w:ascii="Times New Roman" w:hAnsi="Times New Roman" w:cs="Times New Roman"/>
              </w:rPr>
              <w:t>生活垃圾</w:t>
            </w:r>
          </w:p>
        </w:tc>
        <w:tc>
          <w:tcPr>
            <w:tcW w:w="2557"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集中收集后交由环卫部门统一处理</w:t>
            </w:r>
          </w:p>
        </w:tc>
        <w:tc>
          <w:tcPr>
            <w:tcW w:w="2693" w:type="dxa"/>
            <w:vMerge w:val="restart"/>
            <w:tcBorders>
              <w:top w:val="nil"/>
              <w:left w:val="nil"/>
              <w:right w:val="single" w:color="auto" w:sz="12" w:space="0"/>
            </w:tcBorders>
            <w:vAlign w:val="center"/>
          </w:tcPr>
          <w:p>
            <w:pPr>
              <w:jc w:val="center"/>
              <w:rPr>
                <w:kern w:val="0"/>
                <w:sz w:val="24"/>
              </w:rPr>
            </w:pPr>
            <w:r>
              <w:rPr>
                <w:rFonts w:hint="eastAsia"/>
                <w:kern w:val="0"/>
                <w:sz w:val="24"/>
              </w:rPr>
              <w:t>资源化、无害化、</w:t>
            </w:r>
          </w:p>
          <w:p>
            <w:pPr>
              <w:jc w:val="center"/>
              <w:rPr>
                <w:kern w:val="0"/>
                <w:sz w:val="24"/>
              </w:rPr>
            </w:pPr>
            <w:r>
              <w:rPr>
                <w:rFonts w:hint="eastAsia"/>
                <w:kern w:val="0"/>
                <w:sz w:val="24"/>
              </w:rPr>
              <w:t>减量化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7" w:type="dxa"/>
            <w:vMerge w:val="continue"/>
            <w:tcBorders>
              <w:top w:val="nil"/>
              <w:left w:val="single" w:color="auto" w:sz="12" w:space="0"/>
              <w:bottom w:val="single" w:color="auto" w:sz="4" w:space="0"/>
              <w:right w:val="single" w:color="auto" w:sz="4" w:space="0"/>
            </w:tcBorders>
            <w:vAlign w:val="center"/>
          </w:tcPr>
          <w:p>
            <w:pPr>
              <w:widowControl/>
              <w:jc w:val="left"/>
              <w:rPr>
                <w:sz w:val="24"/>
              </w:rPr>
            </w:pPr>
          </w:p>
        </w:tc>
        <w:tc>
          <w:tcPr>
            <w:tcW w:w="1827"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ascii="Times New Roman" w:hAnsi="Times New Roman" w:cs="Times New Roman"/>
              </w:rPr>
              <w:t>除尘器</w:t>
            </w:r>
          </w:p>
        </w:tc>
        <w:tc>
          <w:tcPr>
            <w:tcW w:w="1388"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ascii="Times New Roman" w:hAnsi="Times New Roman" w:cs="Times New Roman"/>
              </w:rPr>
              <w:t>除尘器粉尘</w:t>
            </w:r>
          </w:p>
        </w:tc>
        <w:tc>
          <w:tcPr>
            <w:tcW w:w="2557" w:type="dxa"/>
            <w:tcBorders>
              <w:top w:val="nil"/>
              <w:left w:val="nil"/>
              <w:bottom w:val="single" w:color="auto" w:sz="4" w:space="0"/>
              <w:right w:val="single" w:color="auto" w:sz="4" w:space="0"/>
            </w:tcBorders>
            <w:vAlign w:val="center"/>
          </w:tcPr>
          <w:p>
            <w:pPr>
              <w:jc w:val="center"/>
              <w:rPr>
                <w:sz w:val="24"/>
              </w:rPr>
            </w:pPr>
            <w:r>
              <w:rPr>
                <w:rFonts w:hint="eastAsia"/>
                <w:sz w:val="24"/>
              </w:rPr>
              <w:t>作成品石粉砂外售</w:t>
            </w:r>
          </w:p>
        </w:tc>
        <w:tc>
          <w:tcPr>
            <w:tcW w:w="2693" w:type="dxa"/>
            <w:vMerge w:val="continue"/>
            <w:tcBorders>
              <w:left w:val="nil"/>
              <w:right w:val="single" w:color="auto" w:sz="12"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7" w:type="dxa"/>
            <w:vMerge w:val="continue"/>
            <w:tcBorders>
              <w:top w:val="nil"/>
              <w:left w:val="single" w:color="auto" w:sz="12" w:space="0"/>
              <w:bottom w:val="single" w:color="auto" w:sz="4" w:space="0"/>
              <w:right w:val="single" w:color="auto" w:sz="4" w:space="0"/>
            </w:tcBorders>
            <w:vAlign w:val="center"/>
          </w:tcPr>
          <w:p>
            <w:pPr>
              <w:widowControl/>
              <w:jc w:val="left"/>
              <w:rPr>
                <w:sz w:val="24"/>
              </w:rPr>
            </w:pPr>
          </w:p>
        </w:tc>
        <w:tc>
          <w:tcPr>
            <w:tcW w:w="1827"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hint="eastAsia" w:ascii="Times New Roman" w:hAnsi="Times New Roman" w:cs="Times New Roman"/>
              </w:rPr>
              <w:t>洗车</w:t>
            </w:r>
            <w:r>
              <w:rPr>
                <w:rFonts w:ascii="Times New Roman" w:hAnsi="Times New Roman" w:cs="Times New Roman"/>
              </w:rPr>
              <w:t>池</w:t>
            </w:r>
          </w:p>
        </w:tc>
        <w:tc>
          <w:tcPr>
            <w:tcW w:w="1388" w:type="dxa"/>
            <w:tcBorders>
              <w:top w:val="single" w:color="auto" w:sz="4" w:space="0"/>
              <w:left w:val="nil"/>
              <w:bottom w:val="single" w:color="auto" w:sz="4"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ascii="Times New Roman" w:hAnsi="Times New Roman" w:cs="Times New Roman"/>
              </w:rPr>
              <w:t>沉渣</w:t>
            </w:r>
          </w:p>
        </w:tc>
        <w:tc>
          <w:tcPr>
            <w:tcW w:w="2557"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回用于原料生产</w:t>
            </w:r>
          </w:p>
        </w:tc>
        <w:tc>
          <w:tcPr>
            <w:tcW w:w="2693" w:type="dxa"/>
            <w:vMerge w:val="continue"/>
            <w:tcBorders>
              <w:left w:val="nil"/>
              <w:right w:val="single" w:color="auto" w:sz="12"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7" w:type="dxa"/>
            <w:vMerge w:val="continue"/>
            <w:tcBorders>
              <w:top w:val="nil"/>
              <w:left w:val="single" w:color="auto" w:sz="12" w:space="0"/>
              <w:bottom w:val="single" w:color="auto" w:sz="8" w:space="0"/>
              <w:right w:val="single" w:color="auto" w:sz="4" w:space="0"/>
            </w:tcBorders>
            <w:vAlign w:val="center"/>
          </w:tcPr>
          <w:p>
            <w:pPr>
              <w:widowControl/>
              <w:jc w:val="left"/>
              <w:rPr>
                <w:sz w:val="24"/>
              </w:rPr>
            </w:pPr>
          </w:p>
        </w:tc>
        <w:tc>
          <w:tcPr>
            <w:tcW w:w="1827" w:type="dxa"/>
            <w:tcBorders>
              <w:top w:val="single" w:color="auto" w:sz="4" w:space="0"/>
              <w:left w:val="nil"/>
              <w:bottom w:val="single" w:color="auto" w:sz="8"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hint="eastAsia" w:ascii="Times New Roman" w:hAnsi="Times New Roman" w:cs="Times New Roman"/>
              </w:rPr>
              <w:t>设备维修</w:t>
            </w:r>
          </w:p>
        </w:tc>
        <w:tc>
          <w:tcPr>
            <w:tcW w:w="1388" w:type="dxa"/>
            <w:tcBorders>
              <w:top w:val="single" w:color="auto" w:sz="4" w:space="0"/>
              <w:left w:val="nil"/>
              <w:bottom w:val="single" w:color="auto" w:sz="8" w:space="0"/>
              <w:right w:val="single" w:color="auto" w:sz="4" w:space="0"/>
            </w:tcBorders>
            <w:vAlign w:val="center"/>
          </w:tcPr>
          <w:p>
            <w:pPr>
              <w:pStyle w:val="61"/>
              <w:widowControl w:val="0"/>
              <w:spacing w:before="0" w:beforeAutospacing="0" w:after="0" w:afterAutospacing="0"/>
              <w:jc w:val="center"/>
              <w:rPr>
                <w:rFonts w:ascii="Times New Roman" w:hAnsi="Times New Roman" w:cs="Times New Roman"/>
              </w:rPr>
            </w:pPr>
            <w:r>
              <w:rPr>
                <w:rFonts w:hint="eastAsia" w:ascii="Times New Roman" w:hAnsi="Times New Roman" w:cs="Times New Roman"/>
              </w:rPr>
              <w:t>废润滑油</w:t>
            </w:r>
          </w:p>
        </w:tc>
        <w:tc>
          <w:tcPr>
            <w:tcW w:w="2557" w:type="dxa"/>
            <w:tcBorders>
              <w:top w:val="single" w:color="auto" w:sz="4" w:space="0"/>
              <w:left w:val="nil"/>
              <w:bottom w:val="single" w:color="auto" w:sz="8" w:space="0"/>
              <w:right w:val="single" w:color="auto" w:sz="4" w:space="0"/>
            </w:tcBorders>
            <w:vAlign w:val="center"/>
          </w:tcPr>
          <w:p>
            <w:pPr>
              <w:jc w:val="center"/>
              <w:rPr>
                <w:sz w:val="24"/>
              </w:rPr>
            </w:pPr>
            <w:r>
              <w:rPr>
                <w:rFonts w:hint="eastAsia"/>
                <w:sz w:val="24"/>
              </w:rPr>
              <w:t>设置危废暂存间收集，定期交由有资质单位处置</w:t>
            </w:r>
          </w:p>
        </w:tc>
        <w:tc>
          <w:tcPr>
            <w:tcW w:w="2693" w:type="dxa"/>
            <w:vMerge w:val="continue"/>
            <w:tcBorders>
              <w:left w:val="nil"/>
              <w:bottom w:val="single" w:color="auto" w:sz="8" w:space="0"/>
              <w:right w:val="single" w:color="auto" w:sz="12" w:space="0"/>
            </w:tcBorders>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trPr>
        <w:tc>
          <w:tcPr>
            <w:tcW w:w="857" w:type="dxa"/>
            <w:tcBorders>
              <w:top w:val="single" w:color="auto" w:sz="8" w:space="0"/>
              <w:left w:val="single" w:color="auto" w:sz="12" w:space="0"/>
              <w:bottom w:val="single" w:color="auto" w:sz="12" w:space="0"/>
              <w:right w:val="single" w:color="auto" w:sz="8" w:space="0"/>
            </w:tcBorders>
            <w:vAlign w:val="center"/>
          </w:tcPr>
          <w:p>
            <w:pPr>
              <w:jc w:val="center"/>
              <w:rPr>
                <w:sz w:val="24"/>
              </w:rPr>
            </w:pPr>
            <w:r>
              <w:rPr>
                <w:sz w:val="24"/>
              </w:rPr>
              <w:t>噪</w:t>
            </w:r>
          </w:p>
          <w:p>
            <w:pPr>
              <w:jc w:val="center"/>
              <w:rPr>
                <w:sz w:val="24"/>
              </w:rPr>
            </w:pPr>
            <w:r>
              <w:rPr>
                <w:sz w:val="24"/>
              </w:rPr>
              <w:t>声</w:t>
            </w:r>
          </w:p>
        </w:tc>
        <w:tc>
          <w:tcPr>
            <w:tcW w:w="8465" w:type="dxa"/>
            <w:gridSpan w:val="4"/>
            <w:tcBorders>
              <w:top w:val="single" w:color="auto" w:sz="8" w:space="0"/>
              <w:left w:val="single" w:color="auto" w:sz="8" w:space="0"/>
              <w:bottom w:val="single" w:color="auto" w:sz="12" w:space="0"/>
              <w:right w:val="single" w:color="auto" w:sz="12" w:space="0"/>
            </w:tcBorders>
            <w:vAlign w:val="center"/>
          </w:tcPr>
          <w:p>
            <w:pPr>
              <w:adjustRightInd w:val="0"/>
              <w:snapToGrid w:val="0"/>
              <w:spacing w:line="360" w:lineRule="auto"/>
              <w:ind w:firstLine="480" w:firstLineChars="200"/>
              <w:jc w:val="left"/>
              <w:rPr>
                <w:sz w:val="24"/>
              </w:rPr>
            </w:pPr>
            <w:r>
              <w:rPr>
                <w:sz w:val="24"/>
              </w:rPr>
              <w:t>选用低噪设备，采用基础减振，</w:t>
            </w:r>
            <w:r>
              <w:rPr>
                <w:kern w:val="0"/>
                <w:sz w:val="24"/>
              </w:rPr>
              <w:t>并将设备放置于钢结构生产车间，利用生产车间墙壁进行隔音</w:t>
            </w:r>
            <w:r>
              <w:rPr>
                <w:rFonts w:hint="eastAsia"/>
                <w:kern w:val="0"/>
                <w:sz w:val="24"/>
              </w:rPr>
              <w:t>等措施</w:t>
            </w:r>
            <w:r>
              <w:rPr>
                <w:sz w:val="24"/>
              </w:rPr>
              <w:t>。厂区内设置警示牌禁止出入车辆鸣笛并限制车辆速度等措施后，项目运营期间，厂界昼间噪声能够满足《工业企业厂界环境噪声排放标准》（GB12348-2008</w:t>
            </w:r>
            <w:r>
              <w:rPr>
                <w:rFonts w:ascii="宋体" w:hAnsi="宋体"/>
                <w:sz w:val="24"/>
              </w:rPr>
              <w:t>）</w:t>
            </w:r>
            <w:r>
              <w:rPr>
                <w:rFonts w:hint="eastAsia"/>
                <w:sz w:val="24"/>
              </w:rPr>
              <w:t>2</w:t>
            </w:r>
            <w:r>
              <w:rPr>
                <w:sz w:val="24"/>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322"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 w:val="24"/>
              </w:rPr>
              <w:t>生态保护措施及预期效果</w:t>
            </w:r>
          </w:p>
          <w:p>
            <w:pPr>
              <w:spacing w:line="360" w:lineRule="auto"/>
              <w:ind w:firstLine="480" w:firstLineChars="200"/>
              <w:rPr>
                <w:sz w:val="24"/>
              </w:rPr>
            </w:pPr>
            <w:r>
              <w:rPr>
                <w:sz w:val="24"/>
              </w:rPr>
              <w:t>本项目拟建区域无珍稀动植物，在厂界四周设置绿化带，利用植物的吸附和阻挡作用，可减少项目对周围环境的影响，项目营运期的生产对生态环境不会产生明显影响。</w:t>
            </w:r>
          </w:p>
          <w:p>
            <w:pPr>
              <w:rPr>
                <w:sz w:val="24"/>
              </w:rPr>
            </w:pPr>
          </w:p>
          <w:p>
            <w:pPr>
              <w:pStyle w:val="2"/>
            </w:pPr>
          </w:p>
          <w:p>
            <w:pPr>
              <w:pStyle w:val="60"/>
              <w:rPr>
                <w:color w:val="auto"/>
              </w:rPr>
            </w:pPr>
          </w:p>
          <w:p>
            <w:pPr>
              <w:pStyle w:val="60"/>
              <w:rPr>
                <w:color w:val="auto"/>
              </w:rPr>
            </w:pPr>
          </w:p>
          <w:p>
            <w:pPr>
              <w:pStyle w:val="60"/>
              <w:rPr>
                <w:color w:val="auto"/>
                <w:kern w:val="2"/>
              </w:rPr>
            </w:pPr>
          </w:p>
        </w:tc>
      </w:tr>
    </w:tbl>
    <w:p>
      <w:pPr>
        <w:pStyle w:val="15"/>
        <w:spacing w:before="0" w:after="0" w:line="360" w:lineRule="auto"/>
        <w:jc w:val="left"/>
        <w:rPr>
          <w:rFonts w:ascii="Times New Roman" w:hAnsi="Times New Roman"/>
        </w:rPr>
      </w:pPr>
      <w:r>
        <w:rPr>
          <w:rFonts w:ascii="Times New Roman" w:hAnsi="Times New Roman"/>
        </w:rPr>
        <w:t>结论与建议</w:t>
      </w: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4" w:hRule="atLeast"/>
        </w:trPr>
        <w:tc>
          <w:tcPr>
            <w:tcW w:w="9286" w:type="dxa"/>
            <w:tcBorders>
              <w:top w:val="single" w:color="auto" w:sz="12" w:space="0"/>
              <w:left w:val="single" w:color="auto" w:sz="12" w:space="0"/>
              <w:bottom w:val="single" w:color="auto" w:sz="12" w:space="0"/>
              <w:right w:val="single" w:color="auto" w:sz="12" w:space="0"/>
            </w:tcBorders>
          </w:tcPr>
          <w:p>
            <w:pPr>
              <w:spacing w:line="360" w:lineRule="auto"/>
              <w:rPr>
                <w:b/>
                <w:sz w:val="24"/>
              </w:rPr>
            </w:pPr>
            <w:r>
              <w:rPr>
                <w:b/>
                <w:sz w:val="24"/>
              </w:rPr>
              <w:t>一、结论</w:t>
            </w:r>
          </w:p>
          <w:p>
            <w:pPr>
              <w:spacing w:line="360" w:lineRule="auto"/>
              <w:ind w:firstLine="470" w:firstLineChars="196"/>
              <w:rPr>
                <w:b/>
                <w:sz w:val="24"/>
              </w:rPr>
            </w:pPr>
            <w:r>
              <w:rPr>
                <w:b/>
                <w:sz w:val="24"/>
              </w:rPr>
              <w:t>1、项目概况</w:t>
            </w:r>
          </w:p>
          <w:p>
            <w:pPr>
              <w:spacing w:line="360" w:lineRule="auto"/>
              <w:ind w:firstLine="480" w:firstLineChars="200"/>
              <w:rPr>
                <w:sz w:val="24"/>
              </w:rPr>
            </w:pPr>
            <w:r>
              <w:rPr>
                <w:bCs/>
                <w:snapToGrid w:val="0"/>
                <w:kern w:val="0"/>
                <w:sz w:val="24"/>
              </w:rPr>
              <w:t>陕西泰茂固体废弃物综合利用石泉杨柳基地建设项目石泉县城关镇杨柳社区</w:t>
            </w:r>
            <w:r>
              <w:rPr>
                <w:rFonts w:hint="eastAsia"/>
                <w:bCs/>
                <w:snapToGrid w:val="0"/>
                <w:kern w:val="0"/>
                <w:sz w:val="24"/>
              </w:rPr>
              <w:t>，</w:t>
            </w:r>
            <w:r>
              <w:rPr>
                <w:sz w:val="24"/>
              </w:rPr>
              <w:t>项目总投资</w:t>
            </w:r>
            <w:r>
              <w:rPr>
                <w:rFonts w:hint="eastAsia"/>
                <w:sz w:val="24"/>
              </w:rPr>
              <w:t>3000</w:t>
            </w:r>
            <w:r>
              <w:rPr>
                <w:sz w:val="24"/>
              </w:rPr>
              <w:t>万元，占地面积10666.7平方米</w:t>
            </w:r>
            <w:r>
              <w:rPr>
                <w:rFonts w:hint="eastAsia"/>
                <w:sz w:val="24"/>
              </w:rPr>
              <w:t>。</w:t>
            </w:r>
            <w:r>
              <w:rPr>
                <w:bCs/>
                <w:sz w:val="24"/>
              </w:rPr>
              <w:t>项目拟新建</w:t>
            </w:r>
            <w:r>
              <w:rPr>
                <w:rFonts w:hint="eastAsia"/>
                <w:bCs/>
                <w:sz w:val="24"/>
              </w:rPr>
              <w:t>破碎生产线2</w:t>
            </w:r>
            <w:r>
              <w:rPr>
                <w:bCs/>
                <w:sz w:val="24"/>
              </w:rPr>
              <w:t>条</w:t>
            </w:r>
            <w:r>
              <w:rPr>
                <w:rFonts w:hint="eastAsia"/>
                <w:bCs/>
                <w:sz w:val="24"/>
              </w:rPr>
              <w:t>，制砂生产线1条</w:t>
            </w:r>
            <w:r>
              <w:rPr>
                <w:bCs/>
                <w:sz w:val="24"/>
              </w:rPr>
              <w:t>，建设生产车间、</w:t>
            </w:r>
            <w:r>
              <w:rPr>
                <w:rFonts w:hint="eastAsia"/>
                <w:bCs/>
                <w:sz w:val="24"/>
              </w:rPr>
              <w:t>原料堆放车间、成品料堆放车间、管理用房</w:t>
            </w:r>
            <w:r>
              <w:rPr>
                <w:bCs/>
                <w:sz w:val="24"/>
              </w:rPr>
              <w:t>、及其它辅助用房，购置生产设备及其他配套设备。建成后年处理</w:t>
            </w:r>
            <w:r>
              <w:rPr>
                <w:rFonts w:hint="eastAsia"/>
                <w:bCs/>
                <w:sz w:val="24"/>
              </w:rPr>
              <w:t>固体废弃物26</w:t>
            </w:r>
            <w:r>
              <w:rPr>
                <w:bCs/>
                <w:sz w:val="24"/>
              </w:rPr>
              <w:t>万吨，产品为</w:t>
            </w:r>
            <w:r>
              <w:rPr>
                <w:rFonts w:hint="eastAsia"/>
                <w:bCs/>
                <w:sz w:val="24"/>
              </w:rPr>
              <w:t>石粉砂、碎石</w:t>
            </w:r>
            <w:r>
              <w:rPr>
                <w:bCs/>
                <w:sz w:val="24"/>
              </w:rPr>
              <w:t>。</w:t>
            </w:r>
            <w:r>
              <w:rPr>
                <w:sz w:val="24"/>
              </w:rPr>
              <w:t>项目建成</w:t>
            </w:r>
            <w:r>
              <w:rPr>
                <w:rFonts w:hint="eastAsia"/>
                <w:sz w:val="24"/>
              </w:rPr>
              <w:t>产品</w:t>
            </w:r>
            <w:r>
              <w:rPr>
                <w:sz w:val="24"/>
              </w:rPr>
              <w:t>产量预计</w:t>
            </w:r>
            <w:r>
              <w:rPr>
                <w:rFonts w:hint="eastAsia"/>
                <w:sz w:val="24"/>
              </w:rPr>
              <w:t>约</w:t>
            </w:r>
            <w:r>
              <w:rPr>
                <w:sz w:val="24"/>
              </w:rPr>
              <w:t>为</w:t>
            </w:r>
            <w:r>
              <w:rPr>
                <w:rFonts w:hint="eastAsia"/>
                <w:sz w:val="24"/>
              </w:rPr>
              <w:t>26万</w:t>
            </w:r>
            <w:r>
              <w:rPr>
                <w:sz w:val="24"/>
              </w:rPr>
              <w:t>t/a</w:t>
            </w:r>
            <w:r>
              <w:rPr>
                <w:rFonts w:hint="eastAsia"/>
                <w:sz w:val="24"/>
              </w:rPr>
              <w:t>，</w:t>
            </w:r>
            <w:r>
              <w:rPr>
                <w:rFonts w:hint="eastAsia"/>
                <w:color w:val="FF0000"/>
                <w:sz w:val="24"/>
              </w:rPr>
              <w:t>其中，环保投资24.5万元，占总投资的0.82%</w:t>
            </w:r>
            <w:r>
              <w:rPr>
                <w:color w:val="FF0000"/>
                <w:sz w:val="24"/>
              </w:rPr>
              <w:t>。</w:t>
            </w:r>
          </w:p>
          <w:p>
            <w:pPr>
              <w:spacing w:line="360" w:lineRule="auto"/>
              <w:ind w:firstLine="470" w:firstLineChars="196"/>
              <w:rPr>
                <w:b/>
                <w:sz w:val="24"/>
              </w:rPr>
            </w:pPr>
            <w:r>
              <w:rPr>
                <w:b/>
                <w:sz w:val="24"/>
              </w:rPr>
              <w:t>2、环境质量现状</w:t>
            </w:r>
          </w:p>
          <w:p>
            <w:pPr>
              <w:spacing w:line="360" w:lineRule="auto"/>
              <w:ind w:firstLine="480" w:firstLineChars="200"/>
              <w:rPr>
                <w:snapToGrid w:val="0"/>
                <w:kern w:val="0"/>
                <w:sz w:val="24"/>
              </w:rPr>
            </w:pPr>
            <w:r>
              <w:rPr>
                <w:snapToGrid w:val="0"/>
                <w:kern w:val="0"/>
                <w:sz w:val="24"/>
              </w:rPr>
              <w:t>（1）环境空气质量</w:t>
            </w:r>
          </w:p>
          <w:p>
            <w:pPr>
              <w:spacing w:line="360" w:lineRule="auto"/>
              <w:ind w:firstLine="360" w:firstLineChars="150"/>
              <w:rPr>
                <w:sz w:val="24"/>
              </w:rPr>
            </w:pPr>
            <w:r>
              <w:rPr>
                <w:sz w:val="24"/>
              </w:rPr>
              <w:t>根据监测结果显示：</w:t>
            </w:r>
            <w:r>
              <w:rPr>
                <w:rFonts w:hint="eastAsia"/>
                <w:sz w:val="24"/>
              </w:rPr>
              <w:t>监控点</w:t>
            </w:r>
            <w:r>
              <w:rPr>
                <w:sz w:val="24"/>
              </w:rPr>
              <w:t>NO</w:t>
            </w:r>
            <w:r>
              <w:rPr>
                <w:sz w:val="24"/>
                <w:vertAlign w:val="subscript"/>
              </w:rPr>
              <w:t>2</w:t>
            </w:r>
            <w:r>
              <w:rPr>
                <w:rFonts w:hint="eastAsia"/>
                <w:sz w:val="24"/>
              </w:rPr>
              <w:t>、</w:t>
            </w:r>
            <w:r>
              <w:rPr>
                <w:sz w:val="24"/>
              </w:rPr>
              <w:t>SO</w:t>
            </w:r>
            <w:r>
              <w:rPr>
                <w:sz w:val="24"/>
                <w:vertAlign w:val="subscript"/>
              </w:rPr>
              <w:t>2</w:t>
            </w:r>
            <w:r>
              <w:rPr>
                <w:rFonts w:hint="eastAsia"/>
                <w:sz w:val="24"/>
              </w:rPr>
              <w:t>、</w:t>
            </w:r>
            <w:r>
              <w:rPr>
                <w:sz w:val="24"/>
              </w:rPr>
              <w:t>PM</w:t>
            </w:r>
            <w:r>
              <w:rPr>
                <w:sz w:val="24"/>
                <w:vertAlign w:val="subscript"/>
              </w:rPr>
              <w:t>10</w:t>
            </w:r>
            <w:r>
              <w:rPr>
                <w:rFonts w:hint="eastAsia"/>
                <w:sz w:val="24"/>
              </w:rPr>
              <w:t>、</w:t>
            </w:r>
            <w:r>
              <w:rPr>
                <w:sz w:val="24"/>
              </w:rPr>
              <w:t>PM</w:t>
            </w:r>
            <w:r>
              <w:rPr>
                <w:sz w:val="24"/>
                <w:vertAlign w:val="subscript"/>
              </w:rPr>
              <w:t>2.5</w:t>
            </w:r>
            <w:r>
              <w:rPr>
                <w:rFonts w:hint="eastAsia"/>
                <w:sz w:val="24"/>
              </w:rPr>
              <w:t>年平均质量浓度、CO的日最大平均质量浓度、O</w:t>
            </w:r>
            <w:r>
              <w:rPr>
                <w:rFonts w:hint="eastAsia"/>
                <w:sz w:val="24"/>
                <w:vertAlign w:val="subscript"/>
              </w:rPr>
              <w:t>3</w:t>
            </w:r>
            <w:r>
              <w:rPr>
                <w:rFonts w:hint="eastAsia"/>
                <w:sz w:val="24"/>
              </w:rPr>
              <w:t>的日最大8小时平均质量浓度均满足《环境空气质量标准》（</w:t>
            </w:r>
            <w:r>
              <w:rPr>
                <w:sz w:val="24"/>
              </w:rPr>
              <w:t>GB3095-2012</w:t>
            </w:r>
            <w:r>
              <w:rPr>
                <w:rFonts w:hint="eastAsia"/>
                <w:sz w:val="24"/>
              </w:rPr>
              <w:t>）二级标准要求；TSP24小时浓度值可满足</w:t>
            </w:r>
            <w:r>
              <w:rPr>
                <w:sz w:val="24"/>
              </w:rPr>
              <w:t>《环境空气质量标准》（GB3095-2012）及其修改单中二级标准。</w:t>
            </w:r>
          </w:p>
          <w:p>
            <w:pPr>
              <w:spacing w:line="360" w:lineRule="auto"/>
              <w:ind w:firstLine="480" w:firstLineChars="200"/>
              <w:rPr>
                <w:snapToGrid w:val="0"/>
                <w:kern w:val="0"/>
                <w:sz w:val="24"/>
              </w:rPr>
            </w:pPr>
            <w:r>
              <w:rPr>
                <w:snapToGrid w:val="0"/>
                <w:kern w:val="0"/>
                <w:sz w:val="24"/>
              </w:rPr>
              <w:t>（</w:t>
            </w:r>
            <w:r>
              <w:rPr>
                <w:rFonts w:hint="eastAsia"/>
                <w:snapToGrid w:val="0"/>
                <w:kern w:val="0"/>
                <w:sz w:val="24"/>
              </w:rPr>
              <w:t>2</w:t>
            </w:r>
            <w:r>
              <w:rPr>
                <w:snapToGrid w:val="0"/>
                <w:kern w:val="0"/>
                <w:sz w:val="24"/>
              </w:rPr>
              <w:t>）</w:t>
            </w:r>
            <w:r>
              <w:rPr>
                <w:rFonts w:hint="eastAsia"/>
                <w:snapToGrid w:val="0"/>
                <w:kern w:val="0"/>
                <w:sz w:val="24"/>
              </w:rPr>
              <w:t>土壤</w:t>
            </w:r>
            <w:r>
              <w:rPr>
                <w:snapToGrid w:val="0"/>
                <w:kern w:val="0"/>
                <w:sz w:val="24"/>
              </w:rPr>
              <w:t>环境</w:t>
            </w:r>
          </w:p>
          <w:p>
            <w:pPr>
              <w:spacing w:line="360" w:lineRule="auto"/>
              <w:ind w:firstLine="480" w:firstLineChars="200"/>
              <w:rPr>
                <w:sz w:val="24"/>
              </w:rPr>
            </w:pPr>
            <w:r>
              <w:rPr>
                <w:sz w:val="24"/>
              </w:rPr>
              <w:t>根据监测结果显示</w:t>
            </w:r>
            <w:r>
              <w:rPr>
                <w:rFonts w:hint="eastAsia"/>
                <w:sz w:val="24"/>
              </w:rPr>
              <w:t>，项目厂址区土壤环境质量指标均满足《土壤环境质量标准 建设用地土壤污染风险管控标准（试行）》（</w:t>
            </w:r>
            <w:r>
              <w:rPr>
                <w:sz w:val="24"/>
              </w:rPr>
              <w:t>GB</w:t>
            </w:r>
            <w:r>
              <w:rPr>
                <w:rFonts w:hint="eastAsia"/>
                <w:sz w:val="24"/>
              </w:rPr>
              <w:t>36600-2018）表</w:t>
            </w:r>
            <w:r>
              <w:rPr>
                <w:sz w:val="24"/>
              </w:rPr>
              <w:t>1</w:t>
            </w:r>
            <w:r>
              <w:rPr>
                <w:rFonts w:hint="eastAsia"/>
                <w:sz w:val="24"/>
              </w:rPr>
              <w:t>中各项目所对应的标准限值，因此，项目区土壤环境质量良好</w:t>
            </w:r>
            <w:r>
              <w:rPr>
                <w:sz w:val="24"/>
              </w:rPr>
              <w:t>。</w:t>
            </w:r>
          </w:p>
          <w:p>
            <w:pPr>
              <w:spacing w:line="360" w:lineRule="auto"/>
              <w:ind w:firstLine="480" w:firstLineChars="200"/>
              <w:rPr>
                <w:snapToGrid w:val="0"/>
                <w:kern w:val="0"/>
                <w:sz w:val="24"/>
              </w:rPr>
            </w:pPr>
            <w:r>
              <w:rPr>
                <w:snapToGrid w:val="0"/>
                <w:kern w:val="0"/>
                <w:sz w:val="24"/>
              </w:rPr>
              <w:t>（</w:t>
            </w:r>
            <w:r>
              <w:rPr>
                <w:rFonts w:hint="eastAsia"/>
                <w:snapToGrid w:val="0"/>
                <w:kern w:val="0"/>
                <w:sz w:val="24"/>
              </w:rPr>
              <w:t>3</w:t>
            </w:r>
            <w:r>
              <w:rPr>
                <w:snapToGrid w:val="0"/>
                <w:kern w:val="0"/>
                <w:sz w:val="24"/>
              </w:rPr>
              <w:t>）声环境</w:t>
            </w:r>
          </w:p>
          <w:p>
            <w:pPr>
              <w:spacing w:line="360" w:lineRule="auto"/>
              <w:ind w:firstLine="472" w:firstLineChars="200"/>
              <w:rPr>
                <w:spacing w:val="-2"/>
                <w:kern w:val="0"/>
                <w:sz w:val="24"/>
              </w:rPr>
            </w:pPr>
            <w:r>
              <w:rPr>
                <w:spacing w:val="-2"/>
                <w:kern w:val="0"/>
                <w:sz w:val="24"/>
                <w:lang w:val="zh-CN"/>
              </w:rPr>
              <w:t>根据监测结果可以看出，</w:t>
            </w:r>
            <w:r>
              <w:rPr>
                <w:spacing w:val="-2"/>
                <w:kern w:val="0"/>
                <w:sz w:val="24"/>
              </w:rPr>
              <w:t>项目各厂界噪声及项目区</w:t>
            </w:r>
            <w:r>
              <w:rPr>
                <w:rFonts w:hint="eastAsia"/>
                <w:spacing w:val="-2"/>
                <w:kern w:val="0"/>
                <w:sz w:val="24"/>
              </w:rPr>
              <w:t>西</w:t>
            </w:r>
            <w:r>
              <w:rPr>
                <w:spacing w:val="-2"/>
                <w:kern w:val="0"/>
                <w:sz w:val="24"/>
              </w:rPr>
              <w:t>侧敏感点均符合《声环境质量标准》（GB3096-2008）2类标准。</w:t>
            </w:r>
          </w:p>
          <w:p>
            <w:pPr>
              <w:spacing w:line="360" w:lineRule="auto"/>
              <w:ind w:firstLine="470" w:firstLineChars="196"/>
              <w:rPr>
                <w:b/>
                <w:sz w:val="24"/>
              </w:rPr>
            </w:pPr>
            <w:r>
              <w:rPr>
                <w:b/>
                <w:sz w:val="24"/>
              </w:rPr>
              <w:t>3、环境影响结论</w:t>
            </w:r>
          </w:p>
          <w:p>
            <w:pPr>
              <w:pStyle w:val="13"/>
              <w:spacing w:after="0" w:line="360" w:lineRule="auto"/>
              <w:ind w:left="0" w:leftChars="0"/>
              <w:rPr>
                <w:sz w:val="24"/>
                <w:szCs w:val="24"/>
              </w:rPr>
            </w:pPr>
            <w:r>
              <w:rPr>
                <w:rFonts w:hint="eastAsia"/>
                <w:sz w:val="24"/>
                <w:szCs w:val="24"/>
              </w:rPr>
              <w:t xml:space="preserve">    </w:t>
            </w:r>
            <w:r>
              <w:rPr>
                <w:sz w:val="24"/>
                <w:szCs w:val="24"/>
              </w:rPr>
              <w:t>本项目运营后，产生的主要污染物为废气、废水、固体废弃物、噪声等。</w:t>
            </w:r>
          </w:p>
          <w:p>
            <w:pPr>
              <w:spacing w:line="360" w:lineRule="auto"/>
              <w:ind w:firstLine="480" w:firstLineChars="200"/>
              <w:rPr>
                <w:bCs/>
                <w:kern w:val="0"/>
                <w:sz w:val="24"/>
              </w:rPr>
            </w:pPr>
            <w:r>
              <w:rPr>
                <w:bCs/>
                <w:kern w:val="0"/>
                <w:sz w:val="24"/>
              </w:rPr>
              <w:t>（1）大气环境</w:t>
            </w:r>
          </w:p>
          <w:p>
            <w:pPr>
              <w:pStyle w:val="60"/>
              <w:snapToGrid w:val="0"/>
              <w:spacing w:line="360" w:lineRule="auto"/>
              <w:ind w:firstLine="480" w:firstLineChars="200"/>
              <w:jc w:val="both"/>
              <w:rPr>
                <w:color w:val="auto"/>
              </w:rPr>
            </w:pPr>
            <w:r>
              <w:rPr>
                <w:rFonts w:hAnsi="宋体"/>
                <w:color w:val="auto"/>
                <w:kern w:val="2"/>
              </w:rPr>
              <w:t>本项目营运期废气主要为原料装卸粉尘，</w:t>
            </w:r>
            <w:r>
              <w:rPr>
                <w:rFonts w:hint="eastAsia" w:hAnsi="宋体"/>
                <w:color w:val="auto"/>
                <w:kern w:val="2"/>
              </w:rPr>
              <w:t>投料粉尘、</w:t>
            </w:r>
            <w:r>
              <w:rPr>
                <w:rFonts w:hAnsi="宋体"/>
                <w:color w:val="auto"/>
                <w:kern w:val="2"/>
              </w:rPr>
              <w:t>破碎、筛分等原料制备时粉尘，</w:t>
            </w:r>
            <w:r>
              <w:rPr>
                <w:rFonts w:hint="eastAsia" w:hAnsi="宋体"/>
                <w:color w:val="auto"/>
                <w:kern w:val="2"/>
              </w:rPr>
              <w:t>堆场粉尘</w:t>
            </w:r>
            <w:r>
              <w:rPr>
                <w:rFonts w:hAnsi="宋体"/>
                <w:color w:val="auto"/>
                <w:kern w:val="2"/>
              </w:rPr>
              <w:t>，交通运输扬尘</w:t>
            </w:r>
            <w:r>
              <w:rPr>
                <w:rFonts w:hint="eastAsia"/>
                <w:color w:val="auto"/>
              </w:rPr>
              <w:t>。</w:t>
            </w:r>
          </w:p>
          <w:p>
            <w:pPr>
              <w:adjustRightInd w:val="0"/>
              <w:snapToGrid w:val="0"/>
              <w:spacing w:line="360" w:lineRule="auto"/>
              <w:ind w:firstLine="480" w:firstLineChars="200"/>
              <w:rPr>
                <w:sz w:val="24"/>
              </w:rPr>
            </w:pPr>
            <w:r>
              <w:rPr>
                <w:rFonts w:hint="eastAsia"/>
                <w:sz w:val="24"/>
              </w:rPr>
              <w:t>本项目生产车间封闭，破碎、筛分工序上方设置集气罩，集气罩收集后通过管道排入布袋除尘器（布袋除尘效率</w:t>
            </w:r>
            <w:r>
              <w:rPr>
                <w:sz w:val="24"/>
              </w:rPr>
              <w:t>9</w:t>
            </w:r>
            <w:r>
              <w:rPr>
                <w:rFonts w:hint="eastAsia"/>
                <w:sz w:val="24"/>
              </w:rPr>
              <w:t>9</w:t>
            </w:r>
            <w:r>
              <w:rPr>
                <w:sz w:val="24"/>
              </w:rPr>
              <w:t>%</w:t>
            </w:r>
            <w:r>
              <w:rPr>
                <w:rFonts w:hint="eastAsia"/>
                <w:sz w:val="24"/>
              </w:rPr>
              <w:t>）处理后通过</w:t>
            </w:r>
            <w:r>
              <w:rPr>
                <w:sz w:val="24"/>
              </w:rPr>
              <w:t>15m</w:t>
            </w:r>
            <w:r>
              <w:rPr>
                <w:rFonts w:hint="eastAsia"/>
                <w:sz w:val="24"/>
              </w:rPr>
              <w:t>高排气筒排放，经布袋除尘器处理后粉碎、筛分工序粉尘满足《大气污染物综合排放标准》（</w:t>
            </w:r>
            <w:r>
              <w:rPr>
                <w:sz w:val="24"/>
              </w:rPr>
              <w:t>GB16297-1996</w:t>
            </w:r>
            <w:r>
              <w:rPr>
                <w:rFonts w:hint="eastAsia"/>
                <w:sz w:val="24"/>
              </w:rPr>
              <w:t>）中的二级标准要求。</w:t>
            </w:r>
          </w:p>
          <w:p>
            <w:pPr>
              <w:adjustRightInd w:val="0"/>
              <w:snapToGrid w:val="0"/>
              <w:spacing w:line="360" w:lineRule="auto"/>
              <w:ind w:firstLine="480" w:firstLineChars="200"/>
              <w:rPr>
                <w:sz w:val="24"/>
              </w:rPr>
            </w:pPr>
            <w:r>
              <w:rPr>
                <w:rFonts w:hint="eastAsia"/>
                <w:sz w:val="24"/>
              </w:rPr>
              <w:t>项目装载车装卸料时会产生粉尘；投料过程中会产生粉尘；原料破碎、筛分过程也会产生未捕集的粉尘；原料及成品堆场会产生粉尘；输送过程会产生粉尘；运输车辆也会产出粉尘。本项目原料、成品堆场车间封闭，且车间顶部设置喷淋装置，降低投料高度，同时厂区道路设置喷淋装置，定期洒水抑尘。采取以上措施后，无组织粉尘对周围环境影响较小，满足《大气污染物综合排放标准》（</w:t>
            </w:r>
            <w:r>
              <w:rPr>
                <w:sz w:val="24"/>
              </w:rPr>
              <w:t>GB16297-1996</w:t>
            </w:r>
            <w:r>
              <w:rPr>
                <w:rFonts w:hint="eastAsia"/>
                <w:sz w:val="24"/>
              </w:rPr>
              <w:t>）中无组织排放限值</w:t>
            </w:r>
            <w:r>
              <w:rPr>
                <w:rFonts w:ascii="宋体" w:hAnsi="宋体"/>
                <w:sz w:val="24"/>
              </w:rPr>
              <w:t>要求</w:t>
            </w:r>
            <w:r>
              <w:rPr>
                <w:rFonts w:hint="eastAsia"/>
                <w:sz w:val="24"/>
              </w:rPr>
              <w:t>。</w:t>
            </w:r>
          </w:p>
          <w:p>
            <w:pPr>
              <w:spacing w:line="360" w:lineRule="auto"/>
              <w:ind w:firstLine="480" w:firstLineChars="200"/>
              <w:rPr>
                <w:sz w:val="24"/>
              </w:rPr>
            </w:pPr>
            <w:r>
              <w:rPr>
                <w:rFonts w:hint="eastAsia"/>
                <w:sz w:val="24"/>
              </w:rPr>
              <w:t>综上所述，在采取相应治理措施后，项目运行期废气对大气环境的影响较小。</w:t>
            </w:r>
          </w:p>
          <w:p>
            <w:pPr>
              <w:spacing w:line="360" w:lineRule="auto"/>
              <w:ind w:firstLine="472" w:firstLineChars="200"/>
              <w:rPr>
                <w:bCs/>
                <w:sz w:val="24"/>
              </w:rPr>
            </w:pPr>
            <w:r>
              <w:rPr>
                <w:bCs/>
                <w:spacing w:val="-2"/>
                <w:sz w:val="24"/>
              </w:rPr>
              <w:t>（2）地表</w:t>
            </w:r>
            <w:r>
              <w:rPr>
                <w:bCs/>
                <w:sz w:val="24"/>
              </w:rPr>
              <w:t>水环境</w:t>
            </w:r>
          </w:p>
          <w:p>
            <w:pPr>
              <w:widowControl/>
              <w:spacing w:line="360" w:lineRule="auto"/>
              <w:ind w:firstLine="480" w:firstLineChars="200"/>
              <w:rPr>
                <w:sz w:val="24"/>
              </w:rPr>
            </w:pPr>
            <w:r>
              <w:rPr>
                <w:sz w:val="24"/>
              </w:rPr>
              <w:t>根据本项目工程分析可知，本项目运行过程中，运输车辆清洗废水经沉淀</w:t>
            </w:r>
            <w:r>
              <w:rPr>
                <w:rFonts w:hint="eastAsia"/>
                <w:sz w:val="24"/>
              </w:rPr>
              <w:t>处理</w:t>
            </w:r>
            <w:r>
              <w:rPr>
                <w:sz w:val="24"/>
              </w:rPr>
              <w:t>后</w:t>
            </w:r>
            <w:r>
              <w:rPr>
                <w:rFonts w:hint="eastAsia"/>
                <w:sz w:val="24"/>
              </w:rPr>
              <w:t>循环使用；生活污水排入旱厕，定期清淘，用于周围农田施肥灌溉，不外排。</w:t>
            </w:r>
            <w:r>
              <w:rPr>
                <w:sz w:val="24"/>
              </w:rPr>
              <w:t>因此，本项目</w:t>
            </w:r>
            <w:r>
              <w:rPr>
                <w:rFonts w:hint="eastAsia"/>
                <w:sz w:val="24"/>
              </w:rPr>
              <w:t>废水</w:t>
            </w:r>
            <w:r>
              <w:rPr>
                <w:sz w:val="24"/>
              </w:rPr>
              <w:t>对外环境影响较小。</w:t>
            </w:r>
          </w:p>
          <w:p>
            <w:pPr>
              <w:widowControl/>
              <w:spacing w:line="360" w:lineRule="auto"/>
              <w:ind w:firstLine="480" w:firstLineChars="200"/>
              <w:rPr>
                <w:bCs/>
                <w:sz w:val="24"/>
              </w:rPr>
            </w:pPr>
            <w:r>
              <w:rPr>
                <w:bCs/>
                <w:sz w:val="24"/>
              </w:rPr>
              <w:t>（3）声环境</w:t>
            </w:r>
          </w:p>
          <w:p>
            <w:pPr>
              <w:widowControl/>
              <w:spacing w:line="360" w:lineRule="auto"/>
              <w:ind w:firstLine="480" w:firstLineChars="200"/>
              <w:rPr>
                <w:sz w:val="24"/>
              </w:rPr>
            </w:pPr>
            <w:r>
              <w:rPr>
                <w:sz w:val="24"/>
              </w:rPr>
              <w:t>项目区噪声源主要为各种机械设备运转时产生机械噪声，在采取基础减振、厂房隔声等措施后，根据预测结果，本项目正常运行情况下厂界</w:t>
            </w:r>
            <w:r>
              <w:rPr>
                <w:rFonts w:hint="eastAsia"/>
                <w:sz w:val="24"/>
              </w:rPr>
              <w:t>及敏感点</w:t>
            </w:r>
            <w:r>
              <w:rPr>
                <w:sz w:val="24"/>
              </w:rPr>
              <w:t>噪声排放可满足《工业企业厂界噪声排放标准》（GB12348-2008）中的2类标准的要求。</w:t>
            </w:r>
          </w:p>
          <w:p>
            <w:pPr>
              <w:spacing w:line="360" w:lineRule="auto"/>
              <w:ind w:firstLine="472" w:firstLineChars="200"/>
              <w:rPr>
                <w:bCs/>
                <w:spacing w:val="-2"/>
                <w:sz w:val="24"/>
              </w:rPr>
            </w:pPr>
            <w:r>
              <w:rPr>
                <w:bCs/>
                <w:spacing w:val="-2"/>
                <w:sz w:val="24"/>
              </w:rPr>
              <w:t>（4）</w:t>
            </w:r>
            <w:r>
              <w:rPr>
                <w:bCs/>
                <w:sz w:val="24"/>
              </w:rPr>
              <w:t>固体废物</w:t>
            </w:r>
          </w:p>
          <w:p>
            <w:pPr>
              <w:spacing w:line="360" w:lineRule="auto"/>
              <w:ind w:firstLine="480" w:firstLineChars="200"/>
              <w:rPr>
                <w:kern w:val="0"/>
                <w:sz w:val="24"/>
                <w:szCs w:val="20"/>
              </w:rPr>
            </w:pPr>
            <w:r>
              <w:rPr>
                <w:kern w:val="0"/>
                <w:sz w:val="24"/>
                <w:szCs w:val="20"/>
              </w:rPr>
              <w:t>本项目产生的固废主要为</w:t>
            </w:r>
            <w:r>
              <w:rPr>
                <w:rFonts w:hint="eastAsia"/>
                <w:kern w:val="0"/>
                <w:sz w:val="24"/>
                <w:szCs w:val="20"/>
              </w:rPr>
              <w:t>废润滑油</w:t>
            </w:r>
            <w:r>
              <w:rPr>
                <w:kern w:val="0"/>
                <w:sz w:val="24"/>
                <w:szCs w:val="20"/>
              </w:rPr>
              <w:t>、员工生活垃圾、沉淀池沉渣。生活垃圾集中收集，由环卫清运；</w:t>
            </w:r>
            <w:r>
              <w:rPr>
                <w:rFonts w:hint="eastAsia"/>
                <w:kern w:val="0"/>
                <w:sz w:val="24"/>
                <w:szCs w:val="20"/>
              </w:rPr>
              <w:t>废润滑油</w:t>
            </w:r>
            <w:r>
              <w:rPr>
                <w:kern w:val="0"/>
                <w:sz w:val="24"/>
                <w:szCs w:val="20"/>
              </w:rPr>
              <w:t>厂区设</w:t>
            </w:r>
            <w:r>
              <w:rPr>
                <w:rFonts w:hint="eastAsia"/>
                <w:kern w:val="0"/>
                <w:sz w:val="24"/>
                <w:szCs w:val="20"/>
              </w:rPr>
              <w:t>危废暂存间</w:t>
            </w:r>
            <w:r>
              <w:rPr>
                <w:kern w:val="0"/>
                <w:sz w:val="24"/>
                <w:szCs w:val="20"/>
              </w:rPr>
              <w:t>暂存，定期委托有处置资质的单位处置；沉淀池沉渣</w:t>
            </w:r>
            <w:r>
              <w:rPr>
                <w:rFonts w:hint="eastAsia"/>
                <w:bCs/>
                <w:sz w:val="24"/>
              </w:rPr>
              <w:t>作为原料回用生产</w:t>
            </w:r>
            <w:r>
              <w:rPr>
                <w:kern w:val="0"/>
                <w:sz w:val="24"/>
                <w:szCs w:val="20"/>
              </w:rPr>
              <w:t>。</w:t>
            </w:r>
          </w:p>
          <w:p>
            <w:pPr>
              <w:spacing w:line="360" w:lineRule="auto"/>
              <w:ind w:firstLine="480" w:firstLineChars="200"/>
              <w:rPr>
                <w:kern w:val="0"/>
                <w:sz w:val="24"/>
              </w:rPr>
            </w:pPr>
            <w:r>
              <w:rPr>
                <w:kern w:val="0"/>
                <w:sz w:val="24"/>
              </w:rPr>
              <w:t>综上，本项目固体废弃物采取有效处理措施后，均得到妥善处置，不会对周围环境产生影响</w:t>
            </w:r>
            <w:r>
              <w:rPr>
                <w:rFonts w:hint="eastAsia"/>
                <w:kern w:val="0"/>
                <w:sz w:val="24"/>
              </w:rPr>
              <w:t>。</w:t>
            </w:r>
          </w:p>
          <w:p>
            <w:pPr>
              <w:numPr>
                <w:ilvl w:val="0"/>
                <w:numId w:val="9"/>
              </w:numPr>
              <w:spacing w:line="360" w:lineRule="auto"/>
              <w:ind w:firstLine="480" w:firstLineChars="200"/>
              <w:rPr>
                <w:kern w:val="0"/>
                <w:sz w:val="24"/>
              </w:rPr>
            </w:pPr>
            <w:r>
              <w:rPr>
                <w:rFonts w:hint="eastAsia"/>
                <w:kern w:val="0"/>
                <w:sz w:val="24"/>
              </w:rPr>
              <w:t>土壤环境</w:t>
            </w:r>
          </w:p>
          <w:p>
            <w:pPr>
              <w:spacing w:line="360" w:lineRule="auto"/>
              <w:ind w:firstLine="480" w:firstLineChars="200"/>
              <w:rPr>
                <w:sz w:val="24"/>
              </w:rPr>
            </w:pPr>
            <w:r>
              <w:rPr>
                <w:kern w:val="0"/>
                <w:sz w:val="24"/>
              </w:rPr>
              <w:t>根据《环境影响评价技术导则-土壤环境》（HJ 964-2018）导则附录A中的划分依据，本项目属于附录A中的交</w:t>
            </w:r>
            <w:r>
              <w:rPr>
                <w:rFonts w:hint="eastAsia"/>
                <w:kern w:val="0"/>
                <w:sz w:val="24"/>
              </w:rPr>
              <w:t>环境和公共设施管理业</w:t>
            </w:r>
            <w:r>
              <w:rPr>
                <w:kern w:val="0"/>
                <w:sz w:val="24"/>
              </w:rPr>
              <w:t>：</w:t>
            </w:r>
            <w:r>
              <w:rPr>
                <w:rFonts w:hint="eastAsia"/>
                <w:kern w:val="0"/>
                <w:sz w:val="24"/>
              </w:rPr>
              <w:t>一般工业固体废物处置及综合利用（除采取填埋和焚烧方式以外的）废旧资源加工、再生利用</w:t>
            </w:r>
            <w:r>
              <w:rPr>
                <w:kern w:val="0"/>
                <w:sz w:val="24"/>
              </w:rPr>
              <w:t>，土壤环境影响评价项目分类中，</w:t>
            </w:r>
            <w:r>
              <w:rPr>
                <w:rFonts w:hint="eastAsia"/>
                <w:kern w:val="0"/>
                <w:sz w:val="24"/>
              </w:rPr>
              <w:t>本项目</w:t>
            </w:r>
            <w:r>
              <w:rPr>
                <w:kern w:val="0"/>
                <w:sz w:val="24"/>
              </w:rPr>
              <w:t>属于III类项目。本项目位于</w:t>
            </w:r>
            <w:r>
              <w:rPr>
                <w:rFonts w:hint="eastAsia"/>
                <w:kern w:val="0"/>
                <w:sz w:val="24"/>
              </w:rPr>
              <w:t>石泉县城关镇杨柳社区</w:t>
            </w:r>
            <w:r>
              <w:rPr>
                <w:kern w:val="0"/>
                <w:sz w:val="24"/>
              </w:rPr>
              <w:t>，周边涉及</w:t>
            </w:r>
            <w:r>
              <w:rPr>
                <w:rFonts w:hint="eastAsia"/>
                <w:kern w:val="0"/>
                <w:sz w:val="24"/>
              </w:rPr>
              <w:t>较敏感区域，</w:t>
            </w:r>
            <w:r>
              <w:rPr>
                <w:kern w:val="0"/>
                <w:sz w:val="24"/>
              </w:rPr>
              <w:t>且本项目占地面积小于5hm</w:t>
            </w:r>
            <w:r>
              <w:rPr>
                <w:kern w:val="0"/>
                <w:sz w:val="24"/>
                <w:vertAlign w:val="superscript"/>
              </w:rPr>
              <w:t>2</w:t>
            </w:r>
            <w:r>
              <w:rPr>
                <w:kern w:val="0"/>
                <w:sz w:val="24"/>
              </w:rPr>
              <w:t>，占地规模属于小型，因此</w:t>
            </w:r>
            <w:r>
              <w:rPr>
                <w:sz w:val="24"/>
              </w:rPr>
              <w:t>，按照土壤导则中的评价工作等级划分表，确定本项目不需进行土壤环境影响评价。</w:t>
            </w:r>
          </w:p>
          <w:p>
            <w:pPr>
              <w:spacing w:line="360" w:lineRule="auto"/>
              <w:ind w:firstLine="468" w:firstLineChars="195"/>
              <w:rPr>
                <w:b/>
                <w:sz w:val="24"/>
              </w:rPr>
            </w:pPr>
          </w:p>
          <w:p>
            <w:pPr>
              <w:spacing w:line="360" w:lineRule="auto"/>
              <w:ind w:firstLine="468" w:firstLineChars="195"/>
              <w:rPr>
                <w:b/>
                <w:sz w:val="24"/>
              </w:rPr>
            </w:pPr>
            <w:r>
              <w:rPr>
                <w:b/>
                <w:sz w:val="24"/>
              </w:rPr>
              <w:t>4、总结论</w:t>
            </w:r>
          </w:p>
          <w:p>
            <w:pPr>
              <w:spacing w:line="360" w:lineRule="auto"/>
              <w:ind w:firstLine="480" w:firstLineChars="200"/>
              <w:rPr>
                <w:b/>
                <w:bCs/>
                <w:sz w:val="24"/>
              </w:rPr>
            </w:pPr>
            <w:r>
              <w:rPr>
                <w:b/>
                <w:bCs/>
                <w:sz w:val="24"/>
              </w:rPr>
              <w:t>项目符合国家产业政策与相关规划，项目在采取相应的污染防治措施后，各类污染物均能达标排放，对所在区域的环境质量影响可接受，符合区域环境功能区划的要求，从环境保护角度分析，项目建设是可行的。</w:t>
            </w:r>
          </w:p>
          <w:p>
            <w:pPr>
              <w:spacing w:line="360" w:lineRule="auto"/>
              <w:ind w:firstLine="470" w:firstLineChars="196"/>
              <w:rPr>
                <w:b/>
                <w:bCs/>
                <w:sz w:val="24"/>
              </w:rPr>
            </w:pPr>
            <w:r>
              <w:rPr>
                <w:b/>
                <w:bCs/>
                <w:sz w:val="24"/>
              </w:rPr>
              <w:t>二、建议</w:t>
            </w:r>
          </w:p>
          <w:p>
            <w:pPr>
              <w:autoSpaceDE w:val="0"/>
              <w:autoSpaceDN w:val="0"/>
              <w:spacing w:line="360" w:lineRule="auto"/>
              <w:ind w:firstLine="480" w:firstLineChars="200"/>
              <w:jc w:val="left"/>
              <w:rPr>
                <w:sz w:val="24"/>
              </w:rPr>
            </w:pPr>
            <w:r>
              <w:rPr>
                <w:sz w:val="24"/>
              </w:rPr>
              <w:t>（1）建设单位应做好废气治理措施的检查、维修、保养工作，确保粉尘达标排放。</w:t>
            </w:r>
          </w:p>
          <w:p>
            <w:pPr>
              <w:autoSpaceDE w:val="0"/>
              <w:autoSpaceDN w:val="0"/>
              <w:spacing w:line="360" w:lineRule="auto"/>
              <w:ind w:firstLine="480" w:firstLineChars="200"/>
              <w:jc w:val="left"/>
              <w:rPr>
                <w:sz w:val="24"/>
              </w:rPr>
            </w:pPr>
            <w:r>
              <w:rPr>
                <w:sz w:val="24"/>
              </w:rPr>
              <w:t>（2）建设单位应严格按照《危险废物贮存污染控制标准》（GB18597-2001）及《陕西省环境保护厅关于进一步加强危险废物简单管理工作的通知》要求，做好危险废物储存、处置工作，保证危废可得到安全、合理的处置。</w:t>
            </w:r>
          </w:p>
          <w:p>
            <w:pPr>
              <w:spacing w:line="360" w:lineRule="auto"/>
              <w:ind w:firstLine="480" w:firstLineChars="200"/>
              <w:rPr>
                <w:sz w:val="24"/>
              </w:rPr>
            </w:pPr>
            <w:r>
              <w:rPr>
                <w:sz w:val="24"/>
              </w:rPr>
              <w:t>（3</w:t>
            </w:r>
            <w:r>
              <w:rPr>
                <w:color w:val="FF0000"/>
                <w:sz w:val="24"/>
              </w:rPr>
              <w:t>）项目应严格执行建设项目环保验收</w:t>
            </w:r>
            <w:r>
              <w:rPr>
                <w:rFonts w:hint="eastAsia"/>
                <w:color w:val="FF0000"/>
                <w:sz w:val="24"/>
              </w:rPr>
              <w:t>制度</w:t>
            </w:r>
            <w:r>
              <w:rPr>
                <w:sz w:val="24"/>
              </w:rPr>
              <w:t>，项目</w:t>
            </w:r>
            <w:r>
              <w:rPr>
                <w:rFonts w:hint="eastAsia"/>
                <w:sz w:val="24"/>
              </w:rPr>
              <w:t>建设</w:t>
            </w:r>
            <w:r>
              <w:rPr>
                <w:sz w:val="24"/>
              </w:rPr>
              <w:t>完成后</w:t>
            </w:r>
            <w:r>
              <w:rPr>
                <w:rFonts w:hint="eastAsia"/>
                <w:sz w:val="24"/>
              </w:rPr>
              <w:t>应按程序进行项目竣工环保验收，</w:t>
            </w:r>
            <w:r>
              <w:rPr>
                <w:sz w:val="24"/>
              </w:rPr>
              <w:t>验收</w:t>
            </w:r>
            <w:r>
              <w:rPr>
                <w:rFonts w:hint="eastAsia"/>
                <w:sz w:val="24"/>
              </w:rPr>
              <w:t>完成</w:t>
            </w:r>
            <w:r>
              <w:rPr>
                <w:sz w:val="24"/>
              </w:rPr>
              <w:t>后方可投入正式运营。</w:t>
            </w: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Pr>
              <w:spacing w:line="360" w:lineRule="auto"/>
              <w:ind w:firstLine="472" w:firstLineChars="200"/>
              <w:rPr>
                <w:b/>
                <w:spacing w:val="-2"/>
                <w:sz w:val="24"/>
              </w:rPr>
            </w:pPr>
          </w:p>
          <w:p/>
          <w:p>
            <w:pPr>
              <w:spacing w:line="360" w:lineRule="auto"/>
              <w:rPr>
                <w:b/>
                <w:spacing w:val="-2"/>
                <w:sz w:val="24"/>
              </w:rPr>
            </w:pPr>
          </w:p>
        </w:tc>
      </w:tr>
    </w:tbl>
    <w:p>
      <w:pPr>
        <w:widowControl/>
        <w:spacing w:before="156" w:beforeLines="50" w:line="360" w:lineRule="auto"/>
        <w:rPr>
          <w:sz w:val="24"/>
        </w:rPr>
      </w:pPr>
    </w:p>
    <w:tbl>
      <w:tblPr>
        <w:tblStyle w:val="19"/>
        <w:tblW w:w="928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75" w:hRule="atLeast"/>
        </w:trPr>
        <w:tc>
          <w:tcPr>
            <w:tcW w:w="9286" w:type="dxa"/>
          </w:tcPr>
          <w:p>
            <w:pPr>
              <w:spacing w:line="360" w:lineRule="auto"/>
              <w:rPr>
                <w:bCs/>
                <w:sz w:val="28"/>
                <w:szCs w:val="28"/>
              </w:rPr>
            </w:pPr>
            <w:r>
              <w:rPr>
                <w:bCs/>
                <w:sz w:val="28"/>
                <w:szCs w:val="28"/>
              </w:rPr>
              <w:t>预审意见：</w:t>
            </w: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ind w:firstLine="5913" w:firstLineChars="2112"/>
              <w:rPr>
                <w:bCs/>
                <w:sz w:val="28"/>
                <w:szCs w:val="28"/>
              </w:rPr>
            </w:pPr>
            <w:r>
              <w:rPr>
                <w:bCs/>
                <w:sz w:val="28"/>
                <w:szCs w:val="28"/>
              </w:rPr>
              <w:t>(公章)</w:t>
            </w:r>
          </w:p>
          <w:p>
            <w:pPr>
              <w:spacing w:line="360" w:lineRule="auto"/>
              <w:rPr>
                <w:bCs/>
                <w:sz w:val="28"/>
                <w:szCs w:val="28"/>
              </w:rPr>
            </w:pPr>
          </w:p>
          <w:p>
            <w:pPr>
              <w:spacing w:line="360" w:lineRule="auto"/>
              <w:rPr>
                <w:bCs/>
                <w:sz w:val="28"/>
                <w:szCs w:val="28"/>
              </w:rPr>
            </w:pPr>
            <w:r>
              <w:rPr>
                <w:bCs/>
                <w:sz w:val="28"/>
                <w:szCs w:val="28"/>
              </w:rPr>
              <w:t>经办人：</w:t>
            </w:r>
            <w:r>
              <w:rPr>
                <w:rFonts w:hint="eastAsia"/>
                <w:bCs/>
                <w:sz w:val="28"/>
                <w:szCs w:val="28"/>
              </w:rPr>
              <w:t xml:space="preserve">    </w:t>
            </w:r>
            <w:r>
              <w:rPr>
                <w:bCs/>
                <w:sz w:val="28"/>
                <w:szCs w:val="28"/>
              </w:rPr>
              <w:t>年</w:t>
            </w:r>
            <w:r>
              <w:rPr>
                <w:rFonts w:hint="eastAsia"/>
                <w:bCs/>
                <w:sz w:val="28"/>
                <w:szCs w:val="28"/>
              </w:rPr>
              <w:t xml:space="preserve">     </w:t>
            </w:r>
            <w:r>
              <w:rPr>
                <w:bCs/>
                <w:sz w:val="28"/>
                <w:szCs w:val="28"/>
              </w:rPr>
              <w:t>月</w:t>
            </w:r>
            <w:r>
              <w:rPr>
                <w:rFonts w:hint="eastAsia"/>
                <w:bCs/>
                <w:sz w:val="28"/>
                <w:szCs w:val="28"/>
              </w:rPr>
              <w:t xml:space="preserve">     </w:t>
            </w:r>
            <w:r>
              <w:rPr>
                <w:bCs/>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67" w:hRule="atLeast"/>
        </w:trPr>
        <w:tc>
          <w:tcPr>
            <w:tcW w:w="9286" w:type="dxa"/>
          </w:tcPr>
          <w:p>
            <w:pPr>
              <w:spacing w:line="360" w:lineRule="auto"/>
              <w:rPr>
                <w:bCs/>
                <w:sz w:val="28"/>
                <w:szCs w:val="28"/>
              </w:rPr>
            </w:pPr>
            <w:r>
              <w:rPr>
                <w:bCs/>
                <w:sz w:val="28"/>
                <w:szCs w:val="28"/>
              </w:rPr>
              <w:t>下一级环境保护行政主管部门审查意见：</w:t>
            </w: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ind w:firstLine="5658" w:firstLineChars="2021"/>
              <w:rPr>
                <w:bCs/>
                <w:sz w:val="28"/>
                <w:szCs w:val="28"/>
              </w:rPr>
            </w:pPr>
            <w:r>
              <w:rPr>
                <w:bCs/>
                <w:sz w:val="28"/>
                <w:szCs w:val="28"/>
              </w:rPr>
              <w:t xml:space="preserve">  (公章)</w:t>
            </w: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r>
              <w:rPr>
                <w:bCs/>
                <w:sz w:val="28"/>
                <w:szCs w:val="28"/>
              </w:rPr>
              <w:t>经办人：</w:t>
            </w:r>
            <w:r>
              <w:rPr>
                <w:rFonts w:hint="eastAsia"/>
                <w:bCs/>
                <w:sz w:val="28"/>
                <w:szCs w:val="28"/>
              </w:rPr>
              <w:t xml:space="preserve">     </w:t>
            </w:r>
            <w:r>
              <w:rPr>
                <w:bCs/>
                <w:sz w:val="28"/>
                <w:szCs w:val="28"/>
              </w:rPr>
              <w:t>年</w:t>
            </w:r>
            <w:r>
              <w:rPr>
                <w:rFonts w:hint="eastAsia"/>
                <w:bCs/>
                <w:sz w:val="28"/>
                <w:szCs w:val="28"/>
              </w:rPr>
              <w:t xml:space="preserve">    </w:t>
            </w:r>
            <w:r>
              <w:rPr>
                <w:bCs/>
                <w:sz w:val="28"/>
                <w:szCs w:val="28"/>
              </w:rPr>
              <w:t>月</w:t>
            </w:r>
            <w:r>
              <w:rPr>
                <w:rFonts w:hint="eastAsia"/>
                <w:bCs/>
                <w:sz w:val="28"/>
                <w:szCs w:val="28"/>
              </w:rPr>
              <w:t xml:space="preserve">    </w:t>
            </w:r>
            <w:r>
              <w:rPr>
                <w:bCs/>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211" w:hRule="atLeast"/>
        </w:trPr>
        <w:tc>
          <w:tcPr>
            <w:tcW w:w="9286" w:type="dxa"/>
          </w:tcPr>
          <w:p>
            <w:pPr>
              <w:spacing w:line="360" w:lineRule="auto"/>
              <w:rPr>
                <w:bCs/>
                <w:sz w:val="28"/>
                <w:szCs w:val="28"/>
              </w:rPr>
            </w:pPr>
            <w:r>
              <w:rPr>
                <w:bCs/>
                <w:sz w:val="28"/>
                <w:szCs w:val="28"/>
              </w:rPr>
              <w:t>审批意见：</w:t>
            </w: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ind w:right="560" w:firstLine="5852" w:firstLineChars="2090"/>
              <w:rPr>
                <w:bCs/>
                <w:sz w:val="28"/>
                <w:szCs w:val="28"/>
              </w:rPr>
            </w:pPr>
            <w:r>
              <w:rPr>
                <w:bCs/>
                <w:sz w:val="28"/>
                <w:szCs w:val="28"/>
              </w:rPr>
              <w:t>(公章)</w:t>
            </w:r>
          </w:p>
          <w:p>
            <w:pPr>
              <w:spacing w:line="360" w:lineRule="auto"/>
              <w:rPr>
                <w:bCs/>
                <w:sz w:val="28"/>
                <w:szCs w:val="28"/>
              </w:rPr>
            </w:pPr>
          </w:p>
          <w:p>
            <w:pPr>
              <w:spacing w:line="360" w:lineRule="auto"/>
              <w:rPr>
                <w:bCs/>
                <w:sz w:val="28"/>
                <w:szCs w:val="28"/>
              </w:rPr>
            </w:pPr>
          </w:p>
          <w:p>
            <w:pPr>
              <w:spacing w:line="360" w:lineRule="auto"/>
              <w:rPr>
                <w:bCs/>
                <w:sz w:val="28"/>
                <w:szCs w:val="28"/>
              </w:rPr>
            </w:pPr>
          </w:p>
          <w:p>
            <w:pPr>
              <w:spacing w:line="360" w:lineRule="auto"/>
              <w:rPr>
                <w:bCs/>
                <w:sz w:val="28"/>
                <w:szCs w:val="28"/>
              </w:rPr>
            </w:pPr>
            <w:r>
              <w:rPr>
                <w:bCs/>
                <w:sz w:val="28"/>
                <w:szCs w:val="28"/>
              </w:rPr>
              <w:t>经办人：</w:t>
            </w:r>
            <w:r>
              <w:rPr>
                <w:rFonts w:hint="eastAsia"/>
                <w:bCs/>
                <w:sz w:val="28"/>
                <w:szCs w:val="28"/>
              </w:rPr>
              <w:t xml:space="preserve">      </w:t>
            </w:r>
            <w:r>
              <w:rPr>
                <w:bCs/>
                <w:sz w:val="28"/>
                <w:szCs w:val="28"/>
              </w:rPr>
              <w:t>年</w:t>
            </w:r>
            <w:r>
              <w:rPr>
                <w:rFonts w:hint="eastAsia"/>
                <w:bCs/>
                <w:sz w:val="28"/>
                <w:szCs w:val="28"/>
              </w:rPr>
              <w:t xml:space="preserve">     </w:t>
            </w:r>
            <w:r>
              <w:rPr>
                <w:bCs/>
                <w:sz w:val="28"/>
                <w:szCs w:val="28"/>
              </w:rPr>
              <w:t>月</w:t>
            </w:r>
            <w:r>
              <w:rPr>
                <w:rFonts w:hint="eastAsia"/>
                <w:bCs/>
                <w:sz w:val="28"/>
                <w:szCs w:val="28"/>
              </w:rPr>
              <w:t xml:space="preserve">      </w:t>
            </w:r>
            <w:r>
              <w:rPr>
                <w:bCs/>
                <w:sz w:val="28"/>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30" w:hRule="atLeast"/>
        </w:trPr>
        <w:tc>
          <w:tcPr>
            <w:tcW w:w="9286" w:type="dxa"/>
            <w:vAlign w:val="center"/>
          </w:tcPr>
          <w:p>
            <w:pPr>
              <w:spacing w:line="400" w:lineRule="exact"/>
              <w:ind w:firstLine="480" w:firstLineChars="200"/>
              <w:jc w:val="center"/>
              <w:rPr>
                <w:b/>
                <w:sz w:val="24"/>
              </w:rPr>
            </w:pPr>
            <w:r>
              <w:rPr>
                <w:b/>
                <w:sz w:val="24"/>
              </w:rPr>
              <w:t>注释</w:t>
            </w:r>
          </w:p>
          <w:p>
            <w:pPr>
              <w:spacing w:line="360" w:lineRule="auto"/>
              <w:ind w:firstLine="480" w:firstLineChars="200"/>
              <w:rPr>
                <w:sz w:val="24"/>
              </w:rPr>
            </w:pPr>
            <w:r>
              <w:rPr>
                <w:sz w:val="24"/>
              </w:rPr>
              <w:t>本项目附以下附图、附件：</w:t>
            </w:r>
          </w:p>
          <w:p>
            <w:pPr>
              <w:spacing w:line="360" w:lineRule="auto"/>
              <w:ind w:firstLine="480" w:firstLineChars="200"/>
              <w:rPr>
                <w:b/>
                <w:sz w:val="24"/>
              </w:rPr>
            </w:pPr>
            <w:r>
              <w:rPr>
                <w:b/>
                <w:sz w:val="24"/>
              </w:rPr>
              <w:t>附图：</w:t>
            </w:r>
          </w:p>
          <w:p>
            <w:pPr>
              <w:spacing w:line="360" w:lineRule="auto"/>
              <w:ind w:firstLine="480" w:firstLineChars="200"/>
              <w:rPr>
                <w:sz w:val="24"/>
              </w:rPr>
            </w:pPr>
            <w:r>
              <w:rPr>
                <w:sz w:val="24"/>
              </w:rPr>
              <w:t>附图1：项目地理位置图</w:t>
            </w:r>
          </w:p>
          <w:p>
            <w:pPr>
              <w:spacing w:line="360" w:lineRule="auto"/>
              <w:ind w:firstLine="480" w:firstLineChars="200"/>
              <w:rPr>
                <w:sz w:val="24"/>
              </w:rPr>
            </w:pPr>
            <w:r>
              <w:rPr>
                <w:sz w:val="24"/>
              </w:rPr>
              <w:t>附图2：项目</w:t>
            </w:r>
            <w:r>
              <w:rPr>
                <w:rFonts w:hint="eastAsia"/>
                <w:sz w:val="24"/>
              </w:rPr>
              <w:t>四邻关系</w:t>
            </w:r>
            <w:r>
              <w:rPr>
                <w:sz w:val="24"/>
              </w:rPr>
              <w:t>图</w:t>
            </w:r>
          </w:p>
          <w:p>
            <w:pPr>
              <w:spacing w:line="360" w:lineRule="auto"/>
              <w:ind w:firstLine="480" w:firstLineChars="200"/>
              <w:rPr>
                <w:bCs/>
                <w:sz w:val="24"/>
              </w:rPr>
            </w:pPr>
            <w:r>
              <w:rPr>
                <w:sz w:val="24"/>
              </w:rPr>
              <w:t>附图3：</w:t>
            </w:r>
            <w:r>
              <w:rPr>
                <w:bCs/>
                <w:sz w:val="24"/>
              </w:rPr>
              <w:t>项目</w:t>
            </w:r>
            <w:r>
              <w:rPr>
                <w:sz w:val="24"/>
              </w:rPr>
              <w:t>平面布置图</w:t>
            </w:r>
          </w:p>
          <w:p>
            <w:pPr>
              <w:spacing w:line="360" w:lineRule="auto"/>
              <w:ind w:firstLine="480" w:firstLineChars="200"/>
              <w:rPr>
                <w:bCs/>
                <w:sz w:val="24"/>
              </w:rPr>
            </w:pPr>
            <w:r>
              <w:rPr>
                <w:sz w:val="24"/>
              </w:rPr>
              <w:t>附图</w:t>
            </w:r>
            <w:r>
              <w:rPr>
                <w:rFonts w:hint="eastAsia"/>
                <w:sz w:val="24"/>
              </w:rPr>
              <w:t>4</w:t>
            </w:r>
            <w:r>
              <w:rPr>
                <w:sz w:val="24"/>
              </w:rPr>
              <w:t>：</w:t>
            </w:r>
            <w:r>
              <w:rPr>
                <w:bCs/>
                <w:sz w:val="24"/>
              </w:rPr>
              <w:t>项目监测点位图</w:t>
            </w:r>
          </w:p>
          <w:p>
            <w:pPr>
              <w:spacing w:line="360" w:lineRule="auto"/>
              <w:ind w:firstLine="480" w:firstLineChars="200"/>
              <w:rPr>
                <w:bCs/>
                <w:sz w:val="24"/>
              </w:rPr>
            </w:pPr>
            <w:r>
              <w:rPr>
                <w:sz w:val="24"/>
              </w:rPr>
              <w:t>附图</w:t>
            </w:r>
            <w:r>
              <w:rPr>
                <w:rFonts w:hint="eastAsia"/>
                <w:sz w:val="24"/>
              </w:rPr>
              <w:t>5</w:t>
            </w:r>
            <w:r>
              <w:rPr>
                <w:sz w:val="24"/>
              </w:rPr>
              <w:t>：</w:t>
            </w:r>
            <w:r>
              <w:rPr>
                <w:bCs/>
                <w:sz w:val="24"/>
              </w:rPr>
              <w:t>项目</w:t>
            </w:r>
            <w:r>
              <w:rPr>
                <w:rFonts w:hint="eastAsia"/>
                <w:bCs/>
                <w:sz w:val="24"/>
              </w:rPr>
              <w:t>敏感目标位置</w:t>
            </w:r>
            <w:r>
              <w:rPr>
                <w:bCs/>
                <w:sz w:val="24"/>
              </w:rPr>
              <w:t>图</w:t>
            </w:r>
          </w:p>
          <w:p>
            <w:pPr>
              <w:spacing w:line="360" w:lineRule="auto"/>
              <w:ind w:firstLine="480" w:firstLineChars="200"/>
              <w:rPr>
                <w:b/>
                <w:sz w:val="24"/>
              </w:rPr>
            </w:pPr>
          </w:p>
          <w:p>
            <w:pPr>
              <w:spacing w:line="360" w:lineRule="auto"/>
              <w:ind w:firstLine="480" w:firstLineChars="200"/>
              <w:rPr>
                <w:b/>
                <w:sz w:val="24"/>
              </w:rPr>
            </w:pPr>
            <w:r>
              <w:rPr>
                <w:b/>
                <w:sz w:val="24"/>
              </w:rPr>
              <w:t>附件：</w:t>
            </w:r>
          </w:p>
          <w:p>
            <w:pPr>
              <w:spacing w:line="360" w:lineRule="auto"/>
              <w:ind w:firstLine="480" w:firstLineChars="200"/>
              <w:rPr>
                <w:sz w:val="24"/>
              </w:rPr>
            </w:pPr>
            <w:r>
              <w:rPr>
                <w:sz w:val="24"/>
              </w:rPr>
              <w:t>附件1：委托书</w:t>
            </w:r>
          </w:p>
          <w:p>
            <w:pPr>
              <w:spacing w:line="360" w:lineRule="auto"/>
              <w:ind w:firstLine="480" w:firstLineChars="200"/>
              <w:rPr>
                <w:sz w:val="24"/>
              </w:rPr>
            </w:pPr>
            <w:r>
              <w:rPr>
                <w:sz w:val="24"/>
              </w:rPr>
              <w:t>附件</w:t>
            </w:r>
            <w:r>
              <w:rPr>
                <w:rFonts w:hint="eastAsia"/>
                <w:sz w:val="24"/>
              </w:rPr>
              <w:t>2</w:t>
            </w:r>
            <w:r>
              <w:rPr>
                <w:sz w:val="24"/>
              </w:rPr>
              <w:t>：备案确认书</w:t>
            </w:r>
          </w:p>
          <w:p>
            <w:pPr>
              <w:spacing w:line="360" w:lineRule="auto"/>
              <w:ind w:firstLine="480" w:firstLineChars="200"/>
              <w:rPr>
                <w:sz w:val="24"/>
              </w:rPr>
            </w:pPr>
            <w:r>
              <w:rPr>
                <w:sz w:val="24"/>
              </w:rPr>
              <w:t>附件</w:t>
            </w:r>
            <w:r>
              <w:rPr>
                <w:rFonts w:hint="eastAsia"/>
                <w:sz w:val="24"/>
              </w:rPr>
              <w:t>3</w:t>
            </w:r>
            <w:r>
              <w:rPr>
                <w:sz w:val="24"/>
              </w:rPr>
              <w:t>：监测报告</w:t>
            </w:r>
          </w:p>
          <w:p>
            <w:pPr>
              <w:spacing w:line="360" w:lineRule="auto"/>
              <w:ind w:firstLine="480" w:firstLineChars="200"/>
              <w:rPr>
                <w:bCs/>
                <w:sz w:val="24"/>
              </w:rPr>
            </w:pPr>
            <w:r>
              <w:rPr>
                <w:sz w:val="24"/>
              </w:rPr>
              <w:t>附图</w:t>
            </w:r>
            <w:r>
              <w:rPr>
                <w:rFonts w:hint="eastAsia"/>
                <w:sz w:val="24"/>
              </w:rPr>
              <w:t>4</w:t>
            </w:r>
            <w:r>
              <w:rPr>
                <w:sz w:val="24"/>
              </w:rPr>
              <w:t>：</w:t>
            </w:r>
            <w:r>
              <w:rPr>
                <w:rFonts w:hint="eastAsia"/>
                <w:bCs/>
                <w:sz w:val="24"/>
              </w:rPr>
              <w:t>项目租赁合同</w:t>
            </w:r>
          </w:p>
          <w:p>
            <w:pPr>
              <w:spacing w:line="360" w:lineRule="auto"/>
              <w:ind w:firstLine="480" w:firstLineChars="200"/>
              <w:rPr>
                <w:bCs/>
                <w:sz w:val="24"/>
              </w:rPr>
            </w:pPr>
            <w:r>
              <w:rPr>
                <w:sz w:val="24"/>
              </w:rPr>
              <w:t>附图</w:t>
            </w:r>
            <w:r>
              <w:rPr>
                <w:rFonts w:hint="eastAsia"/>
                <w:sz w:val="24"/>
              </w:rPr>
              <w:t>5</w:t>
            </w:r>
            <w:r>
              <w:rPr>
                <w:sz w:val="24"/>
              </w:rPr>
              <w:t>：</w:t>
            </w:r>
            <w:r>
              <w:rPr>
                <w:rFonts w:hint="eastAsia"/>
                <w:bCs/>
                <w:sz w:val="24"/>
              </w:rPr>
              <w:t>协议书</w:t>
            </w:r>
          </w:p>
          <w:p>
            <w:pPr>
              <w:spacing w:line="360" w:lineRule="auto"/>
              <w:ind w:firstLine="480" w:firstLineChars="200"/>
              <w:rPr>
                <w:sz w:val="24"/>
              </w:rPr>
            </w:pPr>
          </w:p>
          <w:p>
            <w:pPr>
              <w:spacing w:before="312" w:beforeLines="100" w:line="360" w:lineRule="auto"/>
              <w:ind w:firstLine="480" w:firstLineChars="200"/>
              <w:rPr>
                <w:sz w:val="24"/>
              </w:rPr>
            </w:pPr>
            <w:r>
              <w:rPr>
                <w:sz w:val="24"/>
              </w:rPr>
              <w:t>二、如果本报告表不能说明项目产生的污染及对环境造成的影响，应进行专项评价。根据建设项目的特点和当地环境特征，应选下列1-2项进行专项评价。</w:t>
            </w:r>
          </w:p>
          <w:p>
            <w:pPr>
              <w:spacing w:line="360" w:lineRule="auto"/>
              <w:ind w:firstLine="480" w:firstLineChars="200"/>
              <w:rPr>
                <w:sz w:val="24"/>
              </w:rPr>
            </w:pPr>
            <w:r>
              <w:rPr>
                <w:sz w:val="24"/>
              </w:rPr>
              <w:t>1、大气环境影响专项评价</w:t>
            </w:r>
          </w:p>
          <w:p>
            <w:pPr>
              <w:spacing w:line="360" w:lineRule="auto"/>
              <w:ind w:firstLine="480" w:firstLineChars="200"/>
              <w:rPr>
                <w:sz w:val="24"/>
              </w:rPr>
            </w:pPr>
            <w:r>
              <w:rPr>
                <w:sz w:val="24"/>
              </w:rPr>
              <w:t>2、水环境影响专项评价（包括地表水和地下水）</w:t>
            </w:r>
          </w:p>
          <w:p>
            <w:pPr>
              <w:spacing w:line="360" w:lineRule="auto"/>
              <w:ind w:firstLine="480" w:firstLineChars="200"/>
              <w:rPr>
                <w:sz w:val="24"/>
              </w:rPr>
            </w:pPr>
            <w:r>
              <w:rPr>
                <w:sz w:val="24"/>
              </w:rPr>
              <w:t>3、生态影响专项评价</w:t>
            </w:r>
          </w:p>
          <w:p>
            <w:pPr>
              <w:spacing w:line="360" w:lineRule="auto"/>
              <w:ind w:firstLine="480" w:firstLineChars="200"/>
              <w:rPr>
                <w:sz w:val="24"/>
              </w:rPr>
            </w:pPr>
            <w:r>
              <w:rPr>
                <w:sz w:val="24"/>
              </w:rPr>
              <w:t>4、声影响专项评价</w:t>
            </w:r>
          </w:p>
          <w:p>
            <w:pPr>
              <w:spacing w:line="360" w:lineRule="auto"/>
              <w:ind w:firstLine="480" w:firstLineChars="200"/>
              <w:rPr>
                <w:sz w:val="24"/>
              </w:rPr>
            </w:pPr>
            <w:r>
              <w:rPr>
                <w:sz w:val="24"/>
              </w:rPr>
              <w:t>5、土壤影响专项评价</w:t>
            </w:r>
          </w:p>
          <w:p>
            <w:pPr>
              <w:spacing w:line="360" w:lineRule="auto"/>
              <w:ind w:firstLine="480" w:firstLineChars="200"/>
              <w:rPr>
                <w:sz w:val="24"/>
              </w:rPr>
            </w:pPr>
            <w:r>
              <w:rPr>
                <w:sz w:val="24"/>
              </w:rPr>
              <w:t>6、固体废弃物影响专项评价</w:t>
            </w:r>
          </w:p>
          <w:p>
            <w:pPr>
              <w:spacing w:line="360" w:lineRule="auto"/>
              <w:rPr>
                <w:sz w:val="24"/>
              </w:rPr>
            </w:pPr>
            <w:r>
              <w:rPr>
                <w:sz w:val="24"/>
              </w:rPr>
              <w:t>以上专项评价未包括的可另列专项，专项评价按照《环境影响评价技术导则》中的要求进行</w:t>
            </w:r>
            <w:r>
              <w:rPr>
                <w:rFonts w:hint="eastAsia"/>
                <w:sz w:val="24"/>
              </w:rPr>
              <w:t>。</w:t>
            </w:r>
          </w:p>
          <w:p>
            <w:pPr>
              <w:spacing w:line="360" w:lineRule="auto"/>
              <w:rPr>
                <w:sz w:val="24"/>
              </w:rPr>
            </w:pPr>
          </w:p>
          <w:p>
            <w:pPr>
              <w:spacing w:line="360" w:lineRule="auto"/>
              <w:rPr>
                <w:sz w:val="24"/>
              </w:rPr>
            </w:pPr>
          </w:p>
        </w:tc>
      </w:tr>
    </w:tbl>
    <w:p>
      <w:pPr>
        <w:spacing w:line="360" w:lineRule="auto"/>
      </w:pPr>
    </w:p>
    <w:sectPr>
      <w:pgSz w:w="11906" w:h="16838"/>
      <w:pgMar w:top="141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G Times (WN)">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Wingdings 2">
    <w:panose1 w:val="05020102010507070707"/>
    <w:charset w:val="02"/>
    <w:family w:val="decorative"/>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64B947"/>
    <w:multiLevelType w:val="singleLevel"/>
    <w:tmpl w:val="E264B947"/>
    <w:lvl w:ilvl="0" w:tentative="0">
      <w:start w:val="5"/>
      <w:numFmt w:val="decimal"/>
      <w:suff w:val="nothing"/>
      <w:lvlText w:val="（%1）"/>
      <w:lvlJc w:val="left"/>
    </w:lvl>
  </w:abstractNum>
  <w:abstractNum w:abstractNumId="1">
    <w:nsid w:val="29944FC0"/>
    <w:multiLevelType w:val="multilevel"/>
    <w:tmpl w:val="29944FC0"/>
    <w:lvl w:ilvl="0" w:tentative="0">
      <w:start w:val="1"/>
      <w:numFmt w:val="none"/>
      <w:lvlText w:val="一、"/>
      <w:lvlJc w:val="left"/>
      <w:pPr>
        <w:ind w:left="984" w:hanging="510"/>
      </w:pPr>
      <w:rPr>
        <w:rFonts w:hint="default"/>
      </w:rPr>
    </w:lvl>
    <w:lvl w:ilvl="1" w:tentative="0">
      <w:start w:val="1"/>
      <w:numFmt w:val="lowerLetter"/>
      <w:lvlText w:val="%2)"/>
      <w:lvlJc w:val="left"/>
      <w:pPr>
        <w:ind w:left="1314" w:hanging="420"/>
      </w:pPr>
    </w:lvl>
    <w:lvl w:ilvl="2" w:tentative="0">
      <w:start w:val="1"/>
      <w:numFmt w:val="lowerRoman"/>
      <w:lvlText w:val="%3."/>
      <w:lvlJc w:val="right"/>
      <w:pPr>
        <w:ind w:left="1734" w:hanging="420"/>
      </w:pPr>
    </w:lvl>
    <w:lvl w:ilvl="3" w:tentative="0">
      <w:start w:val="1"/>
      <w:numFmt w:val="decimal"/>
      <w:lvlText w:val="%4."/>
      <w:lvlJc w:val="left"/>
      <w:pPr>
        <w:ind w:left="2154" w:hanging="420"/>
      </w:pPr>
    </w:lvl>
    <w:lvl w:ilvl="4" w:tentative="0">
      <w:start w:val="1"/>
      <w:numFmt w:val="lowerLetter"/>
      <w:lvlText w:val="%5)"/>
      <w:lvlJc w:val="left"/>
      <w:pPr>
        <w:ind w:left="2574" w:hanging="420"/>
      </w:pPr>
    </w:lvl>
    <w:lvl w:ilvl="5" w:tentative="0">
      <w:start w:val="1"/>
      <w:numFmt w:val="lowerRoman"/>
      <w:lvlText w:val="%6."/>
      <w:lvlJc w:val="right"/>
      <w:pPr>
        <w:ind w:left="2994" w:hanging="420"/>
      </w:pPr>
    </w:lvl>
    <w:lvl w:ilvl="6" w:tentative="0">
      <w:start w:val="1"/>
      <w:numFmt w:val="decimal"/>
      <w:lvlText w:val="%7."/>
      <w:lvlJc w:val="left"/>
      <w:pPr>
        <w:ind w:left="3414" w:hanging="420"/>
      </w:pPr>
    </w:lvl>
    <w:lvl w:ilvl="7" w:tentative="0">
      <w:start w:val="1"/>
      <w:numFmt w:val="lowerLetter"/>
      <w:lvlText w:val="%8)"/>
      <w:lvlJc w:val="left"/>
      <w:pPr>
        <w:ind w:left="3834" w:hanging="420"/>
      </w:pPr>
    </w:lvl>
    <w:lvl w:ilvl="8" w:tentative="0">
      <w:start w:val="1"/>
      <w:numFmt w:val="lowerRoman"/>
      <w:lvlText w:val="%9."/>
      <w:lvlJc w:val="right"/>
      <w:pPr>
        <w:ind w:left="4254" w:hanging="420"/>
      </w:pPr>
    </w:lvl>
  </w:abstractNum>
  <w:abstractNum w:abstractNumId="2">
    <w:nsid w:val="30369376"/>
    <w:multiLevelType w:val="singleLevel"/>
    <w:tmpl w:val="30369376"/>
    <w:lvl w:ilvl="0" w:tentative="0">
      <w:start w:val="6"/>
      <w:numFmt w:val="decimal"/>
      <w:suff w:val="nothing"/>
      <w:lvlText w:val="%1、"/>
      <w:lvlJc w:val="left"/>
    </w:lvl>
  </w:abstractNum>
  <w:abstractNum w:abstractNumId="3">
    <w:nsid w:val="57A84E67"/>
    <w:multiLevelType w:val="singleLevel"/>
    <w:tmpl w:val="57A84E67"/>
    <w:lvl w:ilvl="0" w:tentative="0">
      <w:start w:val="1"/>
      <w:numFmt w:val="chineseCounting"/>
      <w:suff w:val="nothing"/>
      <w:lvlText w:val="（%1）"/>
      <w:lvlJc w:val="left"/>
    </w:lvl>
  </w:abstractNum>
  <w:abstractNum w:abstractNumId="4">
    <w:nsid w:val="59E87B99"/>
    <w:multiLevelType w:val="singleLevel"/>
    <w:tmpl w:val="59E87B99"/>
    <w:lvl w:ilvl="0" w:tentative="0">
      <w:start w:val="2"/>
      <w:numFmt w:val="chineseCounting"/>
      <w:suff w:val="nothing"/>
      <w:lvlText w:val="%1、"/>
      <w:lvlJc w:val="left"/>
    </w:lvl>
  </w:abstractNum>
  <w:abstractNum w:abstractNumId="5">
    <w:nsid w:val="59FEDDDC"/>
    <w:multiLevelType w:val="singleLevel"/>
    <w:tmpl w:val="59FEDDDC"/>
    <w:lvl w:ilvl="0" w:tentative="0">
      <w:start w:val="2"/>
      <w:numFmt w:val="decimal"/>
      <w:suff w:val="nothing"/>
      <w:lvlText w:val="%1、"/>
      <w:lvlJc w:val="left"/>
    </w:lvl>
  </w:abstractNum>
  <w:abstractNum w:abstractNumId="6">
    <w:nsid w:val="5A0C4356"/>
    <w:multiLevelType w:val="singleLevel"/>
    <w:tmpl w:val="5A0C4356"/>
    <w:lvl w:ilvl="0" w:tentative="0">
      <w:start w:val="2"/>
      <w:numFmt w:val="chineseCounting"/>
      <w:suff w:val="nothing"/>
      <w:lvlText w:val="%1、"/>
      <w:lvlJc w:val="left"/>
    </w:lvl>
  </w:abstractNum>
  <w:abstractNum w:abstractNumId="7">
    <w:nsid w:val="6F4720AA"/>
    <w:multiLevelType w:val="singleLevel"/>
    <w:tmpl w:val="6F4720AA"/>
    <w:lvl w:ilvl="0" w:tentative="0">
      <w:start w:val="2"/>
      <w:numFmt w:val="upperLetter"/>
      <w:suff w:val="space"/>
      <w:lvlText w:val="%1."/>
      <w:lvlJc w:val="left"/>
    </w:lvl>
  </w:abstractNum>
  <w:abstractNum w:abstractNumId="8">
    <w:nsid w:val="6F515867"/>
    <w:multiLevelType w:val="singleLevel"/>
    <w:tmpl w:val="6F515867"/>
    <w:lvl w:ilvl="0" w:tentative="0">
      <w:start w:val="3"/>
      <w:numFmt w:val="decimal"/>
      <w:suff w:val="nothing"/>
      <w:lvlText w:val="%1、"/>
      <w:lvlJc w:val="left"/>
    </w:lvl>
  </w:abstractNum>
  <w:num w:numId="1">
    <w:abstractNumId w:val="4"/>
  </w:num>
  <w:num w:numId="2">
    <w:abstractNumId w:val="3"/>
  </w:num>
  <w:num w:numId="3">
    <w:abstractNumId w:val="8"/>
  </w:num>
  <w:num w:numId="4">
    <w:abstractNumId w:val="5"/>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8002A"/>
    <w:rsid w:val="00001C3E"/>
    <w:rsid w:val="00026329"/>
    <w:rsid w:val="00044F5C"/>
    <w:rsid w:val="000B0D42"/>
    <w:rsid w:val="00115BD8"/>
    <w:rsid w:val="00150C55"/>
    <w:rsid w:val="00253DF2"/>
    <w:rsid w:val="002D1A50"/>
    <w:rsid w:val="002E25F3"/>
    <w:rsid w:val="002F6CBD"/>
    <w:rsid w:val="00440C4C"/>
    <w:rsid w:val="00487AF9"/>
    <w:rsid w:val="00496655"/>
    <w:rsid w:val="0053769E"/>
    <w:rsid w:val="00556570"/>
    <w:rsid w:val="005672B8"/>
    <w:rsid w:val="00575811"/>
    <w:rsid w:val="005D577E"/>
    <w:rsid w:val="00612C05"/>
    <w:rsid w:val="00676865"/>
    <w:rsid w:val="00694E3A"/>
    <w:rsid w:val="006D530C"/>
    <w:rsid w:val="006E5288"/>
    <w:rsid w:val="006F31CC"/>
    <w:rsid w:val="007B16CD"/>
    <w:rsid w:val="007E7493"/>
    <w:rsid w:val="007F48A1"/>
    <w:rsid w:val="00807ED2"/>
    <w:rsid w:val="008407DD"/>
    <w:rsid w:val="00873EB2"/>
    <w:rsid w:val="008A56C8"/>
    <w:rsid w:val="009979D0"/>
    <w:rsid w:val="00A00FB6"/>
    <w:rsid w:val="00A27EE7"/>
    <w:rsid w:val="00A44CF4"/>
    <w:rsid w:val="00A52DB7"/>
    <w:rsid w:val="00B4563B"/>
    <w:rsid w:val="00B605A2"/>
    <w:rsid w:val="00D05365"/>
    <w:rsid w:val="00D863F5"/>
    <w:rsid w:val="00E41207"/>
    <w:rsid w:val="00E52017"/>
    <w:rsid w:val="00E84364"/>
    <w:rsid w:val="00E84D12"/>
    <w:rsid w:val="00F42F6A"/>
    <w:rsid w:val="00FA375C"/>
    <w:rsid w:val="00FC2ED8"/>
    <w:rsid w:val="00FD5CFC"/>
    <w:rsid w:val="036519FE"/>
    <w:rsid w:val="04E352D9"/>
    <w:rsid w:val="05813224"/>
    <w:rsid w:val="05D13F42"/>
    <w:rsid w:val="078318A9"/>
    <w:rsid w:val="0838119E"/>
    <w:rsid w:val="087F6ADA"/>
    <w:rsid w:val="09E65D3D"/>
    <w:rsid w:val="0B425D1A"/>
    <w:rsid w:val="0B7F5451"/>
    <w:rsid w:val="0B8A1081"/>
    <w:rsid w:val="0C117557"/>
    <w:rsid w:val="0C177650"/>
    <w:rsid w:val="0D310A56"/>
    <w:rsid w:val="0D4835E4"/>
    <w:rsid w:val="0D503F24"/>
    <w:rsid w:val="0E5C7963"/>
    <w:rsid w:val="0E7715CA"/>
    <w:rsid w:val="0F7E2661"/>
    <w:rsid w:val="10623972"/>
    <w:rsid w:val="110502EC"/>
    <w:rsid w:val="112202AB"/>
    <w:rsid w:val="11896A5B"/>
    <w:rsid w:val="11D76B8D"/>
    <w:rsid w:val="11DA4AD5"/>
    <w:rsid w:val="13C608F6"/>
    <w:rsid w:val="13D01FEA"/>
    <w:rsid w:val="15192EE6"/>
    <w:rsid w:val="15C36315"/>
    <w:rsid w:val="16575603"/>
    <w:rsid w:val="18B8002A"/>
    <w:rsid w:val="19F20B62"/>
    <w:rsid w:val="1A6F059B"/>
    <w:rsid w:val="1B665633"/>
    <w:rsid w:val="1CD8329F"/>
    <w:rsid w:val="1CE52336"/>
    <w:rsid w:val="1F8A5807"/>
    <w:rsid w:val="2124504B"/>
    <w:rsid w:val="21714704"/>
    <w:rsid w:val="223C1749"/>
    <w:rsid w:val="223F6C72"/>
    <w:rsid w:val="22A01CEC"/>
    <w:rsid w:val="23340B34"/>
    <w:rsid w:val="25803B3C"/>
    <w:rsid w:val="259A141F"/>
    <w:rsid w:val="27393F5A"/>
    <w:rsid w:val="27A6693F"/>
    <w:rsid w:val="28065FCE"/>
    <w:rsid w:val="28D85890"/>
    <w:rsid w:val="29E70117"/>
    <w:rsid w:val="2B793A4B"/>
    <w:rsid w:val="2BEC777F"/>
    <w:rsid w:val="2CC17CB3"/>
    <w:rsid w:val="2FE9145B"/>
    <w:rsid w:val="30D56B0E"/>
    <w:rsid w:val="312A1EDF"/>
    <w:rsid w:val="31474BE0"/>
    <w:rsid w:val="322D5CE7"/>
    <w:rsid w:val="324A4FDA"/>
    <w:rsid w:val="3270321B"/>
    <w:rsid w:val="33835F87"/>
    <w:rsid w:val="345A2CC7"/>
    <w:rsid w:val="34675CB6"/>
    <w:rsid w:val="36811890"/>
    <w:rsid w:val="37054588"/>
    <w:rsid w:val="37383DA9"/>
    <w:rsid w:val="37616796"/>
    <w:rsid w:val="38A60798"/>
    <w:rsid w:val="38C7393E"/>
    <w:rsid w:val="392E486A"/>
    <w:rsid w:val="39AA12B9"/>
    <w:rsid w:val="3A0F2333"/>
    <w:rsid w:val="3AA67AA2"/>
    <w:rsid w:val="3D7D5DBB"/>
    <w:rsid w:val="3DE63766"/>
    <w:rsid w:val="3E707654"/>
    <w:rsid w:val="3E7C4DDE"/>
    <w:rsid w:val="402F7725"/>
    <w:rsid w:val="404059CB"/>
    <w:rsid w:val="4092486C"/>
    <w:rsid w:val="41373D21"/>
    <w:rsid w:val="416752E5"/>
    <w:rsid w:val="424029C8"/>
    <w:rsid w:val="42DC3B92"/>
    <w:rsid w:val="430858AF"/>
    <w:rsid w:val="430E2F2D"/>
    <w:rsid w:val="432D510E"/>
    <w:rsid w:val="439D03F7"/>
    <w:rsid w:val="43D671E5"/>
    <w:rsid w:val="44C00A2F"/>
    <w:rsid w:val="4694561D"/>
    <w:rsid w:val="47541499"/>
    <w:rsid w:val="47CB1396"/>
    <w:rsid w:val="48B22DE6"/>
    <w:rsid w:val="4A2A11F1"/>
    <w:rsid w:val="4C6F2904"/>
    <w:rsid w:val="4C7367BE"/>
    <w:rsid w:val="4D851398"/>
    <w:rsid w:val="4E7C4F86"/>
    <w:rsid w:val="4E7E5DA0"/>
    <w:rsid w:val="4ED32EE8"/>
    <w:rsid w:val="4FA13D82"/>
    <w:rsid w:val="500D2FE5"/>
    <w:rsid w:val="50C34F92"/>
    <w:rsid w:val="5291605B"/>
    <w:rsid w:val="53C37D27"/>
    <w:rsid w:val="53D66373"/>
    <w:rsid w:val="553E7327"/>
    <w:rsid w:val="554835CE"/>
    <w:rsid w:val="5594334F"/>
    <w:rsid w:val="56C606FD"/>
    <w:rsid w:val="57E3318F"/>
    <w:rsid w:val="59AE43FA"/>
    <w:rsid w:val="59BF76BB"/>
    <w:rsid w:val="5A2526C5"/>
    <w:rsid w:val="5AE339AB"/>
    <w:rsid w:val="5B15360D"/>
    <w:rsid w:val="5C675D98"/>
    <w:rsid w:val="5DEF1429"/>
    <w:rsid w:val="5E1F1C36"/>
    <w:rsid w:val="5FB1045D"/>
    <w:rsid w:val="621B7F66"/>
    <w:rsid w:val="625F783C"/>
    <w:rsid w:val="63697BAA"/>
    <w:rsid w:val="63D26BDE"/>
    <w:rsid w:val="647757B0"/>
    <w:rsid w:val="65D261A8"/>
    <w:rsid w:val="666F4B7F"/>
    <w:rsid w:val="66A05427"/>
    <w:rsid w:val="679775E5"/>
    <w:rsid w:val="699C7D1C"/>
    <w:rsid w:val="6AAA3188"/>
    <w:rsid w:val="6ADB1239"/>
    <w:rsid w:val="6BBC7989"/>
    <w:rsid w:val="6C2E4FC6"/>
    <w:rsid w:val="6DBA7B36"/>
    <w:rsid w:val="6DDD2ED1"/>
    <w:rsid w:val="6E99476E"/>
    <w:rsid w:val="6F3E315A"/>
    <w:rsid w:val="710468E5"/>
    <w:rsid w:val="7150169C"/>
    <w:rsid w:val="722C20A8"/>
    <w:rsid w:val="72CB4D27"/>
    <w:rsid w:val="738320B2"/>
    <w:rsid w:val="738C64BE"/>
    <w:rsid w:val="74315DCA"/>
    <w:rsid w:val="74B8026E"/>
    <w:rsid w:val="75CA3DEF"/>
    <w:rsid w:val="761C5B17"/>
    <w:rsid w:val="79243754"/>
    <w:rsid w:val="79EA0ACC"/>
    <w:rsid w:val="7A064021"/>
    <w:rsid w:val="7A2C433F"/>
    <w:rsid w:val="7ACB58AA"/>
    <w:rsid w:val="7B822691"/>
    <w:rsid w:val="7BB469E7"/>
    <w:rsid w:val="7BD8624E"/>
    <w:rsid w:val="7C6433FD"/>
    <w:rsid w:val="7C8F0453"/>
    <w:rsid w:val="7DE070F2"/>
    <w:rsid w:val="7F1724DC"/>
    <w:rsid w:val="7FDC3642"/>
    <w:rsid w:val="7FDE56C4"/>
    <w:rsid w:val="7FF55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4">
    <w:name w:val="Normal Indent"/>
    <w:basedOn w:val="1"/>
    <w:link w:val="57"/>
    <w:qFormat/>
    <w:uiPriority w:val="0"/>
    <w:pPr>
      <w:ind w:firstLine="420"/>
    </w:pPr>
    <w:rPr>
      <w:szCs w:val="20"/>
    </w:rPr>
  </w:style>
  <w:style w:type="paragraph" w:styleId="5">
    <w:name w:val="annotation text"/>
    <w:basedOn w:val="1"/>
    <w:link w:val="58"/>
    <w:qFormat/>
    <w:uiPriority w:val="0"/>
    <w:pPr>
      <w:jc w:val="left"/>
    </w:pPr>
  </w:style>
  <w:style w:type="paragraph" w:styleId="6">
    <w:name w:val="Body Text"/>
    <w:basedOn w:val="1"/>
    <w:next w:val="1"/>
    <w:qFormat/>
    <w:uiPriority w:val="0"/>
    <w:pPr>
      <w:spacing w:after="120"/>
    </w:pPr>
  </w:style>
  <w:style w:type="paragraph" w:styleId="7">
    <w:name w:val="Body Text Indent"/>
    <w:basedOn w:val="1"/>
    <w:qFormat/>
    <w:uiPriority w:val="0"/>
    <w:pPr>
      <w:spacing w:after="120"/>
      <w:ind w:left="420" w:leftChars="200"/>
    </w:pPr>
  </w:style>
  <w:style w:type="paragraph" w:styleId="8">
    <w:name w:val="List 2"/>
    <w:basedOn w:val="1"/>
    <w:unhideWhenUsed/>
    <w:qFormat/>
    <w:uiPriority w:val="99"/>
    <w:pPr>
      <w:ind w:left="100" w:leftChars="200" w:hanging="200" w:hangingChars="200"/>
    </w:pPr>
    <w:rPr>
      <w:rFonts w:ascii="仿宋_GB2312" w:eastAsia="仿宋_GB2312"/>
      <w:spacing w:val="20"/>
      <w:sz w:val="32"/>
    </w:rPr>
  </w:style>
  <w:style w:type="paragraph" w:styleId="9">
    <w:name w:val="Plain Text"/>
    <w:basedOn w:val="1"/>
    <w:qFormat/>
    <w:uiPriority w:val="0"/>
    <w:rPr>
      <w:rFonts w:ascii="宋体" w:hAnsi="Courier New" w:cstheme="minorBidi"/>
      <w:szCs w:val="22"/>
    </w:rPr>
  </w:style>
  <w:style w:type="paragraph" w:styleId="10">
    <w:name w:val="Balloon Text"/>
    <w:basedOn w:val="1"/>
    <w:link w:val="55"/>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snapToGrid w:val="0"/>
      <w:jc w:val="center"/>
    </w:pPr>
    <w:rPr>
      <w:sz w:val="18"/>
      <w:szCs w:val="18"/>
    </w:rPr>
  </w:style>
  <w:style w:type="paragraph" w:styleId="13">
    <w:name w:val="Body Text Indent 3"/>
    <w:basedOn w:val="1"/>
    <w:qFormat/>
    <w:uiPriority w:val="0"/>
    <w:pPr>
      <w:spacing w:after="120"/>
      <w:ind w:left="420" w:leftChars="200"/>
    </w:pPr>
    <w:rPr>
      <w:sz w:val="16"/>
      <w:szCs w:val="16"/>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annotation subject"/>
    <w:basedOn w:val="5"/>
    <w:next w:val="5"/>
    <w:link w:val="59"/>
    <w:qFormat/>
    <w:uiPriority w:val="0"/>
    <w:rPr>
      <w:b/>
      <w:bCs/>
    </w:rPr>
  </w:style>
  <w:style w:type="paragraph" w:styleId="17">
    <w:name w:val="Body Text First Indent"/>
    <w:basedOn w:val="6"/>
    <w:qFormat/>
    <w:uiPriority w:val="0"/>
    <w:pPr>
      <w:ind w:firstLine="420" w:firstLineChars="100"/>
    </w:pPr>
    <w:rPr>
      <w:rFonts w:eastAsia="黑体" w:asciiTheme="minorHAnsi" w:hAnsiTheme="minorHAnsi" w:cstheme="minorBidi"/>
      <w:szCs w:val="22"/>
    </w:rPr>
  </w:style>
  <w:style w:type="paragraph" w:styleId="18">
    <w:name w:val="Body Text First Indent 2"/>
    <w:basedOn w:val="7"/>
    <w:next w:val="1"/>
    <w:qFormat/>
    <w:uiPriority w:val="99"/>
    <w:pPr>
      <w:ind w:firstLine="420" w:firstLineChars="200"/>
    </w:pPr>
    <w:rPr>
      <w:rFonts w:asciiTheme="minorHAnsi" w:hAnsiTheme="minorHAnsi" w:cstheme="minorBidi"/>
      <w:b/>
      <w:szCs w:val="22"/>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FollowedHyperlink"/>
    <w:basedOn w:val="21"/>
    <w:qFormat/>
    <w:uiPriority w:val="0"/>
    <w:rPr>
      <w:color w:val="666666"/>
      <w:u w:val="none"/>
    </w:rPr>
  </w:style>
  <w:style w:type="character" w:styleId="24">
    <w:name w:val="Hyperlink"/>
    <w:basedOn w:val="21"/>
    <w:qFormat/>
    <w:uiPriority w:val="0"/>
    <w:rPr>
      <w:color w:val="666666"/>
      <w:u w:val="none"/>
    </w:rPr>
  </w:style>
  <w:style w:type="character" w:styleId="25">
    <w:name w:val="annotation reference"/>
    <w:basedOn w:val="21"/>
    <w:qFormat/>
    <w:uiPriority w:val="0"/>
    <w:rPr>
      <w:sz w:val="21"/>
      <w:szCs w:val="21"/>
    </w:rPr>
  </w:style>
  <w:style w:type="paragraph" w:customStyle="1" w:styleId="26">
    <w:name w:val="正文文本缩进2"/>
    <w:basedOn w:val="1"/>
    <w:qFormat/>
    <w:uiPriority w:val="0"/>
    <w:pPr>
      <w:autoSpaceDE w:val="0"/>
      <w:autoSpaceDN w:val="0"/>
      <w:adjustRightInd w:val="0"/>
      <w:spacing w:line="360" w:lineRule="auto"/>
      <w:ind w:firstLine="480" w:firstLineChars="200"/>
    </w:pPr>
    <w:rPr>
      <w:rFonts w:ascii="宋体" w:hAnsi="宋体"/>
      <w:kern w:val="0"/>
      <w:sz w:val="24"/>
      <w:szCs w:val="21"/>
    </w:rPr>
  </w:style>
  <w:style w:type="paragraph" w:customStyle="1" w:styleId="27">
    <w:name w:val="表文"/>
    <w:basedOn w:val="1"/>
    <w:qFormat/>
    <w:uiPriority w:val="0"/>
    <w:pPr>
      <w:overflowPunct w:val="0"/>
      <w:autoSpaceDE w:val="0"/>
      <w:autoSpaceDN w:val="0"/>
      <w:adjustRightInd w:val="0"/>
      <w:spacing w:before="62" w:after="62"/>
      <w:jc w:val="center"/>
      <w:textAlignment w:val="baseline"/>
    </w:pPr>
    <w:rPr>
      <w:kern w:val="0"/>
      <w:szCs w:val="21"/>
    </w:rPr>
  </w:style>
  <w:style w:type="character" w:customStyle="1" w:styleId="28">
    <w:name w:val="content1"/>
    <w:qFormat/>
    <w:uiPriority w:val="0"/>
    <w:rPr>
      <w:color w:val="000000"/>
      <w:sz w:val="20"/>
      <w:szCs w:val="20"/>
    </w:rPr>
  </w:style>
  <w:style w:type="paragraph" w:customStyle="1" w:styleId="29">
    <w:name w:val="表格1"/>
    <w:basedOn w:val="1"/>
    <w:qFormat/>
    <w:uiPriority w:val="0"/>
    <w:pPr>
      <w:adjustRightInd w:val="0"/>
      <w:spacing w:line="360" w:lineRule="atLeast"/>
      <w:jc w:val="center"/>
      <w:textAlignment w:val="baseline"/>
    </w:pPr>
    <w:rPr>
      <w:rFonts w:ascii="CG Times (WN)" w:hAnsi="宋体"/>
      <w:kern w:val="0"/>
      <w:sz w:val="24"/>
      <w:szCs w:val="20"/>
    </w:rPr>
  </w:style>
  <w:style w:type="character" w:customStyle="1" w:styleId="30">
    <w:name w:val="11p1"/>
    <w:qFormat/>
    <w:uiPriority w:val="0"/>
    <w:rPr>
      <w:sz w:val="23"/>
      <w:szCs w:val="23"/>
    </w:rPr>
  </w:style>
  <w:style w:type="paragraph" w:customStyle="1" w:styleId="31">
    <w:name w:val="正文4号"/>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4"/>
      <w:sz w:val="24"/>
      <w:szCs w:val="24"/>
      <w:lang w:val="en-US" w:eastAsia="zh-CN" w:bidi="ar-SA"/>
    </w:rPr>
  </w:style>
  <w:style w:type="paragraph" w:customStyle="1" w:styleId="32">
    <w:name w:val="列出段落1"/>
    <w:basedOn w:val="1"/>
    <w:qFormat/>
    <w:uiPriority w:val="34"/>
    <w:pPr>
      <w:ind w:firstLine="420" w:firstLineChars="200"/>
    </w:pPr>
  </w:style>
  <w:style w:type="paragraph" w:styleId="33">
    <w:name w:val="List Paragraph"/>
    <w:basedOn w:val="1"/>
    <w:qFormat/>
    <w:uiPriority w:val="34"/>
    <w:pPr>
      <w:ind w:firstLine="420" w:firstLineChars="200"/>
    </w:pPr>
  </w:style>
  <w:style w:type="paragraph" w:customStyle="1" w:styleId="34">
    <w:name w:val="表格居中"/>
    <w:basedOn w:val="1"/>
    <w:qFormat/>
    <w:uiPriority w:val="0"/>
    <w:pPr>
      <w:jc w:val="center"/>
    </w:pPr>
    <w:rPr>
      <w:rFonts w:ascii="宋体" w:hAnsi="宋体"/>
      <w:snapToGrid w:val="0"/>
      <w:spacing w:val="-4"/>
      <w:w w:val="90"/>
      <w:kern w:val="0"/>
      <w:sz w:val="24"/>
      <w:szCs w:val="20"/>
    </w:rPr>
  </w:style>
  <w:style w:type="paragraph" w:customStyle="1" w:styleId="35">
    <w:name w:val="表文字"/>
    <w:basedOn w:val="1"/>
    <w:qFormat/>
    <w:uiPriority w:val="0"/>
    <w:pPr>
      <w:overflowPunct w:val="0"/>
      <w:autoSpaceDE w:val="0"/>
      <w:autoSpaceDN w:val="0"/>
      <w:adjustRightInd w:val="0"/>
      <w:spacing w:line="240" w:lineRule="atLeast"/>
      <w:textAlignment w:val="baseline"/>
    </w:pPr>
    <w:rPr>
      <w:kern w:val="0"/>
      <w:sz w:val="24"/>
      <w:szCs w:val="20"/>
    </w:rPr>
  </w:style>
  <w:style w:type="paragraph" w:styleId="36">
    <w:name w:val="No Spacing"/>
    <w:basedOn w:val="1"/>
    <w:next w:val="37"/>
    <w:qFormat/>
    <w:uiPriority w:val="1"/>
    <w:pPr>
      <w:widowControl/>
      <w:jc w:val="center"/>
    </w:pPr>
    <w:rPr>
      <w:kern w:val="0"/>
      <w:szCs w:val="32"/>
    </w:rPr>
  </w:style>
  <w:style w:type="paragraph" w:customStyle="1" w:styleId="37">
    <w:name w:val="0正文"/>
    <w:basedOn w:val="7"/>
    <w:qFormat/>
    <w:uiPriority w:val="0"/>
    <w:pPr>
      <w:spacing w:after="0" w:line="300" w:lineRule="auto"/>
      <w:ind w:left="0" w:leftChars="0" w:firstLine="480" w:firstLineChars="200"/>
    </w:pPr>
    <w:rPr>
      <w:rFonts w:cs="宋体"/>
      <w:kern w:val="0"/>
      <w:sz w:val="24"/>
      <w:szCs w:val="20"/>
    </w:rPr>
  </w:style>
  <w:style w:type="paragraph" w:customStyle="1" w:styleId="38">
    <w:name w:val="表"/>
    <w:basedOn w:val="1"/>
    <w:qFormat/>
    <w:uiPriority w:val="0"/>
    <w:pPr>
      <w:jc w:val="center"/>
    </w:pPr>
    <w:rPr>
      <w:rFonts w:cs="宋体"/>
      <w:szCs w:val="20"/>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14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表格标题"/>
    <w:basedOn w:val="6"/>
    <w:qFormat/>
    <w:uiPriority w:val="0"/>
    <w:pPr>
      <w:spacing w:after="0" w:line="360" w:lineRule="auto"/>
      <w:jc w:val="center"/>
    </w:pPr>
    <w:rPr>
      <w:rFonts w:ascii="宋体" w:hAnsi="宋体"/>
      <w:kern w:val="40"/>
      <w:szCs w:val="20"/>
    </w:rPr>
  </w:style>
  <w:style w:type="paragraph" w:customStyle="1" w:styleId="41">
    <w:name w:val="正文首行缩进 21"/>
    <w:basedOn w:val="1"/>
    <w:next w:val="1"/>
    <w:qFormat/>
    <w:uiPriority w:val="0"/>
    <w:pPr>
      <w:spacing w:after="120"/>
      <w:ind w:left="420" w:leftChars="200" w:firstLine="420" w:firstLineChars="200"/>
    </w:pPr>
  </w:style>
  <w:style w:type="paragraph" w:customStyle="1" w:styleId="42">
    <w:name w:val="普通(网站)1"/>
    <w:basedOn w:val="1"/>
    <w:qFormat/>
    <w:uiPriority w:val="0"/>
    <w:pPr>
      <w:widowControl/>
      <w:jc w:val="left"/>
    </w:pPr>
    <w:rPr>
      <w:rFonts w:ascii="宋体" w:hAnsi="宋体" w:cs="宋体"/>
      <w:kern w:val="0"/>
      <w:sz w:val="24"/>
    </w:rPr>
  </w:style>
  <w:style w:type="paragraph" w:customStyle="1" w:styleId="43">
    <w:name w:val="正文-ls"/>
    <w:basedOn w:val="1"/>
    <w:link w:val="56"/>
    <w:qFormat/>
    <w:uiPriority w:val="0"/>
    <w:pPr>
      <w:widowControl/>
      <w:spacing w:line="360" w:lineRule="auto"/>
      <w:ind w:firstLine="200" w:firstLineChars="200"/>
      <w:jc w:val="left"/>
    </w:pPr>
    <w:rPr>
      <w:rFonts w:ascii="宋体" w:hAnsi="宋体"/>
      <w:sz w:val="24"/>
    </w:rPr>
  </w:style>
  <w:style w:type="paragraph" w:customStyle="1" w:styleId="44">
    <w:name w:val="样式2"/>
    <w:basedOn w:val="45"/>
    <w:qFormat/>
    <w:uiPriority w:val="0"/>
    <w:pPr>
      <w:spacing w:line="300" w:lineRule="atLeast"/>
    </w:pPr>
    <w:rPr>
      <w:rFonts w:eastAsia="楷体_GB2312"/>
      <w:sz w:val="21"/>
    </w:rPr>
  </w:style>
  <w:style w:type="paragraph" w:customStyle="1" w:styleId="45">
    <w:name w:val="样式1"/>
    <w:basedOn w:val="12"/>
    <w:qFormat/>
    <w:uiPriority w:val="0"/>
    <w:pPr>
      <w:adjustRightInd w:val="0"/>
      <w:spacing w:line="320" w:lineRule="atLeast"/>
      <w:textAlignment w:val="baseline"/>
    </w:pPr>
    <w:rPr>
      <w:rFonts w:eastAsia="仿宋_GB2312"/>
      <w:kern w:val="28"/>
      <w:sz w:val="24"/>
    </w:rPr>
  </w:style>
  <w:style w:type="paragraph" w:customStyle="1" w:styleId="4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7">
    <w:name w:val="tel"/>
    <w:basedOn w:val="21"/>
    <w:qFormat/>
    <w:uiPriority w:val="0"/>
    <w:rPr>
      <w:color w:val="FFFFFF"/>
      <w:sz w:val="36"/>
      <w:szCs w:val="36"/>
    </w:rPr>
  </w:style>
  <w:style w:type="character" w:customStyle="1" w:styleId="48">
    <w:name w:val="rexian"/>
    <w:basedOn w:val="21"/>
    <w:qFormat/>
    <w:uiPriority w:val="0"/>
    <w:rPr>
      <w:color w:val="FFFFFF"/>
      <w:sz w:val="24"/>
      <w:szCs w:val="24"/>
    </w:rPr>
  </w:style>
  <w:style w:type="character" w:customStyle="1" w:styleId="49">
    <w:name w:val="lx"/>
    <w:basedOn w:val="21"/>
    <w:qFormat/>
    <w:uiPriority w:val="0"/>
    <w:rPr>
      <w:color w:val="FFFFFF"/>
      <w:sz w:val="21"/>
      <w:szCs w:val="21"/>
      <w:shd w:val="clear" w:color="auto" w:fill="FFFFFF"/>
    </w:rPr>
  </w:style>
  <w:style w:type="character" w:customStyle="1" w:styleId="50">
    <w:name w:val="last"/>
    <w:basedOn w:val="21"/>
    <w:qFormat/>
    <w:uiPriority w:val="0"/>
  </w:style>
  <w:style w:type="character" w:customStyle="1" w:styleId="51">
    <w:name w:val="current"/>
    <w:basedOn w:val="21"/>
    <w:qFormat/>
    <w:uiPriority w:val="0"/>
    <w:rPr>
      <w:shd w:val="clear" w:color="auto" w:fill="F4F4F4"/>
    </w:rPr>
  </w:style>
  <w:style w:type="character" w:customStyle="1" w:styleId="52">
    <w:name w:val="current1"/>
    <w:basedOn w:val="21"/>
    <w:qFormat/>
    <w:uiPriority w:val="0"/>
    <w:rPr>
      <w:b/>
      <w:bdr w:val="single" w:color="E9E9E9" w:sz="18" w:space="0"/>
      <w:shd w:val="clear" w:color="auto" w:fill="FFFFFF"/>
    </w:rPr>
  </w:style>
  <w:style w:type="character" w:customStyle="1" w:styleId="53">
    <w:name w:val="thisclass"/>
    <w:basedOn w:val="21"/>
    <w:qFormat/>
    <w:uiPriority w:val="0"/>
    <w:rPr>
      <w:color w:val="FFFFFF"/>
      <w:bdr w:val="single" w:color="DDDDDD" w:sz="6" w:space="0"/>
      <w:shd w:val="clear" w:color="auto" w:fill="FF4200"/>
    </w:rPr>
  </w:style>
  <w:style w:type="character" w:customStyle="1" w:styleId="54">
    <w:name w:val="disabled"/>
    <w:basedOn w:val="21"/>
    <w:qFormat/>
    <w:uiPriority w:val="0"/>
    <w:rPr>
      <w:bdr w:val="single" w:color="DDDDDD" w:sz="6" w:space="0"/>
    </w:rPr>
  </w:style>
  <w:style w:type="character" w:customStyle="1" w:styleId="55">
    <w:name w:val="批注框文本 字符"/>
    <w:basedOn w:val="21"/>
    <w:link w:val="10"/>
    <w:qFormat/>
    <w:uiPriority w:val="0"/>
    <w:rPr>
      <w:kern w:val="2"/>
      <w:sz w:val="18"/>
      <w:szCs w:val="18"/>
    </w:rPr>
  </w:style>
  <w:style w:type="character" w:customStyle="1" w:styleId="56">
    <w:name w:val="正文-ls Char"/>
    <w:link w:val="43"/>
    <w:qFormat/>
    <w:locked/>
    <w:uiPriority w:val="0"/>
    <w:rPr>
      <w:rFonts w:ascii="宋体" w:hAnsi="宋体"/>
      <w:kern w:val="2"/>
      <w:sz w:val="24"/>
      <w:szCs w:val="24"/>
    </w:rPr>
  </w:style>
  <w:style w:type="character" w:customStyle="1" w:styleId="57">
    <w:name w:val="正文缩进 字符"/>
    <w:link w:val="4"/>
    <w:qFormat/>
    <w:uiPriority w:val="0"/>
    <w:rPr>
      <w:kern w:val="2"/>
      <w:sz w:val="21"/>
    </w:rPr>
  </w:style>
  <w:style w:type="character" w:customStyle="1" w:styleId="58">
    <w:name w:val="批注文字 字符"/>
    <w:basedOn w:val="21"/>
    <w:link w:val="5"/>
    <w:qFormat/>
    <w:uiPriority w:val="0"/>
    <w:rPr>
      <w:kern w:val="2"/>
      <w:sz w:val="21"/>
      <w:szCs w:val="24"/>
    </w:rPr>
  </w:style>
  <w:style w:type="character" w:customStyle="1" w:styleId="59">
    <w:name w:val="批注主题 字符"/>
    <w:basedOn w:val="58"/>
    <w:link w:val="16"/>
    <w:qFormat/>
    <w:uiPriority w:val="0"/>
    <w:rPr>
      <w:b/>
      <w:bCs/>
      <w:kern w:val="2"/>
      <w:sz w:val="21"/>
      <w:szCs w:val="24"/>
    </w:rPr>
  </w:style>
  <w:style w:type="paragraph" w:customStyle="1" w:styleId="60">
    <w:name w:val="Default"/>
    <w:basedOn w:val="1"/>
    <w:qFormat/>
    <w:uiPriority w:val="0"/>
    <w:pPr>
      <w:autoSpaceDE w:val="0"/>
      <w:autoSpaceDN w:val="0"/>
      <w:adjustRightInd w:val="0"/>
      <w:jc w:val="left"/>
    </w:pPr>
    <w:rPr>
      <w:color w:val="000000"/>
      <w:kern w:val="0"/>
      <w:sz w:val="24"/>
    </w:rPr>
  </w:style>
  <w:style w:type="paragraph" w:customStyle="1" w:styleId="6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正文"/>
    <w:basedOn w:val="1"/>
    <w:qFormat/>
    <w:uiPriority w:val="0"/>
    <w:pPr>
      <w:adjustRightInd w:val="0"/>
      <w:snapToGrid w:val="0"/>
      <w:spacing w:line="360" w:lineRule="auto"/>
      <w:ind w:firstLine="480" w:firstLineChars="200"/>
    </w:pPr>
    <w:rPr>
      <w:sz w:val="24"/>
      <w:szCs w:val="21"/>
    </w:rPr>
  </w:style>
  <w:style w:type="paragraph" w:customStyle="1" w:styleId="63">
    <w:name w:val="正文缩进1"/>
    <w:basedOn w:val="1"/>
    <w:qFormat/>
    <w:uiPriority w:val="0"/>
  </w:style>
  <w:style w:type="paragraph" w:customStyle="1" w:styleId="64">
    <w:name w:val="正文文本 21"/>
    <w:basedOn w:val="1"/>
    <w:qFormat/>
    <w:uiPriority w:val="0"/>
    <w:pPr>
      <w:spacing w:line="360" w:lineRule="auto"/>
      <w:jc w:val="left"/>
    </w:pPr>
    <w:rPr>
      <w:sz w:val="24"/>
    </w:rPr>
  </w:style>
  <w:style w:type="paragraph" w:customStyle="1" w:styleId="65">
    <w:name w:val="钢--正文"/>
    <w:basedOn w:val="1"/>
    <w:qFormat/>
    <w:uiPriority w:val="0"/>
    <w:pPr>
      <w:spacing w:line="52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wmf"/><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4991</Words>
  <Characters>28450</Characters>
  <Lines>237</Lines>
  <Paragraphs>66</Paragraphs>
  <TotalTime>42</TotalTime>
  <ScaleCrop>false</ScaleCrop>
  <LinksUpToDate>false</LinksUpToDate>
  <CharactersWithSpaces>33375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2020-07-14T09:12:00Z</dcterms:created>
  <dc:creator>li</dc:creator>
  <cp:lastModifiedBy>王娜</cp:lastModifiedBy>
  <dcterms:modified xsi:type="dcterms:W3CDTF">2020-12-17T01:40:29Z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