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eastAsia="方正小标宋简体"/>
          <w:color w:val="auto"/>
          <w:sz w:val="44"/>
          <w:szCs w:val="44"/>
          <w:highlight w:val="none"/>
          <w:lang w:val="en-US" w:eastAsia="zh-CN"/>
        </w:rPr>
      </w:pPr>
      <w:r>
        <w:rPr>
          <w:rFonts w:hint="eastAsia" w:eastAsia="方正小标宋简体"/>
          <w:color w:val="auto"/>
          <w:sz w:val="44"/>
          <w:szCs w:val="44"/>
          <w:highlight w:val="none"/>
          <w:lang w:val="en-US" w:eastAsia="zh-CN"/>
        </w:rPr>
        <w:t>陕西</w:t>
      </w:r>
      <w:r>
        <w:rPr>
          <w:rFonts w:eastAsia="方正小标宋简体"/>
          <w:color w:val="auto"/>
          <w:sz w:val="44"/>
          <w:szCs w:val="44"/>
          <w:highlight w:val="none"/>
        </w:rPr>
        <w:t>石泉</w:t>
      </w:r>
      <w:r>
        <w:rPr>
          <w:rFonts w:hint="eastAsia" w:eastAsia="方正小标宋简体"/>
          <w:color w:val="auto"/>
          <w:sz w:val="44"/>
          <w:szCs w:val="44"/>
          <w:highlight w:val="none"/>
          <w:lang w:val="en-US" w:eastAsia="zh-CN"/>
        </w:rPr>
        <w:t>经济技术开发区</w:t>
      </w:r>
      <w:r>
        <w:rPr>
          <w:rFonts w:hint="eastAsia" w:eastAsia="方正小标宋简体"/>
          <w:color w:val="auto"/>
          <w:sz w:val="44"/>
          <w:szCs w:val="44"/>
          <w:highlight w:val="none"/>
          <w:lang w:eastAsia="zh-CN"/>
        </w:rPr>
        <w:t>入</w:t>
      </w:r>
      <w:r>
        <w:rPr>
          <w:rFonts w:hint="eastAsia" w:eastAsia="方正小标宋简体"/>
          <w:color w:val="auto"/>
          <w:sz w:val="44"/>
          <w:szCs w:val="44"/>
          <w:highlight w:val="none"/>
          <w:lang w:val="en-US" w:eastAsia="zh-CN"/>
        </w:rPr>
        <w:t>区</w:t>
      </w:r>
      <w:r>
        <w:rPr>
          <w:rFonts w:eastAsia="方正小标宋简体"/>
          <w:color w:val="auto"/>
          <w:sz w:val="44"/>
          <w:szCs w:val="44"/>
          <w:highlight w:val="none"/>
        </w:rPr>
        <w:t>企业管理办法</w:t>
      </w:r>
      <w:bookmarkStart w:id="0" w:name="_GoBack"/>
      <w:r>
        <w:rPr>
          <w:rFonts w:hint="eastAsia" w:eastAsia="方正小标宋简体"/>
          <w:color w:val="auto"/>
          <w:sz w:val="44"/>
          <w:szCs w:val="44"/>
          <w:highlight w:val="none"/>
          <w:lang w:eastAsia="zh-CN"/>
        </w:rPr>
        <w:t>（</w:t>
      </w:r>
      <w:r>
        <w:rPr>
          <w:rFonts w:hint="eastAsia" w:eastAsia="方正小标宋简体"/>
          <w:color w:val="auto"/>
          <w:sz w:val="44"/>
          <w:szCs w:val="44"/>
          <w:highlight w:val="none"/>
          <w:lang w:val="en-US" w:eastAsia="zh-CN"/>
        </w:rPr>
        <w:t>试行）</w:t>
      </w:r>
      <w:bookmarkEnd w:id="0"/>
    </w:p>
    <w:p>
      <w:pPr>
        <w:spacing w:line="480" w:lineRule="exact"/>
        <w:jc w:val="center"/>
        <w:rPr>
          <w:rFonts w:eastAsia="仿宋_GB2312"/>
          <w:b/>
          <w:color w:val="auto"/>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eastAsia="黑体"/>
          <w:color w:val="auto"/>
          <w:sz w:val="32"/>
          <w:szCs w:val="32"/>
          <w:highlight w:val="none"/>
        </w:rPr>
      </w:pPr>
      <w:r>
        <w:rPr>
          <w:rFonts w:hint="eastAsia" w:ascii="黑体" w:eastAsia="黑体"/>
          <w:color w:val="auto"/>
          <w:sz w:val="32"/>
          <w:szCs w:val="32"/>
          <w:highlight w:val="none"/>
        </w:rPr>
        <w:t>第一章  总  则</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color w:val="auto"/>
        </w:rPr>
      </w:pPr>
      <w:r>
        <w:rPr>
          <w:rFonts w:eastAsia="仿宋_GB2312"/>
          <w:b/>
          <w:color w:val="auto"/>
          <w:sz w:val="32"/>
          <w:szCs w:val="32"/>
          <w:highlight w:val="none"/>
        </w:rPr>
        <w:t>第一条</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加强</w:t>
      </w:r>
      <w:r>
        <w:rPr>
          <w:rFonts w:hint="eastAsia" w:ascii="仿宋_GB2312" w:hAnsi="仿宋_GB2312" w:eastAsia="仿宋_GB2312" w:cs="仿宋_GB2312"/>
          <w:color w:val="auto"/>
          <w:sz w:val="32"/>
          <w:szCs w:val="32"/>
        </w:rPr>
        <w:t>陕西石泉经济技术开发区</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以下简称“石泉经开区”</w:t>
      </w:r>
      <w:r>
        <w:rPr>
          <w:rFonts w:hint="eastAsia" w:eastAsia="仿宋_GB2312"/>
          <w:color w:val="auto"/>
          <w:sz w:val="32"/>
          <w:szCs w:val="32"/>
          <w:highlight w:val="none"/>
          <w:lang w:eastAsia="zh-CN"/>
        </w:rPr>
        <w:t>）</w:t>
      </w:r>
      <w:r>
        <w:rPr>
          <w:rFonts w:hint="eastAsia" w:eastAsia="仿宋_GB2312"/>
          <w:color w:val="auto"/>
          <w:sz w:val="32"/>
          <w:szCs w:val="32"/>
        </w:rPr>
        <w:t>企业</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rPr>
        <w:t>提高</w:t>
      </w:r>
      <w:r>
        <w:rPr>
          <w:rFonts w:hint="eastAsia" w:ascii="仿宋_GB2312" w:hAnsi="仿宋_GB2312" w:eastAsia="仿宋_GB2312" w:cs="仿宋_GB2312"/>
          <w:color w:val="auto"/>
          <w:sz w:val="32"/>
          <w:szCs w:val="32"/>
          <w:lang w:val="en-US" w:eastAsia="zh-CN"/>
        </w:rPr>
        <w:t>资源</w:t>
      </w:r>
      <w:r>
        <w:rPr>
          <w:rFonts w:hint="eastAsia" w:ascii="仿宋_GB2312" w:hAnsi="仿宋_GB2312" w:eastAsia="仿宋_GB2312" w:cs="仿宋_GB2312"/>
          <w:color w:val="auto"/>
          <w:sz w:val="32"/>
          <w:szCs w:val="32"/>
        </w:rPr>
        <w:t>集约节约水平</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招商引资质量，加快优质企业和优势产业</w:t>
      </w:r>
      <w:r>
        <w:rPr>
          <w:rFonts w:hint="eastAsia" w:ascii="仿宋_GB2312" w:hAnsi="仿宋_GB2312" w:eastAsia="仿宋_GB2312" w:cs="仿宋_GB2312"/>
          <w:color w:val="auto"/>
          <w:sz w:val="32"/>
          <w:szCs w:val="32"/>
          <w:lang w:val="en-US" w:eastAsia="zh-CN"/>
        </w:rPr>
        <w:t>向经开区</w:t>
      </w:r>
      <w:r>
        <w:rPr>
          <w:rFonts w:hint="eastAsia" w:ascii="仿宋_GB2312" w:hAnsi="仿宋_GB2312" w:eastAsia="仿宋_GB2312" w:cs="仿宋_GB2312"/>
          <w:color w:val="auto"/>
          <w:sz w:val="32"/>
          <w:szCs w:val="32"/>
        </w:rPr>
        <w:t>集聚发展，有效缩短入</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项目建设周期，依据国家有关法律规定，结合本区实际，特制订本办法。</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eastAsia="仿宋_GB2312"/>
          <w:b w:val="0"/>
          <w:bCs/>
          <w:color w:val="auto"/>
          <w:sz w:val="32"/>
          <w:szCs w:val="32"/>
          <w:highlight w:val="none"/>
        </w:rPr>
      </w:pPr>
      <w:r>
        <w:rPr>
          <w:rFonts w:hint="eastAsia" w:eastAsia="仿宋_GB2312"/>
          <w:b/>
          <w:color w:val="auto"/>
          <w:sz w:val="32"/>
          <w:szCs w:val="32"/>
          <w:highlight w:val="none"/>
          <w:lang w:val="en-US" w:eastAsia="zh-CN"/>
        </w:rPr>
        <w:t xml:space="preserve">第二条 </w:t>
      </w:r>
      <w:r>
        <w:rPr>
          <w:rFonts w:eastAsia="仿宋_GB2312"/>
          <w:b w:val="0"/>
          <w:bCs/>
          <w:color w:val="auto"/>
          <w:sz w:val="32"/>
          <w:szCs w:val="32"/>
          <w:highlight w:val="none"/>
        </w:rPr>
        <w:t>本办法适用于</w:t>
      </w:r>
      <w:r>
        <w:rPr>
          <w:rFonts w:hint="eastAsia" w:eastAsia="仿宋_GB2312"/>
          <w:b w:val="0"/>
          <w:bCs/>
          <w:color w:val="auto"/>
          <w:sz w:val="32"/>
          <w:szCs w:val="32"/>
          <w:highlight w:val="none"/>
          <w:lang w:val="en-US" w:eastAsia="zh-CN"/>
        </w:rPr>
        <w:t>拟</w:t>
      </w:r>
      <w:r>
        <w:rPr>
          <w:rFonts w:eastAsia="仿宋_GB2312"/>
          <w:b w:val="0"/>
          <w:bCs/>
          <w:color w:val="auto"/>
          <w:sz w:val="32"/>
          <w:szCs w:val="32"/>
          <w:highlight w:val="none"/>
        </w:rPr>
        <w:t>入驻</w:t>
      </w:r>
      <w:r>
        <w:rPr>
          <w:rFonts w:hint="eastAsia" w:eastAsia="仿宋_GB2312"/>
          <w:b w:val="0"/>
          <w:bCs/>
          <w:color w:val="auto"/>
          <w:sz w:val="32"/>
          <w:szCs w:val="32"/>
          <w:highlight w:val="none"/>
          <w:lang w:val="en-US" w:eastAsia="zh-CN"/>
        </w:rPr>
        <w:t>石泉经开区</w:t>
      </w:r>
      <w:r>
        <w:rPr>
          <w:rFonts w:eastAsia="仿宋_GB2312"/>
          <w:b w:val="0"/>
          <w:bCs/>
          <w:color w:val="auto"/>
          <w:sz w:val="32"/>
          <w:szCs w:val="32"/>
          <w:highlight w:val="none"/>
        </w:rPr>
        <w:t>的</w:t>
      </w:r>
      <w:r>
        <w:rPr>
          <w:rFonts w:hint="eastAsia" w:eastAsia="仿宋_GB2312"/>
          <w:b w:val="0"/>
          <w:bCs/>
          <w:color w:val="auto"/>
          <w:sz w:val="32"/>
          <w:szCs w:val="32"/>
          <w:highlight w:val="none"/>
        </w:rPr>
        <w:t>所有</w:t>
      </w:r>
      <w:r>
        <w:rPr>
          <w:rFonts w:eastAsia="仿宋_GB2312"/>
          <w:b w:val="0"/>
          <w:bCs/>
          <w:color w:val="auto"/>
          <w:sz w:val="32"/>
          <w:szCs w:val="32"/>
          <w:highlight w:val="none"/>
        </w:rPr>
        <w:t>企业。</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eastAsia="仿宋_GB2312"/>
          <w:b w:val="0"/>
          <w:bCs/>
          <w:color w:val="auto"/>
          <w:sz w:val="32"/>
          <w:szCs w:val="32"/>
          <w:highlight w:val="none"/>
        </w:rPr>
      </w:pPr>
      <w:r>
        <w:rPr>
          <w:rFonts w:hint="eastAsia" w:eastAsia="仿宋_GB2312"/>
          <w:b/>
          <w:color w:val="auto"/>
          <w:sz w:val="32"/>
          <w:szCs w:val="32"/>
          <w:highlight w:val="none"/>
          <w:lang w:val="en-US" w:eastAsia="zh-CN"/>
        </w:rPr>
        <w:t>第三条</w:t>
      </w:r>
      <w:r>
        <w:rPr>
          <w:rFonts w:hint="eastAsia" w:eastAsia="仿宋_GB2312"/>
          <w:b w:val="0"/>
          <w:bCs/>
          <w:color w:val="auto"/>
          <w:sz w:val="32"/>
          <w:szCs w:val="32"/>
          <w:highlight w:val="none"/>
          <w:lang w:val="en-US" w:eastAsia="zh-CN"/>
        </w:rPr>
        <w:t xml:space="preserve"> </w:t>
      </w:r>
      <w:r>
        <w:rPr>
          <w:rFonts w:eastAsia="仿宋_GB2312"/>
          <w:b w:val="0"/>
          <w:bCs/>
          <w:color w:val="auto"/>
          <w:sz w:val="32"/>
          <w:szCs w:val="32"/>
          <w:highlight w:val="none"/>
        </w:rPr>
        <w:t>由</w:t>
      </w:r>
      <w:r>
        <w:rPr>
          <w:rFonts w:hint="eastAsia" w:eastAsia="仿宋_GB2312"/>
          <w:b w:val="0"/>
          <w:bCs/>
          <w:color w:val="auto"/>
          <w:sz w:val="32"/>
          <w:szCs w:val="32"/>
          <w:highlight w:val="none"/>
        </w:rPr>
        <w:t>石泉</w:t>
      </w:r>
      <w:r>
        <w:rPr>
          <w:rFonts w:hint="eastAsia" w:eastAsia="仿宋_GB2312"/>
          <w:b w:val="0"/>
          <w:bCs/>
          <w:color w:val="auto"/>
          <w:sz w:val="32"/>
          <w:szCs w:val="32"/>
          <w:highlight w:val="none"/>
          <w:lang w:val="en-US" w:eastAsia="zh-CN"/>
        </w:rPr>
        <w:t>县工业集中区</w:t>
      </w:r>
      <w:r>
        <w:rPr>
          <w:rFonts w:hint="eastAsia" w:eastAsia="仿宋_GB2312"/>
          <w:b w:val="0"/>
          <w:bCs/>
          <w:color w:val="auto"/>
          <w:sz w:val="32"/>
          <w:szCs w:val="32"/>
          <w:highlight w:val="none"/>
        </w:rPr>
        <w:t>管</w:t>
      </w:r>
      <w:r>
        <w:rPr>
          <w:rFonts w:hint="eastAsia" w:eastAsia="仿宋_GB2312"/>
          <w:b w:val="0"/>
          <w:bCs/>
          <w:color w:val="auto"/>
          <w:sz w:val="32"/>
          <w:szCs w:val="32"/>
          <w:highlight w:val="none"/>
          <w:lang w:val="en-US" w:eastAsia="zh-CN"/>
        </w:rPr>
        <w:t>理</w:t>
      </w:r>
      <w:r>
        <w:rPr>
          <w:rFonts w:hint="eastAsia" w:eastAsia="仿宋_GB2312"/>
          <w:b w:val="0"/>
          <w:bCs/>
          <w:color w:val="auto"/>
          <w:sz w:val="32"/>
          <w:szCs w:val="32"/>
          <w:highlight w:val="none"/>
        </w:rPr>
        <w:t>委</w:t>
      </w:r>
      <w:r>
        <w:rPr>
          <w:rFonts w:hint="eastAsia" w:eastAsia="仿宋_GB2312"/>
          <w:b w:val="0"/>
          <w:bCs/>
          <w:color w:val="auto"/>
          <w:sz w:val="32"/>
          <w:szCs w:val="32"/>
          <w:highlight w:val="none"/>
          <w:lang w:val="en-US" w:eastAsia="zh-CN"/>
        </w:rPr>
        <w:t>员</w:t>
      </w:r>
      <w:r>
        <w:rPr>
          <w:rFonts w:hint="eastAsia" w:eastAsia="仿宋_GB2312"/>
          <w:b w:val="0"/>
          <w:bCs/>
          <w:color w:val="auto"/>
          <w:sz w:val="32"/>
          <w:szCs w:val="32"/>
          <w:highlight w:val="none"/>
        </w:rPr>
        <w:t>会</w:t>
      </w:r>
      <w:r>
        <w:rPr>
          <w:rFonts w:hint="eastAsia" w:eastAsia="仿宋_GB2312"/>
          <w:b w:val="0"/>
          <w:bCs/>
          <w:color w:val="auto"/>
          <w:sz w:val="32"/>
          <w:szCs w:val="32"/>
          <w:highlight w:val="none"/>
          <w:lang w:eastAsia="zh-CN"/>
        </w:rPr>
        <w:t>（</w:t>
      </w:r>
      <w:r>
        <w:rPr>
          <w:rFonts w:hint="eastAsia" w:eastAsia="仿宋_GB2312"/>
          <w:b w:val="0"/>
          <w:bCs/>
          <w:color w:val="auto"/>
          <w:sz w:val="32"/>
          <w:szCs w:val="32"/>
          <w:highlight w:val="none"/>
          <w:lang w:val="en-US" w:eastAsia="zh-CN"/>
        </w:rPr>
        <w:t>以下简称“管委会”</w:t>
      </w:r>
      <w:r>
        <w:rPr>
          <w:rFonts w:hint="eastAsia" w:eastAsia="仿宋_GB2312"/>
          <w:b w:val="0"/>
          <w:bCs/>
          <w:color w:val="auto"/>
          <w:sz w:val="32"/>
          <w:szCs w:val="32"/>
          <w:highlight w:val="none"/>
          <w:lang w:eastAsia="zh-CN"/>
        </w:rPr>
        <w:t>）</w:t>
      </w:r>
      <w:r>
        <w:rPr>
          <w:rFonts w:eastAsia="仿宋_GB2312"/>
          <w:b w:val="0"/>
          <w:bCs/>
          <w:color w:val="auto"/>
          <w:sz w:val="32"/>
          <w:szCs w:val="32"/>
          <w:highlight w:val="none"/>
        </w:rPr>
        <w:t>依据本办法</w:t>
      </w:r>
      <w:r>
        <w:rPr>
          <w:rFonts w:hint="eastAsia" w:eastAsia="仿宋_GB2312"/>
          <w:b w:val="0"/>
          <w:bCs/>
          <w:color w:val="auto"/>
          <w:sz w:val="32"/>
          <w:szCs w:val="32"/>
          <w:highlight w:val="none"/>
        </w:rPr>
        <w:t>，</w:t>
      </w:r>
      <w:r>
        <w:rPr>
          <w:rFonts w:eastAsia="仿宋_GB2312"/>
          <w:b w:val="0"/>
          <w:bCs/>
          <w:color w:val="auto"/>
          <w:sz w:val="32"/>
          <w:szCs w:val="32"/>
          <w:highlight w:val="none"/>
        </w:rPr>
        <w:t>对</w:t>
      </w:r>
      <w:r>
        <w:rPr>
          <w:rFonts w:hint="eastAsia" w:eastAsia="仿宋_GB2312"/>
          <w:b w:val="0"/>
          <w:bCs/>
          <w:color w:val="auto"/>
          <w:sz w:val="32"/>
          <w:szCs w:val="32"/>
          <w:highlight w:val="none"/>
          <w:lang w:val="en-US" w:eastAsia="zh-CN"/>
        </w:rPr>
        <w:t>拟</w:t>
      </w:r>
      <w:r>
        <w:rPr>
          <w:rFonts w:eastAsia="仿宋_GB2312"/>
          <w:b w:val="0"/>
          <w:bCs/>
          <w:color w:val="auto"/>
          <w:sz w:val="32"/>
          <w:szCs w:val="32"/>
          <w:highlight w:val="none"/>
        </w:rPr>
        <w:t>入驻</w:t>
      </w:r>
      <w:r>
        <w:rPr>
          <w:rFonts w:hint="eastAsia" w:eastAsia="仿宋_GB2312"/>
          <w:b w:val="0"/>
          <w:bCs/>
          <w:color w:val="auto"/>
          <w:sz w:val="32"/>
          <w:szCs w:val="32"/>
          <w:highlight w:val="none"/>
          <w:lang w:val="en-US" w:eastAsia="zh-CN"/>
        </w:rPr>
        <w:t>石泉经开区</w:t>
      </w:r>
      <w:r>
        <w:rPr>
          <w:rFonts w:hint="eastAsia" w:eastAsia="仿宋_GB2312"/>
          <w:b w:val="0"/>
          <w:bCs/>
          <w:color w:val="auto"/>
          <w:sz w:val="32"/>
          <w:szCs w:val="32"/>
          <w:highlight w:val="none"/>
        </w:rPr>
        <w:t>的</w:t>
      </w:r>
      <w:r>
        <w:rPr>
          <w:rFonts w:eastAsia="仿宋_GB2312"/>
          <w:b w:val="0"/>
          <w:bCs/>
          <w:color w:val="auto"/>
          <w:sz w:val="32"/>
          <w:szCs w:val="32"/>
          <w:highlight w:val="none"/>
        </w:rPr>
        <w:t>企业行使审核、审批及管理职能。</w:t>
      </w:r>
    </w:p>
    <w:p>
      <w:pPr>
        <w:keepNext w:val="0"/>
        <w:keepLines w:val="0"/>
        <w:pageBreakBefore w:val="0"/>
        <w:widowControl w:val="0"/>
        <w:kinsoku/>
        <w:wordWrap/>
        <w:overflowPunct/>
        <w:topLinePunct w:val="0"/>
        <w:bidi w:val="0"/>
        <w:snapToGrid/>
        <w:spacing w:line="560" w:lineRule="exact"/>
        <w:jc w:val="center"/>
        <w:textAlignment w:val="auto"/>
        <w:rPr>
          <w:rFonts w:hint="eastAsia" w:eastAsia="黑体"/>
          <w:color w:val="auto"/>
          <w:sz w:val="32"/>
          <w:szCs w:val="32"/>
          <w:highlight w:val="none"/>
          <w:lang w:val="en-US" w:eastAsia="zh-CN"/>
        </w:rPr>
      </w:pPr>
      <w:r>
        <w:rPr>
          <w:rFonts w:eastAsia="黑体"/>
          <w:color w:val="auto"/>
          <w:sz w:val="32"/>
          <w:szCs w:val="32"/>
          <w:highlight w:val="none"/>
        </w:rPr>
        <w:t xml:space="preserve">第二章  </w:t>
      </w:r>
      <w:r>
        <w:rPr>
          <w:rFonts w:hint="eastAsia" w:eastAsia="黑体"/>
          <w:color w:val="auto"/>
          <w:sz w:val="32"/>
          <w:szCs w:val="32"/>
          <w:highlight w:val="none"/>
          <w:lang w:eastAsia="zh-CN"/>
        </w:rPr>
        <w:t>入</w:t>
      </w:r>
      <w:r>
        <w:rPr>
          <w:rFonts w:hint="eastAsia" w:eastAsia="黑体"/>
          <w:color w:val="auto"/>
          <w:sz w:val="32"/>
          <w:szCs w:val="32"/>
          <w:highlight w:val="none"/>
          <w:lang w:val="en-US" w:eastAsia="zh-CN"/>
        </w:rPr>
        <w:t>区</w:t>
      </w:r>
      <w:r>
        <w:rPr>
          <w:rFonts w:eastAsia="黑体"/>
          <w:color w:val="auto"/>
          <w:sz w:val="32"/>
          <w:szCs w:val="32"/>
          <w:highlight w:val="none"/>
        </w:rPr>
        <w:t>条件</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color w:val="auto"/>
          <w:sz w:val="32"/>
          <w:szCs w:val="32"/>
        </w:rPr>
      </w:pPr>
      <w:r>
        <w:rPr>
          <w:rFonts w:eastAsia="仿宋_GB2312"/>
          <w:b/>
          <w:color w:val="auto"/>
          <w:sz w:val="32"/>
          <w:szCs w:val="32"/>
        </w:rPr>
        <w:t>第</w:t>
      </w:r>
      <w:r>
        <w:rPr>
          <w:rFonts w:hint="eastAsia" w:eastAsia="仿宋_GB2312"/>
          <w:b/>
          <w:color w:val="auto"/>
          <w:sz w:val="32"/>
          <w:szCs w:val="32"/>
          <w:lang w:val="en-US" w:eastAsia="zh-CN"/>
        </w:rPr>
        <w:t>四</w:t>
      </w:r>
      <w:r>
        <w:rPr>
          <w:rFonts w:eastAsia="仿宋_GB2312"/>
          <w:b/>
          <w:color w:val="auto"/>
          <w:sz w:val="32"/>
          <w:szCs w:val="32"/>
        </w:rPr>
        <w:t xml:space="preserve">条 </w:t>
      </w:r>
      <w:r>
        <w:rPr>
          <w:rFonts w:eastAsia="仿宋_GB2312"/>
          <w:color w:val="auto"/>
          <w:sz w:val="32"/>
          <w:szCs w:val="32"/>
        </w:rPr>
        <w:t>申请</w:t>
      </w:r>
      <w:r>
        <w:rPr>
          <w:rFonts w:hint="eastAsia" w:eastAsia="仿宋_GB2312"/>
          <w:color w:val="auto"/>
          <w:sz w:val="32"/>
          <w:szCs w:val="32"/>
          <w:lang w:eastAsia="zh-CN"/>
        </w:rPr>
        <w:t>入区</w:t>
      </w:r>
      <w:r>
        <w:rPr>
          <w:rFonts w:eastAsia="仿宋_GB2312"/>
          <w:color w:val="auto"/>
          <w:sz w:val="32"/>
          <w:szCs w:val="32"/>
        </w:rPr>
        <w:t>的企业，</w:t>
      </w:r>
      <w:r>
        <w:rPr>
          <w:rFonts w:hint="eastAsia" w:ascii="仿宋_GB2312" w:hAnsi="仿宋_GB2312" w:eastAsia="仿宋_GB2312" w:cs="仿宋_GB2312"/>
          <w:color w:val="auto"/>
          <w:sz w:val="32"/>
          <w:szCs w:val="32"/>
        </w:rPr>
        <w:t>工商注册、税务征管关系在本区，具有独立法人或视同法人单位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具有健全的财务制度，自主经营，自负盈亏，依法纳税，全面履行安全生产主体责任。</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Times New Roman" w:hAnsi="Times New Roman" w:eastAsia="仿宋_GB2312" w:cs="Times New Roman"/>
          <w:color w:val="auto"/>
          <w:sz w:val="32"/>
          <w:szCs w:val="32"/>
        </w:rPr>
      </w:pPr>
      <w:r>
        <w:rPr>
          <w:rFonts w:hint="eastAsia" w:eastAsia="仿宋_GB2312"/>
          <w:b/>
          <w:color w:val="auto"/>
          <w:sz w:val="32"/>
          <w:szCs w:val="32"/>
          <w:lang w:val="en-US" w:eastAsia="zh-CN"/>
        </w:rPr>
        <w:t xml:space="preserve">第五条 </w:t>
      </w:r>
      <w:r>
        <w:rPr>
          <w:rFonts w:ascii="Times New Roman" w:hAnsi="Times New Roman" w:eastAsia="仿宋_GB2312" w:cs="Times New Roman"/>
          <w:color w:val="auto"/>
          <w:sz w:val="32"/>
          <w:szCs w:val="32"/>
        </w:rPr>
        <w:t>申请</w:t>
      </w:r>
      <w:r>
        <w:rPr>
          <w:rFonts w:hint="eastAsia" w:ascii="Times New Roman" w:hAnsi="Times New Roman" w:eastAsia="仿宋_GB2312" w:cs="Times New Roman"/>
          <w:color w:val="auto"/>
          <w:sz w:val="32"/>
          <w:szCs w:val="32"/>
          <w:lang w:eastAsia="zh-CN"/>
        </w:rPr>
        <w:t>入区</w:t>
      </w:r>
      <w:r>
        <w:rPr>
          <w:rFonts w:ascii="Times New Roman" w:hAnsi="Times New Roman" w:eastAsia="仿宋_GB2312" w:cs="Times New Roman"/>
          <w:color w:val="auto"/>
          <w:sz w:val="32"/>
          <w:szCs w:val="32"/>
        </w:rPr>
        <w:t>的企业，应</w:t>
      </w:r>
      <w:r>
        <w:rPr>
          <w:rFonts w:hint="eastAsia" w:ascii="仿宋_GB2312" w:hAnsi="仿宋_GB2312" w:eastAsia="仿宋_GB2312" w:cs="仿宋_GB2312"/>
          <w:color w:val="auto"/>
          <w:sz w:val="32"/>
          <w:szCs w:val="32"/>
        </w:rPr>
        <w:t>符合国家法律法规、</w:t>
      </w:r>
      <w:r>
        <w:rPr>
          <w:rFonts w:hint="eastAsia" w:ascii="Times New Roman" w:hAnsi="Times New Roman" w:eastAsia="仿宋_GB2312" w:cs="Times New Roman"/>
          <w:color w:val="auto"/>
          <w:sz w:val="32"/>
          <w:szCs w:val="32"/>
        </w:rPr>
        <w:t>符合</w:t>
      </w:r>
      <w:r>
        <w:rPr>
          <w:rFonts w:hint="eastAsia" w:ascii="Times New Roman" w:hAnsi="Times New Roman" w:eastAsia="仿宋_GB2312" w:cs="Times New Roman"/>
          <w:color w:val="auto"/>
          <w:sz w:val="32"/>
          <w:szCs w:val="32"/>
          <w:lang w:eastAsia="zh-CN"/>
        </w:rPr>
        <w:t>石泉经开区</w:t>
      </w:r>
      <w:r>
        <w:rPr>
          <w:rFonts w:hint="eastAsia" w:ascii="Times New Roman" w:hAnsi="Times New Roman" w:eastAsia="仿宋_GB2312" w:cs="Times New Roman"/>
          <w:color w:val="auto"/>
          <w:sz w:val="32"/>
          <w:szCs w:val="32"/>
        </w:rPr>
        <w:t>总体规划</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符合</w:t>
      </w:r>
      <w:r>
        <w:rPr>
          <w:rFonts w:hint="eastAsia" w:ascii="Times New Roman" w:hAnsi="Times New Roman" w:eastAsia="仿宋_GB2312" w:cs="Times New Roman"/>
          <w:color w:val="auto"/>
          <w:sz w:val="32"/>
          <w:szCs w:val="32"/>
          <w:lang w:eastAsia="zh-CN"/>
        </w:rPr>
        <w:t>石泉经开区</w:t>
      </w:r>
      <w:r>
        <w:rPr>
          <w:rFonts w:hint="eastAsia" w:ascii="Times New Roman" w:hAnsi="Times New Roman" w:eastAsia="仿宋_GB2312" w:cs="Times New Roman"/>
          <w:color w:val="auto"/>
          <w:sz w:val="32"/>
          <w:szCs w:val="32"/>
        </w:rPr>
        <w:t>产业规划</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（一）建设</w:t>
      </w:r>
      <w:r>
        <w:rPr>
          <w:rFonts w:hint="eastAsia" w:ascii="Times New Roman" w:hAnsi="Times New Roman" w:eastAsia="仿宋_GB2312" w:cs="Times New Roman"/>
          <w:color w:val="auto"/>
          <w:sz w:val="32"/>
          <w:szCs w:val="32"/>
          <w:lang w:val="en-US" w:eastAsia="zh-CN"/>
        </w:rPr>
        <w:t>的</w:t>
      </w:r>
      <w:r>
        <w:rPr>
          <w:rFonts w:ascii="Times New Roman" w:hAnsi="Times New Roman" w:eastAsia="仿宋_GB2312" w:cs="Times New Roman"/>
          <w:color w:val="auto"/>
          <w:sz w:val="32"/>
          <w:szCs w:val="32"/>
        </w:rPr>
        <w:t>项目应符合国家产业政策目录</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属国家产业政策目录鼓励类的项目</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二</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建设</w:t>
      </w:r>
      <w:r>
        <w:rPr>
          <w:rFonts w:hint="eastAsia" w:ascii="Times New Roman" w:hAnsi="Times New Roman" w:eastAsia="仿宋_GB2312" w:cs="Times New Roman"/>
          <w:color w:val="auto"/>
          <w:sz w:val="32"/>
          <w:szCs w:val="32"/>
          <w:lang w:val="en-US" w:eastAsia="zh-CN"/>
        </w:rPr>
        <w:t>的</w:t>
      </w:r>
      <w:r>
        <w:rPr>
          <w:rFonts w:ascii="Times New Roman" w:hAnsi="Times New Roman" w:eastAsia="仿宋_GB2312" w:cs="Times New Roman"/>
          <w:color w:val="auto"/>
          <w:sz w:val="32"/>
          <w:szCs w:val="32"/>
        </w:rPr>
        <w:t>项目</w:t>
      </w:r>
      <w:r>
        <w:rPr>
          <w:rFonts w:hint="eastAsia" w:ascii="Times New Roman" w:hAnsi="Times New Roman" w:eastAsia="仿宋_GB2312" w:cs="Times New Roman"/>
          <w:color w:val="auto"/>
          <w:sz w:val="32"/>
          <w:szCs w:val="32"/>
          <w:lang w:val="en-US" w:eastAsia="zh-CN"/>
        </w:rPr>
        <w:t>应</w:t>
      </w:r>
      <w:r>
        <w:rPr>
          <w:rFonts w:hint="eastAsia" w:ascii="Times New Roman" w:hAnsi="Times New Roman" w:eastAsia="仿宋_GB2312" w:cs="Times New Roman"/>
          <w:color w:val="auto"/>
          <w:sz w:val="32"/>
          <w:szCs w:val="32"/>
        </w:rPr>
        <w:t>符合本区产业</w:t>
      </w:r>
      <w:r>
        <w:rPr>
          <w:rFonts w:hint="eastAsia" w:ascii="Times New Roman" w:hAnsi="Times New Roman" w:eastAsia="仿宋_GB2312" w:cs="Times New Roman"/>
          <w:color w:val="auto"/>
          <w:sz w:val="32"/>
          <w:szCs w:val="32"/>
          <w:lang w:val="en-US" w:eastAsia="zh-CN"/>
        </w:rPr>
        <w:t>规划</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即两大主导产业类（富硒食品和蚕桑产业）和三大特色产业类（新兴产业、装备制造、生物医药）；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（三）</w:t>
      </w:r>
      <w:r>
        <w:rPr>
          <w:rFonts w:ascii="Times New Roman" w:hAnsi="Times New Roman" w:eastAsia="仿宋_GB2312" w:cs="Times New Roman"/>
          <w:color w:val="auto"/>
          <w:sz w:val="32"/>
          <w:szCs w:val="32"/>
        </w:rPr>
        <w:t>属国家产业政策目录禁止类</w:t>
      </w:r>
      <w:r>
        <w:rPr>
          <w:rFonts w:hint="eastAsia" w:ascii="Times New Roman" w:hAnsi="Times New Roman" w:eastAsia="仿宋_GB2312" w:cs="Times New Roman"/>
          <w:color w:val="auto"/>
          <w:sz w:val="32"/>
          <w:szCs w:val="32"/>
        </w:rPr>
        <w:t>的项目，属中、省、市、县准入负面清单</w:t>
      </w:r>
      <w:r>
        <w:rPr>
          <w:rFonts w:ascii="Times New Roman" w:hAnsi="Times New Roman" w:eastAsia="仿宋_GB2312" w:cs="Times New Roman"/>
          <w:color w:val="auto"/>
          <w:sz w:val="32"/>
          <w:szCs w:val="32"/>
        </w:rPr>
        <w:t>的项目</w:t>
      </w:r>
      <w:r>
        <w:rPr>
          <w:rFonts w:hint="eastAsia" w:ascii="Times New Roman" w:hAnsi="Times New Roman" w:eastAsia="仿宋_GB2312" w:cs="Times New Roman"/>
          <w:color w:val="auto"/>
          <w:sz w:val="32"/>
          <w:szCs w:val="32"/>
        </w:rPr>
        <w:t>，不符合</w:t>
      </w:r>
      <w:r>
        <w:rPr>
          <w:rFonts w:hint="eastAsia" w:ascii="Times New Roman" w:hAnsi="Times New Roman" w:eastAsia="仿宋_GB2312" w:cs="Times New Roman"/>
          <w:color w:val="auto"/>
          <w:sz w:val="32"/>
          <w:szCs w:val="32"/>
          <w:lang w:eastAsia="zh-CN"/>
        </w:rPr>
        <w:t>石泉经开区</w:t>
      </w:r>
      <w:r>
        <w:rPr>
          <w:rFonts w:hint="eastAsia" w:ascii="Times New Roman" w:hAnsi="Times New Roman" w:eastAsia="仿宋_GB2312" w:cs="Times New Roman"/>
          <w:color w:val="auto"/>
          <w:sz w:val="32"/>
          <w:szCs w:val="32"/>
        </w:rPr>
        <w:t>产业规划的项目</w:t>
      </w:r>
      <w:r>
        <w:rPr>
          <w:rFonts w:ascii="Times New Roman" w:hAnsi="Times New Roman" w:eastAsia="仿宋_GB2312" w:cs="Times New Roman"/>
          <w:color w:val="auto"/>
          <w:sz w:val="32"/>
          <w:szCs w:val="32"/>
        </w:rPr>
        <w:t>不得</w:t>
      </w:r>
      <w:r>
        <w:rPr>
          <w:rFonts w:hint="eastAsia" w:ascii="Times New Roman" w:hAnsi="Times New Roman" w:eastAsia="仿宋_GB2312" w:cs="Times New Roman"/>
          <w:color w:val="auto"/>
          <w:sz w:val="32"/>
          <w:szCs w:val="32"/>
          <w:lang w:eastAsia="zh-CN"/>
        </w:rPr>
        <w:t>入区</w:t>
      </w:r>
      <w:r>
        <w:rPr>
          <w:rFonts w:ascii="Times New Roman" w:hAnsi="Times New Roman" w:eastAsia="仿宋_GB2312" w:cs="Times New Roman"/>
          <w:color w:val="auto"/>
          <w:sz w:val="32"/>
          <w:szCs w:val="32"/>
        </w:rPr>
        <w:t>。</w:t>
      </w:r>
    </w:p>
    <w:p>
      <w:pPr>
        <w:pStyle w:val="2"/>
        <w:keepNext w:val="0"/>
        <w:keepLines w:val="0"/>
        <w:pageBreakBefore w:val="0"/>
        <w:widowControl w:val="0"/>
        <w:kinsoku/>
        <w:wordWrap/>
        <w:overflowPunct/>
        <w:topLinePunct w:val="0"/>
        <w:bidi w:val="0"/>
        <w:snapToGrid/>
        <w:spacing w:line="480" w:lineRule="exact"/>
        <w:ind w:firstLine="643"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eastAsia="仿宋_GB2312"/>
          <w:b/>
          <w:bCs/>
          <w:color w:val="auto"/>
          <w:sz w:val="32"/>
          <w:szCs w:val="32"/>
          <w:lang w:val="en-US" w:eastAsia="zh-CN"/>
        </w:rPr>
        <w:t>第六条</w:t>
      </w:r>
      <w:r>
        <w:rPr>
          <w:rFonts w:hint="eastAsia" w:eastAsia="仿宋_GB2312"/>
          <w:color w:val="auto"/>
          <w:sz w:val="32"/>
          <w:szCs w:val="32"/>
          <w:lang w:val="en-US" w:eastAsia="zh-CN"/>
        </w:rPr>
        <w:t xml:space="preserve"> </w:t>
      </w:r>
      <w:r>
        <w:rPr>
          <w:rFonts w:ascii="Times New Roman" w:hAnsi="Times New Roman" w:eastAsia="仿宋_GB2312" w:cs="Times New Roman"/>
          <w:color w:val="auto"/>
          <w:kern w:val="2"/>
          <w:sz w:val="32"/>
          <w:szCs w:val="32"/>
          <w:lang w:val="en-US" w:eastAsia="zh-CN" w:bidi="ar-SA"/>
        </w:rPr>
        <w:t>申请</w:t>
      </w:r>
      <w:r>
        <w:rPr>
          <w:rFonts w:hint="eastAsia" w:ascii="Times New Roman" w:hAnsi="Times New Roman" w:eastAsia="仿宋_GB2312" w:cs="Times New Roman"/>
          <w:color w:val="auto"/>
          <w:kern w:val="2"/>
          <w:sz w:val="32"/>
          <w:szCs w:val="32"/>
          <w:lang w:val="en-US" w:eastAsia="zh-CN" w:bidi="ar-SA"/>
        </w:rPr>
        <w:t>入区</w:t>
      </w:r>
      <w:r>
        <w:rPr>
          <w:rFonts w:ascii="Times New Roman" w:hAnsi="Times New Roman" w:eastAsia="仿宋_GB2312" w:cs="Times New Roman"/>
          <w:color w:val="auto"/>
          <w:kern w:val="2"/>
          <w:sz w:val="32"/>
          <w:szCs w:val="32"/>
          <w:lang w:val="en-US" w:eastAsia="zh-CN" w:bidi="ar-SA"/>
        </w:rPr>
        <w:t>的企业，应</w:t>
      </w:r>
      <w:r>
        <w:rPr>
          <w:rFonts w:hint="eastAsia" w:ascii="Times New Roman" w:hAnsi="Times New Roman" w:eastAsia="仿宋_GB2312" w:cs="Times New Roman"/>
          <w:color w:val="auto"/>
          <w:kern w:val="2"/>
          <w:sz w:val="32"/>
          <w:szCs w:val="32"/>
          <w:lang w:val="en-US" w:eastAsia="zh-CN" w:bidi="ar-SA"/>
        </w:rPr>
        <w:t>符合石泉经开区环评规划。</w:t>
      </w:r>
      <w:r>
        <w:rPr>
          <w:rFonts w:hint="eastAsia" w:eastAsia="仿宋_GB2312"/>
          <w:color w:val="auto"/>
          <w:sz w:val="32"/>
          <w:szCs w:val="32"/>
        </w:rPr>
        <w:t>符合</w:t>
      </w:r>
      <w:r>
        <w:rPr>
          <w:rFonts w:hint="eastAsia" w:eastAsia="仿宋_GB2312"/>
          <w:color w:val="auto"/>
          <w:sz w:val="32"/>
          <w:szCs w:val="32"/>
          <w:lang w:eastAsia="zh-CN"/>
        </w:rPr>
        <w:t>《经</w:t>
      </w:r>
      <w:r>
        <w:rPr>
          <w:rFonts w:hint="eastAsia" w:eastAsia="仿宋_GB2312"/>
          <w:color w:val="auto"/>
          <w:sz w:val="32"/>
          <w:szCs w:val="32"/>
          <w:highlight w:val="none"/>
          <w:lang w:eastAsia="zh-CN"/>
        </w:rPr>
        <w:t>开区</w:t>
      </w:r>
      <w:r>
        <w:rPr>
          <w:rFonts w:hint="eastAsia" w:eastAsia="仿宋_GB2312"/>
          <w:color w:val="auto"/>
          <w:sz w:val="32"/>
          <w:szCs w:val="32"/>
          <w:highlight w:val="none"/>
        </w:rPr>
        <w:t>空间管制清单</w:t>
      </w:r>
      <w:r>
        <w:rPr>
          <w:rFonts w:hint="eastAsia" w:eastAsia="仿宋_GB2312"/>
          <w:color w:val="auto"/>
          <w:sz w:val="32"/>
          <w:szCs w:val="32"/>
          <w:lang w:eastAsia="zh-CN"/>
        </w:rPr>
        <w:t>》</w:t>
      </w:r>
      <w:r>
        <w:rPr>
          <w:rFonts w:hint="eastAsia" w:eastAsia="仿宋_GB2312"/>
          <w:color w:val="auto"/>
          <w:sz w:val="32"/>
          <w:szCs w:val="32"/>
          <w:highlight w:val="none"/>
        </w:rPr>
        <w:t>（附件1）</w:t>
      </w:r>
      <w:r>
        <w:rPr>
          <w:rFonts w:hint="eastAsia" w:eastAsia="仿宋_GB2312"/>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SA"/>
        </w:rPr>
        <w:t>凡被列入《环境准入负面清单》</w:t>
      </w:r>
      <w:r>
        <w:rPr>
          <w:rFonts w:hint="eastAsia" w:eastAsia="仿宋_GB2312"/>
          <w:color w:val="auto"/>
          <w:sz w:val="32"/>
          <w:szCs w:val="32"/>
          <w:highlight w:val="none"/>
        </w:rPr>
        <w:t>（附件</w:t>
      </w:r>
      <w:r>
        <w:rPr>
          <w:rFonts w:hint="eastAsia" w:eastAsia="仿宋_GB2312"/>
          <w:color w:val="auto"/>
          <w:sz w:val="32"/>
          <w:szCs w:val="32"/>
          <w:highlight w:val="none"/>
          <w:lang w:val="en-US" w:eastAsia="zh-CN"/>
        </w:rPr>
        <w:t>2</w:t>
      </w:r>
      <w:r>
        <w:rPr>
          <w:rFonts w:hint="eastAsia" w:eastAsia="仿宋_GB2312"/>
          <w:color w:val="auto"/>
          <w:sz w:val="32"/>
          <w:szCs w:val="32"/>
          <w:highlight w:val="none"/>
        </w:rPr>
        <w:t>）</w:t>
      </w:r>
      <w:r>
        <w:rPr>
          <w:rFonts w:hint="eastAsia" w:ascii="Times New Roman" w:hAnsi="Times New Roman" w:eastAsia="仿宋_GB2312" w:cs="Times New Roman"/>
          <w:color w:val="auto"/>
          <w:kern w:val="2"/>
          <w:sz w:val="32"/>
          <w:szCs w:val="32"/>
          <w:lang w:val="en-US" w:eastAsia="zh-CN" w:bidi="ar-SA"/>
        </w:rPr>
        <w:t>范围的以及淘汰产能的项目不得入区。</w:t>
      </w:r>
    </w:p>
    <w:p>
      <w:pPr>
        <w:pStyle w:val="2"/>
        <w:keepNext w:val="0"/>
        <w:keepLines w:val="0"/>
        <w:pageBreakBefore w:val="0"/>
        <w:widowControl w:val="0"/>
        <w:kinsoku/>
        <w:wordWrap/>
        <w:overflowPunct/>
        <w:topLinePunct w:val="0"/>
        <w:bidi w:val="0"/>
        <w:snapToGrid/>
        <w:spacing w:line="480" w:lineRule="exact"/>
        <w:ind w:firstLine="643" w:firstLineChars="200"/>
        <w:textAlignment w:val="auto"/>
        <w:rPr>
          <w:rFonts w:hint="eastAsia" w:eastAsia="仿宋_GB2312"/>
          <w:b w:val="0"/>
          <w:bCs w:val="0"/>
          <w:color w:val="auto"/>
          <w:sz w:val="32"/>
          <w:szCs w:val="32"/>
          <w:lang w:val="en-US" w:eastAsia="zh-CN"/>
        </w:rPr>
      </w:pPr>
      <w:r>
        <w:rPr>
          <w:rFonts w:hint="eastAsia" w:eastAsia="仿宋_GB2312"/>
          <w:b/>
          <w:bCs/>
          <w:color w:val="auto"/>
          <w:sz w:val="32"/>
          <w:szCs w:val="32"/>
          <w:lang w:val="en-US" w:eastAsia="zh-CN"/>
        </w:rPr>
        <w:t xml:space="preserve">第七条 </w:t>
      </w:r>
      <w:r>
        <w:rPr>
          <w:rFonts w:hint="eastAsia" w:eastAsia="仿宋_GB2312"/>
          <w:b w:val="0"/>
          <w:bCs w:val="0"/>
          <w:color w:val="auto"/>
          <w:sz w:val="32"/>
          <w:szCs w:val="32"/>
          <w:lang w:val="en-US" w:eastAsia="zh-CN"/>
        </w:rPr>
        <w:t>鼓励</w:t>
      </w:r>
      <w:r>
        <w:rPr>
          <w:rFonts w:hint="eastAsia" w:ascii="仿宋_GB2312" w:hAnsi="仿宋_GB2312" w:eastAsia="仿宋_GB2312" w:cs="仿宋_GB2312"/>
          <w:b w:val="0"/>
          <w:bCs w:val="0"/>
          <w:color w:val="auto"/>
          <w:kern w:val="0"/>
          <w:sz w:val="32"/>
          <w:szCs w:val="32"/>
          <w:lang w:val="en-US" w:eastAsia="zh-CN" w:bidi="ar"/>
        </w:rPr>
        <w:t>世界500强企业、国内500强企业、行业50强企业、</w:t>
      </w:r>
      <w:r>
        <w:rPr>
          <w:rFonts w:hint="eastAsia" w:eastAsia="仿宋_GB2312"/>
          <w:b w:val="0"/>
          <w:bCs w:val="0"/>
          <w:color w:val="auto"/>
          <w:sz w:val="32"/>
          <w:szCs w:val="32"/>
          <w:lang w:val="en-US" w:eastAsia="zh-CN"/>
        </w:rPr>
        <w:t>劳动密集型企业、高新技术企业、出口创汇企业、</w:t>
      </w:r>
      <w:r>
        <w:rPr>
          <w:rFonts w:hint="eastAsia" w:ascii="仿宋_GB2312" w:hAnsi="仿宋_GB2312" w:eastAsia="仿宋_GB2312" w:cs="仿宋_GB2312"/>
          <w:b w:val="0"/>
          <w:bCs w:val="0"/>
          <w:color w:val="auto"/>
          <w:sz w:val="32"/>
          <w:szCs w:val="32"/>
        </w:rPr>
        <w:t>总部企业入区</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480" w:lineRule="exact"/>
        <w:jc w:val="center"/>
        <w:textAlignment w:val="auto"/>
        <w:rPr>
          <w:rFonts w:eastAsia="仿宋_GB2312"/>
          <w:b/>
          <w:color w:val="auto"/>
          <w:sz w:val="32"/>
          <w:szCs w:val="32"/>
        </w:rPr>
      </w:pPr>
      <w:r>
        <w:rPr>
          <w:rFonts w:eastAsia="黑体"/>
          <w:color w:val="auto"/>
          <w:sz w:val="32"/>
          <w:szCs w:val="32"/>
        </w:rPr>
        <w:t xml:space="preserve">第三章  </w:t>
      </w:r>
      <w:r>
        <w:rPr>
          <w:rFonts w:hint="eastAsia" w:eastAsia="黑体"/>
          <w:color w:val="auto"/>
          <w:sz w:val="32"/>
          <w:szCs w:val="32"/>
          <w:lang w:eastAsia="zh-CN"/>
        </w:rPr>
        <w:t>入区</w:t>
      </w:r>
      <w:r>
        <w:rPr>
          <w:rFonts w:eastAsia="黑体"/>
          <w:color w:val="auto"/>
          <w:sz w:val="32"/>
          <w:szCs w:val="32"/>
        </w:rPr>
        <w:t>程序</w:t>
      </w:r>
      <w:r>
        <w:rPr>
          <w:rFonts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color w:val="auto"/>
          <w:sz w:val="32"/>
          <w:szCs w:val="32"/>
        </w:rPr>
      </w:pPr>
      <w:r>
        <w:rPr>
          <w:rFonts w:eastAsia="仿宋_GB2312"/>
          <w:b/>
          <w:color w:val="auto"/>
          <w:sz w:val="32"/>
          <w:szCs w:val="32"/>
        </w:rPr>
        <w:t>第</w:t>
      </w:r>
      <w:r>
        <w:rPr>
          <w:rFonts w:hint="eastAsia" w:eastAsia="仿宋_GB2312"/>
          <w:b/>
          <w:color w:val="auto"/>
          <w:sz w:val="32"/>
          <w:szCs w:val="32"/>
          <w:lang w:val="en-US" w:eastAsia="zh-CN"/>
        </w:rPr>
        <w:t>八</w:t>
      </w:r>
      <w:r>
        <w:rPr>
          <w:rFonts w:eastAsia="仿宋_GB2312"/>
          <w:b/>
          <w:color w:val="auto"/>
          <w:sz w:val="32"/>
          <w:szCs w:val="32"/>
        </w:rPr>
        <w:t>条</w:t>
      </w:r>
      <w:r>
        <w:rPr>
          <w:rFonts w:eastAsia="仿宋_GB2312"/>
          <w:color w:val="auto"/>
          <w:sz w:val="32"/>
          <w:szCs w:val="32"/>
        </w:rPr>
        <w:t xml:space="preserve"> </w:t>
      </w:r>
      <w:r>
        <w:rPr>
          <w:rFonts w:hint="eastAsia" w:ascii="仿宋_GB2312" w:hAnsi="仿宋_GB2312" w:eastAsia="仿宋_GB2312" w:cs="仿宋_GB2312"/>
          <w:b/>
          <w:bCs/>
          <w:color w:val="auto"/>
          <w:sz w:val="32"/>
          <w:szCs w:val="32"/>
          <w:lang w:val="en-US" w:eastAsia="zh-CN"/>
        </w:rPr>
        <w:t xml:space="preserve"> 资格预审。</w:t>
      </w:r>
      <w:r>
        <w:rPr>
          <w:rFonts w:hint="eastAsia" w:ascii="仿宋_GB2312" w:hAnsi="仿宋_GB2312" w:eastAsia="仿宋_GB2312" w:cs="仿宋_GB2312"/>
          <w:color w:val="auto"/>
          <w:sz w:val="32"/>
          <w:szCs w:val="32"/>
          <w:lang w:val="en-US" w:eastAsia="zh-CN"/>
        </w:rPr>
        <w:t>拟入区企业向石泉经开区招商服务中心</w:t>
      </w:r>
      <w:r>
        <w:rPr>
          <w:rFonts w:hint="eastAsia" w:ascii="仿宋_GB2312" w:hAnsi="仿宋_GB2312" w:eastAsia="仿宋_GB2312" w:cs="仿宋_GB2312"/>
          <w:color w:val="auto"/>
          <w:sz w:val="32"/>
          <w:szCs w:val="32"/>
        </w:rPr>
        <w:t>提出书面申请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同时附</w:t>
      </w:r>
      <w:r>
        <w:rPr>
          <w:rFonts w:eastAsia="仿宋_GB2312"/>
          <w:color w:val="auto"/>
          <w:sz w:val="32"/>
          <w:szCs w:val="32"/>
        </w:rPr>
        <w:t>法人代表身份证复印件</w:t>
      </w:r>
      <w:r>
        <w:rPr>
          <w:rFonts w:hint="eastAsia" w:eastAsia="仿宋_GB2312"/>
          <w:color w:val="auto"/>
          <w:sz w:val="32"/>
          <w:szCs w:val="32"/>
          <w:lang w:eastAsia="zh-CN"/>
        </w:rPr>
        <w:t>、</w:t>
      </w:r>
      <w:r>
        <w:rPr>
          <w:rFonts w:hint="eastAsia" w:ascii="仿宋_GB2312" w:hAnsi="仿宋_GB2312" w:eastAsia="仿宋_GB2312" w:cs="仿宋_GB2312"/>
          <w:color w:val="auto"/>
          <w:sz w:val="32"/>
          <w:szCs w:val="32"/>
        </w:rPr>
        <w:t>项目计划书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项目计划书内容</w:t>
      </w:r>
      <w:r>
        <w:rPr>
          <w:rFonts w:hint="eastAsia" w:ascii="仿宋_GB2312" w:hAnsi="仿宋_GB2312" w:eastAsia="仿宋_GB2312" w:cs="仿宋_GB2312"/>
          <w:color w:val="auto"/>
          <w:sz w:val="32"/>
          <w:szCs w:val="32"/>
          <w:lang w:val="en-US" w:eastAsia="zh-CN"/>
        </w:rPr>
        <w:t>主要</w:t>
      </w:r>
      <w:r>
        <w:rPr>
          <w:rFonts w:hint="eastAsia" w:ascii="仿宋_GB2312" w:hAnsi="仿宋_GB2312" w:eastAsia="仿宋_GB2312" w:cs="仿宋_GB2312"/>
          <w:color w:val="auto"/>
          <w:sz w:val="32"/>
          <w:szCs w:val="32"/>
        </w:rPr>
        <w:t>包括具体的项目情况、选址意向、建设内容、用地面积、投资强度、</w:t>
      </w:r>
      <w:r>
        <w:rPr>
          <w:rFonts w:hint="eastAsia" w:ascii="仿宋_GB2312" w:hAnsi="仿宋_GB2312" w:eastAsia="仿宋_GB2312" w:cs="仿宋_GB2312"/>
          <w:color w:val="auto"/>
          <w:sz w:val="32"/>
          <w:szCs w:val="32"/>
          <w:lang w:val="en-US" w:eastAsia="zh-CN"/>
        </w:rPr>
        <w:t>预计</w:t>
      </w:r>
      <w:r>
        <w:rPr>
          <w:rFonts w:hint="eastAsia" w:ascii="仿宋_GB2312" w:hAnsi="仿宋_GB2312" w:eastAsia="仿宋_GB2312" w:cs="仿宋_GB2312"/>
          <w:color w:val="auto"/>
          <w:sz w:val="32"/>
          <w:szCs w:val="32"/>
        </w:rPr>
        <w:t>产出情况、</w:t>
      </w:r>
      <w:r>
        <w:rPr>
          <w:rFonts w:hint="eastAsia" w:ascii="仿宋_GB2312" w:hAnsi="仿宋_GB2312" w:eastAsia="仿宋_GB2312" w:cs="仿宋_GB2312"/>
          <w:color w:val="auto"/>
          <w:sz w:val="32"/>
          <w:szCs w:val="32"/>
          <w:lang w:val="en-US" w:eastAsia="zh-CN"/>
        </w:rPr>
        <w:t>计划</w:t>
      </w:r>
      <w:r>
        <w:rPr>
          <w:rFonts w:hint="eastAsia" w:ascii="仿宋_GB2312" w:hAnsi="仿宋_GB2312" w:eastAsia="仿宋_GB2312" w:cs="仿宋_GB2312"/>
          <w:color w:val="auto"/>
          <w:sz w:val="32"/>
          <w:szCs w:val="32"/>
        </w:rPr>
        <w:t>投产时间、政策</w:t>
      </w:r>
      <w:r>
        <w:rPr>
          <w:rFonts w:hint="eastAsia" w:ascii="仿宋_GB2312" w:hAnsi="仿宋_GB2312" w:eastAsia="仿宋_GB2312" w:cs="仿宋_GB2312"/>
          <w:color w:val="auto"/>
          <w:sz w:val="32"/>
          <w:szCs w:val="32"/>
          <w:lang w:val="en-US" w:eastAsia="zh-CN"/>
        </w:rPr>
        <w:t>诉求</w:t>
      </w:r>
      <w:r>
        <w:rPr>
          <w:rFonts w:hint="eastAsia" w:ascii="仿宋_GB2312" w:hAnsi="仿宋_GB2312" w:eastAsia="仿宋_GB2312" w:cs="仿宋_GB2312"/>
          <w:color w:val="auto"/>
          <w:sz w:val="32"/>
          <w:szCs w:val="32"/>
        </w:rPr>
        <w:t>等内容。</w:t>
      </w:r>
      <w:r>
        <w:rPr>
          <w:rFonts w:hint="eastAsia" w:ascii="仿宋_GB2312" w:hAnsi="仿宋_GB2312" w:eastAsia="仿宋_GB2312" w:cs="仿宋_GB2312"/>
          <w:color w:val="auto"/>
          <w:sz w:val="32"/>
          <w:szCs w:val="32"/>
          <w:lang w:val="en-US" w:eastAsia="zh-CN"/>
        </w:rPr>
        <w:t>由经开区招商中心负责召集或咨询相关部门</w:t>
      </w:r>
      <w:r>
        <w:rPr>
          <w:rFonts w:hint="eastAsia" w:ascii="仿宋_GB2312" w:hAnsi="仿宋_GB2312" w:eastAsia="仿宋_GB2312" w:cs="仿宋_GB2312"/>
          <w:color w:val="auto"/>
          <w:sz w:val="32"/>
          <w:szCs w:val="32"/>
        </w:rPr>
        <w:t>进行项目预审。</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第九条 签订招商引资意向协议。</w:t>
      </w:r>
      <w:r>
        <w:rPr>
          <w:rFonts w:hint="eastAsia" w:ascii="仿宋_GB2312" w:hAnsi="仿宋_GB2312" w:eastAsia="仿宋_GB2312" w:cs="仿宋_GB2312"/>
          <w:color w:val="auto"/>
          <w:sz w:val="32"/>
          <w:szCs w:val="32"/>
          <w:lang w:val="en-US" w:eastAsia="zh-CN"/>
        </w:rPr>
        <w:t>预审通过后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依法履行项目核准或备案及其他相关手续后，由经开区招商服务中心或其他引荐单位负责起草并与拟入区企业签订招商引资意向协议。</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default" w:eastAsia="仿宋_GB2312"/>
          <w:color w:val="auto"/>
          <w:lang w:val="en-US" w:eastAsia="zh-CN"/>
        </w:rPr>
      </w:pPr>
      <w:r>
        <w:rPr>
          <w:rFonts w:hint="eastAsia" w:ascii="仿宋_GB2312" w:hAnsi="仿宋_GB2312" w:eastAsia="仿宋_GB2312" w:cs="仿宋_GB2312"/>
          <w:b/>
          <w:bCs/>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领办、帮办、代办手续。</w:t>
      </w:r>
      <w:r>
        <w:rPr>
          <w:rFonts w:hint="eastAsia" w:ascii="仿宋_GB2312" w:hAnsi="仿宋_GB2312" w:eastAsia="仿宋_GB2312" w:cs="仿宋_GB2312"/>
          <w:color w:val="auto"/>
          <w:sz w:val="32"/>
          <w:szCs w:val="32"/>
          <w:lang w:val="en-US" w:eastAsia="zh-CN"/>
        </w:rPr>
        <w:t>意向协议签订后，对应由经开区招商服务中心或其他引荐单位负责</w:t>
      </w:r>
      <w:r>
        <w:rPr>
          <w:rFonts w:hint="eastAsia" w:eastAsia="仿宋_GB2312"/>
          <w:color w:val="auto"/>
          <w:sz w:val="32"/>
          <w:szCs w:val="32"/>
          <w:u w:val="none"/>
          <w:lang w:val="en-US" w:eastAsia="zh-CN"/>
        </w:rPr>
        <w:t>领办、帮办或代办</w:t>
      </w:r>
      <w:r>
        <w:rPr>
          <w:rFonts w:hint="eastAsia" w:ascii="仿宋_GB2312" w:hAnsi="仿宋_GB2312" w:eastAsia="仿宋_GB2312" w:cs="仿宋_GB2312"/>
          <w:color w:val="auto"/>
          <w:sz w:val="32"/>
          <w:szCs w:val="32"/>
          <w:lang w:val="en-US" w:eastAsia="zh-CN"/>
        </w:rPr>
        <w:t>企业</w:t>
      </w:r>
      <w:r>
        <w:rPr>
          <w:rFonts w:eastAsia="仿宋_GB2312"/>
          <w:color w:val="auto"/>
          <w:sz w:val="32"/>
          <w:szCs w:val="32"/>
        </w:rPr>
        <w:t>营业执照</w:t>
      </w:r>
      <w:r>
        <w:rPr>
          <w:rFonts w:hint="eastAsia" w:eastAsia="仿宋_GB2312"/>
          <w:color w:val="auto"/>
          <w:sz w:val="32"/>
          <w:szCs w:val="32"/>
          <w:lang w:eastAsia="zh-CN"/>
        </w:rPr>
        <w:t>、</w:t>
      </w:r>
      <w:r>
        <w:rPr>
          <w:rFonts w:hint="eastAsia" w:eastAsia="仿宋_GB2312"/>
          <w:color w:val="auto"/>
          <w:sz w:val="32"/>
          <w:szCs w:val="32"/>
          <w:lang w:val="en-US" w:eastAsia="zh-CN"/>
        </w:rPr>
        <w:t>项目立项、银行开户等手续，并将规范的《项目简介》（附件3）及相应资料复印件在</w:t>
      </w:r>
      <w:r>
        <w:rPr>
          <w:rFonts w:hint="eastAsia" w:ascii="仿宋_GB2312" w:hAnsi="仿宋_GB2312" w:eastAsia="仿宋_GB2312" w:cs="仿宋_GB2312"/>
          <w:color w:val="auto"/>
          <w:sz w:val="32"/>
          <w:szCs w:val="32"/>
          <w:lang w:val="en-US" w:eastAsia="zh-CN"/>
        </w:rPr>
        <w:t>招商服务中心登记留存备份。</w:t>
      </w:r>
    </w:p>
    <w:p>
      <w:pPr>
        <w:keepNext w:val="0"/>
        <w:keepLines w:val="0"/>
        <w:pageBreakBefore w:val="0"/>
        <w:widowControl w:val="0"/>
        <w:kinsoku/>
        <w:wordWrap/>
        <w:overflowPunct/>
        <w:topLinePunct w:val="0"/>
        <w:bidi w:val="0"/>
        <w:snapToGrid/>
        <w:spacing w:line="480" w:lineRule="exact"/>
        <w:ind w:firstLine="643" w:firstLineChars="200"/>
        <w:textAlignment w:val="auto"/>
        <w:rPr>
          <w:rFonts w:hint="default" w:eastAsia="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第十一条</w:t>
      </w:r>
      <w:r>
        <w:rPr>
          <w:rFonts w:hint="eastAsia" w:eastAsia="仿宋_GB2312"/>
          <w:color w:val="auto"/>
          <w:sz w:val="32"/>
          <w:szCs w:val="32"/>
          <w:lang w:val="en-US" w:eastAsia="zh-CN"/>
        </w:rPr>
        <w:t xml:space="preserve"> </w:t>
      </w:r>
      <w:r>
        <w:rPr>
          <w:rFonts w:hint="eastAsia" w:eastAsia="仿宋_GB2312"/>
          <w:b/>
          <w:bCs/>
          <w:color w:val="auto"/>
          <w:sz w:val="32"/>
          <w:szCs w:val="32"/>
          <w:lang w:val="en-US" w:eastAsia="zh-CN"/>
        </w:rPr>
        <w:t>签订正式招商引资协议。</w:t>
      </w:r>
      <w:r>
        <w:rPr>
          <w:rFonts w:hint="eastAsia" w:ascii="仿宋_GB2312" w:hAnsi="仿宋_GB2312" w:eastAsia="仿宋_GB2312" w:cs="仿宋_GB2312"/>
          <w:color w:val="auto"/>
          <w:sz w:val="32"/>
          <w:szCs w:val="32"/>
          <w:lang w:val="en-US" w:eastAsia="zh-CN"/>
        </w:rPr>
        <w:t>对应由经开区招商服务中心或其他引荐单位负责就项目投资规模、建设内容、建设时间、选址、用地面积或厂房租赁等重要条款商相关部门及拟入区企业后形成正式</w:t>
      </w:r>
      <w:r>
        <w:rPr>
          <w:rFonts w:eastAsia="仿宋_GB2312"/>
          <w:color w:val="auto"/>
          <w:sz w:val="32"/>
          <w:szCs w:val="32"/>
        </w:rPr>
        <w:t>招商引资</w:t>
      </w:r>
      <w:r>
        <w:rPr>
          <w:rFonts w:hint="eastAsia" w:eastAsia="仿宋_GB2312"/>
          <w:color w:val="auto"/>
          <w:sz w:val="32"/>
          <w:szCs w:val="32"/>
          <w:lang w:val="en-US" w:eastAsia="zh-CN"/>
        </w:rPr>
        <w:t>项目协议</w:t>
      </w:r>
      <w:r>
        <w:rPr>
          <w:rFonts w:eastAsia="仿宋_GB2312"/>
          <w:color w:val="auto"/>
          <w:sz w:val="32"/>
          <w:szCs w:val="32"/>
        </w:rPr>
        <w:t>书</w:t>
      </w:r>
      <w:r>
        <w:rPr>
          <w:rFonts w:hint="eastAsia" w:eastAsia="仿宋_GB2312"/>
          <w:color w:val="auto"/>
          <w:sz w:val="32"/>
          <w:szCs w:val="32"/>
          <w:lang w:eastAsia="zh-CN"/>
        </w:rPr>
        <w:t>。</w:t>
      </w:r>
    </w:p>
    <w:p>
      <w:pPr>
        <w:keepNext w:val="0"/>
        <w:keepLines w:val="0"/>
        <w:pageBreakBefore w:val="0"/>
        <w:widowControl w:val="0"/>
        <w:kinsoku/>
        <w:wordWrap/>
        <w:overflowPunct/>
        <w:topLinePunct w:val="0"/>
        <w:bidi w:val="0"/>
        <w:snapToGrid/>
        <w:spacing w:line="480" w:lineRule="exact"/>
        <w:ind w:firstLine="643" w:firstLineChars="200"/>
        <w:jc w:val="center"/>
        <w:textAlignment w:val="auto"/>
        <w:rPr>
          <w:rFonts w:eastAsia="仿宋_GB2312"/>
          <w:b/>
          <w:color w:val="auto"/>
          <w:sz w:val="32"/>
          <w:szCs w:val="32"/>
        </w:rPr>
      </w:pPr>
    </w:p>
    <w:p>
      <w:pPr>
        <w:keepNext w:val="0"/>
        <w:keepLines w:val="0"/>
        <w:pageBreakBefore w:val="0"/>
        <w:widowControl w:val="0"/>
        <w:kinsoku/>
        <w:wordWrap/>
        <w:overflowPunct/>
        <w:topLinePunct w:val="0"/>
        <w:bidi w:val="0"/>
        <w:snapToGrid/>
        <w:spacing w:line="480" w:lineRule="exact"/>
        <w:jc w:val="center"/>
        <w:textAlignment w:val="auto"/>
        <w:rPr>
          <w:rFonts w:eastAsia="黑体"/>
          <w:color w:val="auto"/>
          <w:sz w:val="32"/>
          <w:szCs w:val="32"/>
        </w:rPr>
      </w:pPr>
      <w:r>
        <w:rPr>
          <w:rFonts w:eastAsia="黑体"/>
          <w:color w:val="auto"/>
          <w:sz w:val="32"/>
          <w:szCs w:val="32"/>
        </w:rPr>
        <w:t xml:space="preserve">第四章  </w:t>
      </w:r>
      <w:r>
        <w:rPr>
          <w:rFonts w:hint="eastAsia" w:eastAsia="黑体"/>
          <w:color w:val="auto"/>
          <w:sz w:val="32"/>
          <w:szCs w:val="32"/>
          <w:lang w:eastAsia="zh-CN"/>
        </w:rPr>
        <w:t>入区</w:t>
      </w:r>
      <w:r>
        <w:rPr>
          <w:rFonts w:eastAsia="黑体"/>
          <w:color w:val="auto"/>
          <w:sz w:val="32"/>
          <w:szCs w:val="32"/>
        </w:rPr>
        <w:t>企业的权利和义务</w:t>
      </w:r>
    </w:p>
    <w:p>
      <w:pPr>
        <w:keepNext w:val="0"/>
        <w:keepLines w:val="0"/>
        <w:pageBreakBefore w:val="0"/>
        <w:widowControl w:val="0"/>
        <w:kinsoku/>
        <w:wordWrap/>
        <w:overflowPunct/>
        <w:topLinePunct w:val="0"/>
        <w:bidi w:val="0"/>
        <w:snapToGrid/>
        <w:spacing w:line="480" w:lineRule="exact"/>
        <w:ind w:firstLine="643" w:firstLineChars="200"/>
        <w:jc w:val="left"/>
        <w:textAlignment w:val="auto"/>
        <w:rPr>
          <w:rFonts w:eastAsia="仿宋_GB2312"/>
          <w:color w:val="auto"/>
          <w:sz w:val="32"/>
          <w:szCs w:val="32"/>
        </w:rPr>
      </w:pPr>
      <w:r>
        <w:rPr>
          <w:rFonts w:eastAsia="仿宋_GB2312"/>
          <w:b/>
          <w:color w:val="auto"/>
          <w:sz w:val="32"/>
          <w:szCs w:val="32"/>
        </w:rPr>
        <w:t>第</w:t>
      </w:r>
      <w:r>
        <w:rPr>
          <w:rFonts w:hint="eastAsia" w:eastAsia="仿宋_GB2312"/>
          <w:b/>
          <w:color w:val="auto"/>
          <w:sz w:val="32"/>
          <w:szCs w:val="32"/>
          <w:lang w:val="en-US" w:eastAsia="zh-CN"/>
        </w:rPr>
        <w:t>十二</w:t>
      </w:r>
      <w:r>
        <w:rPr>
          <w:rFonts w:eastAsia="仿宋_GB2312"/>
          <w:b/>
          <w:color w:val="auto"/>
          <w:sz w:val="32"/>
          <w:szCs w:val="32"/>
        </w:rPr>
        <w:t xml:space="preserve">条 </w:t>
      </w:r>
      <w:r>
        <w:rPr>
          <w:rFonts w:hint="eastAsia" w:eastAsia="仿宋_GB2312"/>
          <w:b/>
          <w:bCs/>
          <w:color w:val="auto"/>
          <w:sz w:val="32"/>
          <w:szCs w:val="32"/>
          <w:lang w:eastAsia="zh-CN"/>
        </w:rPr>
        <w:t>入区</w:t>
      </w:r>
      <w:r>
        <w:rPr>
          <w:rFonts w:eastAsia="仿宋_GB2312"/>
          <w:b/>
          <w:bCs/>
          <w:color w:val="auto"/>
          <w:sz w:val="32"/>
          <w:szCs w:val="32"/>
        </w:rPr>
        <w:t>企业</w:t>
      </w:r>
      <w:r>
        <w:rPr>
          <w:rFonts w:hint="eastAsia" w:eastAsia="仿宋_GB2312"/>
          <w:b/>
          <w:bCs/>
          <w:color w:val="auto"/>
          <w:sz w:val="32"/>
          <w:szCs w:val="32"/>
          <w:lang w:val="en-US" w:eastAsia="zh-CN"/>
        </w:rPr>
        <w:t>可</w:t>
      </w:r>
      <w:r>
        <w:rPr>
          <w:rFonts w:eastAsia="仿宋_GB2312"/>
          <w:b/>
          <w:bCs/>
          <w:color w:val="auto"/>
          <w:sz w:val="32"/>
          <w:szCs w:val="32"/>
        </w:rPr>
        <w:t>享受以下权利：</w:t>
      </w:r>
    </w:p>
    <w:p>
      <w:pPr>
        <w:keepNext w:val="0"/>
        <w:keepLines w:val="0"/>
        <w:pageBreakBefore w:val="0"/>
        <w:widowControl w:val="0"/>
        <w:kinsoku/>
        <w:wordWrap/>
        <w:overflowPunct/>
        <w:topLinePunct w:val="0"/>
        <w:bidi w:val="0"/>
        <w:snapToGrid/>
        <w:spacing w:line="480" w:lineRule="exact"/>
        <w:ind w:firstLine="640" w:firstLineChars="200"/>
        <w:jc w:val="left"/>
        <w:textAlignment w:val="auto"/>
        <w:rPr>
          <w:rFonts w:eastAsia="仿宋_GB2312"/>
          <w:color w:val="auto"/>
          <w:sz w:val="32"/>
          <w:szCs w:val="32"/>
        </w:rPr>
      </w:pPr>
      <w:r>
        <w:rPr>
          <w:rFonts w:eastAsia="仿宋_GB2312"/>
          <w:color w:val="auto"/>
          <w:sz w:val="32"/>
          <w:szCs w:val="32"/>
        </w:rPr>
        <w:t>（一）依法享有经营管理自主权，自行制定生产经营计划，依法筹措资金，自行采购生产资料，组织生产销售活动。</w:t>
      </w:r>
    </w:p>
    <w:p>
      <w:pPr>
        <w:pStyle w:val="2"/>
        <w:ind w:firstLine="640" w:firstLineChars="200"/>
        <w:rPr>
          <w:rFonts w:eastAsia="仿宋_GB2312"/>
          <w:color w:val="auto"/>
          <w:sz w:val="32"/>
          <w:szCs w:val="32"/>
        </w:rPr>
      </w:pPr>
      <w:r>
        <w:rPr>
          <w:rFonts w:eastAsia="仿宋_GB2312"/>
          <w:color w:val="auto"/>
          <w:sz w:val="32"/>
          <w:szCs w:val="32"/>
        </w:rPr>
        <w:t>（二）按规划统一使用</w:t>
      </w:r>
      <w:r>
        <w:rPr>
          <w:rFonts w:hint="eastAsia" w:eastAsia="仿宋_GB2312"/>
          <w:color w:val="auto"/>
          <w:sz w:val="32"/>
          <w:szCs w:val="32"/>
          <w:lang w:eastAsia="zh-CN"/>
        </w:rPr>
        <w:t>经开区</w:t>
      </w:r>
      <w:r>
        <w:rPr>
          <w:rFonts w:eastAsia="仿宋_GB2312"/>
          <w:color w:val="auto"/>
          <w:sz w:val="32"/>
          <w:szCs w:val="32"/>
        </w:rPr>
        <w:t>内的水、电、路、气、通讯等资源及公用设施。</w:t>
      </w:r>
    </w:p>
    <w:p>
      <w:pPr>
        <w:pStyle w:val="2"/>
        <w:ind w:firstLine="640" w:firstLineChars="200"/>
        <w:rPr>
          <w:rFonts w:eastAsia="仿宋_GB2312"/>
          <w:color w:val="auto"/>
          <w:sz w:val="32"/>
          <w:szCs w:val="32"/>
        </w:rPr>
      </w:pPr>
      <w:r>
        <w:rPr>
          <w:rFonts w:eastAsia="仿宋_GB2312"/>
          <w:color w:val="auto"/>
          <w:sz w:val="32"/>
          <w:szCs w:val="32"/>
        </w:rPr>
        <w:t>（三）</w:t>
      </w:r>
      <w:r>
        <w:rPr>
          <w:rFonts w:hint="eastAsia" w:eastAsia="仿宋_GB2312"/>
          <w:color w:val="auto"/>
          <w:sz w:val="32"/>
          <w:szCs w:val="32"/>
        </w:rPr>
        <w:t>享受本区各项优惠政策、扶持办法和奖励鼓励。</w:t>
      </w:r>
    </w:p>
    <w:p>
      <w:pPr>
        <w:keepNext w:val="0"/>
        <w:keepLines w:val="0"/>
        <w:pageBreakBefore w:val="0"/>
        <w:widowControl w:val="0"/>
        <w:kinsoku/>
        <w:wordWrap/>
        <w:overflowPunct/>
        <w:topLinePunct w:val="0"/>
        <w:bidi w:val="0"/>
        <w:snapToGrid/>
        <w:spacing w:line="480" w:lineRule="exact"/>
        <w:ind w:firstLine="640" w:firstLineChars="200"/>
        <w:jc w:val="left"/>
        <w:textAlignment w:val="auto"/>
        <w:rPr>
          <w:rFonts w:eastAsia="仿宋_GB2312"/>
          <w:color w:val="auto"/>
          <w:sz w:val="32"/>
          <w:szCs w:val="32"/>
        </w:rPr>
      </w:pPr>
      <w:r>
        <w:rPr>
          <w:rFonts w:eastAsia="仿宋_GB2312"/>
          <w:color w:val="auto"/>
          <w:sz w:val="32"/>
          <w:szCs w:val="32"/>
        </w:rPr>
        <w:t>（四）享受</w:t>
      </w:r>
      <w:r>
        <w:rPr>
          <w:rFonts w:hint="eastAsia" w:eastAsia="仿宋_GB2312"/>
          <w:color w:val="auto"/>
          <w:sz w:val="32"/>
          <w:szCs w:val="32"/>
        </w:rPr>
        <w:t>管委会</w:t>
      </w:r>
      <w:r>
        <w:rPr>
          <w:rFonts w:eastAsia="仿宋_GB2312"/>
          <w:color w:val="auto"/>
          <w:sz w:val="32"/>
          <w:szCs w:val="32"/>
        </w:rPr>
        <w:t>提供的各类协调服务，各</w:t>
      </w:r>
      <w:r>
        <w:rPr>
          <w:rFonts w:hint="eastAsia" w:eastAsia="仿宋_GB2312"/>
          <w:color w:val="auto"/>
          <w:sz w:val="32"/>
          <w:szCs w:val="32"/>
          <w:lang w:eastAsia="zh-CN"/>
        </w:rPr>
        <w:t>入区</w:t>
      </w:r>
      <w:r>
        <w:rPr>
          <w:rFonts w:eastAsia="仿宋_GB2312"/>
          <w:color w:val="auto"/>
          <w:sz w:val="32"/>
          <w:szCs w:val="32"/>
        </w:rPr>
        <w:t>企业在生产建设过程中的各类问题，可随时向</w:t>
      </w:r>
      <w:r>
        <w:rPr>
          <w:rFonts w:hint="eastAsia" w:eastAsia="仿宋_GB2312"/>
          <w:color w:val="auto"/>
          <w:sz w:val="32"/>
          <w:szCs w:val="32"/>
        </w:rPr>
        <w:t>管委会</w:t>
      </w:r>
      <w:r>
        <w:rPr>
          <w:rFonts w:eastAsia="仿宋_GB2312"/>
          <w:color w:val="auto"/>
          <w:sz w:val="32"/>
          <w:szCs w:val="32"/>
        </w:rPr>
        <w:t>报告，请求协调解决。</w:t>
      </w:r>
    </w:p>
    <w:p>
      <w:pPr>
        <w:keepNext w:val="0"/>
        <w:keepLines w:val="0"/>
        <w:pageBreakBefore w:val="0"/>
        <w:widowControl w:val="0"/>
        <w:kinsoku/>
        <w:wordWrap/>
        <w:overflowPunct/>
        <w:topLinePunct w:val="0"/>
        <w:bidi w:val="0"/>
        <w:snapToGrid/>
        <w:spacing w:line="480" w:lineRule="exact"/>
        <w:ind w:firstLine="640" w:firstLineChars="200"/>
        <w:textAlignment w:val="auto"/>
        <w:rPr>
          <w:rFonts w:eastAsia="仿宋_GB2312"/>
          <w:color w:val="auto"/>
          <w:kern w:val="0"/>
          <w:sz w:val="32"/>
          <w:szCs w:val="32"/>
        </w:rPr>
      </w:pPr>
      <w:r>
        <w:rPr>
          <w:rFonts w:eastAsia="仿宋_GB2312"/>
          <w:color w:val="auto"/>
          <w:kern w:val="0"/>
          <w:sz w:val="32"/>
          <w:szCs w:val="32"/>
        </w:rPr>
        <w:t>（五）享受“宁静生产”制度，</w:t>
      </w:r>
      <w:r>
        <w:rPr>
          <w:rFonts w:hint="eastAsia" w:eastAsia="仿宋_GB2312"/>
          <w:color w:val="auto"/>
          <w:kern w:val="0"/>
          <w:sz w:val="32"/>
          <w:szCs w:val="32"/>
          <w:lang w:val="en-US" w:eastAsia="zh-CN"/>
        </w:rPr>
        <w:t>除安全、消防、环境保护、食品药品安全、税收重点检查、刑事案件或其他执法等特殊、突发情况外，一般情况下，</w:t>
      </w:r>
      <w:r>
        <w:rPr>
          <w:rFonts w:eastAsia="仿宋_GB2312"/>
          <w:color w:val="auto"/>
          <w:kern w:val="0"/>
          <w:sz w:val="32"/>
          <w:szCs w:val="32"/>
        </w:rPr>
        <w:t>各部门</w:t>
      </w:r>
      <w:r>
        <w:rPr>
          <w:rFonts w:hint="eastAsia" w:eastAsia="仿宋_GB2312"/>
          <w:color w:val="auto"/>
          <w:kern w:val="0"/>
          <w:sz w:val="32"/>
          <w:szCs w:val="32"/>
          <w:lang w:val="en-US" w:eastAsia="zh-CN"/>
        </w:rPr>
        <w:t>需在</w:t>
      </w:r>
      <w:r>
        <w:rPr>
          <w:rFonts w:hint="eastAsia" w:eastAsia="仿宋_GB2312"/>
          <w:color w:val="auto"/>
          <w:kern w:val="0"/>
          <w:sz w:val="32"/>
          <w:szCs w:val="32"/>
        </w:rPr>
        <w:t>管委会</w:t>
      </w:r>
      <w:r>
        <w:rPr>
          <w:rFonts w:eastAsia="仿宋_GB2312"/>
          <w:color w:val="auto"/>
          <w:kern w:val="0"/>
          <w:sz w:val="32"/>
          <w:szCs w:val="32"/>
        </w:rPr>
        <w:t>工作人员的</w:t>
      </w:r>
      <w:r>
        <w:rPr>
          <w:rFonts w:hint="eastAsia" w:eastAsia="仿宋_GB2312"/>
          <w:color w:val="auto"/>
          <w:kern w:val="0"/>
          <w:sz w:val="32"/>
          <w:szCs w:val="32"/>
          <w:lang w:val="en-US" w:eastAsia="zh-CN"/>
        </w:rPr>
        <w:t>陪同或许可下方可到企业进行检查指导。</w:t>
      </w:r>
    </w:p>
    <w:p>
      <w:pPr>
        <w:keepNext w:val="0"/>
        <w:keepLines w:val="0"/>
        <w:pageBreakBefore w:val="0"/>
        <w:widowControl w:val="0"/>
        <w:kinsoku/>
        <w:wordWrap/>
        <w:overflowPunct/>
        <w:topLinePunct w:val="0"/>
        <w:bidi w:val="0"/>
        <w:snapToGrid/>
        <w:spacing w:line="480" w:lineRule="exact"/>
        <w:ind w:firstLine="640" w:firstLineChars="200"/>
        <w:textAlignment w:val="auto"/>
        <w:rPr>
          <w:rFonts w:eastAsia="仿宋_GB2312"/>
          <w:color w:val="auto"/>
          <w:kern w:val="0"/>
          <w:sz w:val="32"/>
          <w:szCs w:val="32"/>
        </w:rPr>
      </w:pPr>
      <w:r>
        <w:rPr>
          <w:rFonts w:hint="eastAsia" w:eastAsia="仿宋_GB2312"/>
          <w:color w:val="auto"/>
          <w:sz w:val="32"/>
          <w:szCs w:val="32"/>
          <w:lang w:eastAsia="zh-CN"/>
        </w:rPr>
        <w:t>（</w:t>
      </w:r>
      <w:r>
        <w:rPr>
          <w:rFonts w:hint="eastAsia" w:eastAsia="仿宋_GB2312"/>
          <w:color w:val="auto"/>
          <w:sz w:val="32"/>
          <w:szCs w:val="32"/>
          <w:lang w:val="en-US" w:eastAsia="zh-CN"/>
        </w:rPr>
        <w:t>六</w:t>
      </w:r>
      <w:r>
        <w:rPr>
          <w:rFonts w:hint="eastAsia" w:eastAsia="仿宋_GB2312"/>
          <w:color w:val="auto"/>
          <w:sz w:val="32"/>
          <w:szCs w:val="32"/>
          <w:lang w:eastAsia="zh-CN"/>
        </w:rPr>
        <w:t>）</w:t>
      </w:r>
      <w:r>
        <w:rPr>
          <w:rFonts w:eastAsia="仿宋_GB2312"/>
          <w:color w:val="auto"/>
          <w:sz w:val="32"/>
          <w:szCs w:val="32"/>
        </w:rPr>
        <w:t>除按照相关规定缴纳有关税费外，任何单位不得非法向企业摊派或收取费用；对乱摊派、乱收费的，企业有权拒交，并向</w:t>
      </w:r>
      <w:r>
        <w:rPr>
          <w:rFonts w:hint="eastAsia" w:eastAsia="仿宋_GB2312"/>
          <w:color w:val="auto"/>
          <w:kern w:val="0"/>
          <w:sz w:val="32"/>
          <w:szCs w:val="32"/>
        </w:rPr>
        <w:t>管委会</w:t>
      </w:r>
      <w:r>
        <w:rPr>
          <w:rFonts w:eastAsia="仿宋_GB2312"/>
          <w:color w:val="auto"/>
          <w:kern w:val="0"/>
          <w:sz w:val="32"/>
          <w:szCs w:val="32"/>
        </w:rPr>
        <w:t>举报。</w:t>
      </w:r>
    </w:p>
    <w:p>
      <w:pPr>
        <w:keepNext w:val="0"/>
        <w:keepLines w:val="0"/>
        <w:pageBreakBefore w:val="0"/>
        <w:widowControl w:val="0"/>
        <w:kinsoku/>
        <w:wordWrap/>
        <w:overflowPunct/>
        <w:topLinePunct w:val="0"/>
        <w:bidi w:val="0"/>
        <w:snapToGrid/>
        <w:spacing w:line="480" w:lineRule="exact"/>
        <w:ind w:firstLine="643" w:firstLineChars="200"/>
        <w:textAlignment w:val="auto"/>
        <w:rPr>
          <w:rFonts w:eastAsia="仿宋_GB2312"/>
          <w:b/>
          <w:bCs/>
          <w:color w:val="auto"/>
          <w:sz w:val="32"/>
          <w:szCs w:val="32"/>
        </w:rPr>
      </w:pPr>
      <w:r>
        <w:rPr>
          <w:rFonts w:eastAsia="仿宋_GB2312"/>
          <w:b/>
          <w:color w:val="auto"/>
          <w:sz w:val="32"/>
          <w:szCs w:val="32"/>
        </w:rPr>
        <w:t>第</w:t>
      </w:r>
      <w:r>
        <w:rPr>
          <w:rFonts w:hint="eastAsia" w:eastAsia="仿宋_GB2312"/>
          <w:b/>
          <w:color w:val="auto"/>
          <w:sz w:val="32"/>
          <w:szCs w:val="32"/>
          <w:lang w:val="en-US" w:eastAsia="zh-CN"/>
        </w:rPr>
        <w:t>十三</w:t>
      </w:r>
      <w:r>
        <w:rPr>
          <w:rFonts w:eastAsia="仿宋_GB2312"/>
          <w:b/>
          <w:color w:val="auto"/>
          <w:sz w:val="32"/>
          <w:szCs w:val="32"/>
        </w:rPr>
        <w:t>条</w:t>
      </w:r>
      <w:r>
        <w:rPr>
          <w:rFonts w:eastAsia="仿宋_GB2312"/>
          <w:color w:val="auto"/>
          <w:sz w:val="32"/>
          <w:szCs w:val="32"/>
        </w:rPr>
        <w:t xml:space="preserve"> </w:t>
      </w:r>
      <w:r>
        <w:rPr>
          <w:rFonts w:hint="eastAsia" w:eastAsia="仿宋_GB2312"/>
          <w:b/>
          <w:bCs/>
          <w:color w:val="auto"/>
          <w:sz w:val="32"/>
          <w:szCs w:val="32"/>
          <w:lang w:eastAsia="zh-CN"/>
        </w:rPr>
        <w:t>入区</w:t>
      </w:r>
      <w:r>
        <w:rPr>
          <w:rFonts w:eastAsia="仿宋_GB2312"/>
          <w:b/>
          <w:bCs/>
          <w:color w:val="auto"/>
          <w:sz w:val="32"/>
          <w:szCs w:val="32"/>
        </w:rPr>
        <w:t>企业必须</w:t>
      </w:r>
      <w:r>
        <w:rPr>
          <w:rFonts w:hint="eastAsia" w:eastAsia="仿宋_GB2312"/>
          <w:b/>
          <w:bCs/>
          <w:color w:val="auto"/>
          <w:sz w:val="32"/>
          <w:szCs w:val="32"/>
          <w:lang w:val="en-US" w:eastAsia="zh-CN"/>
        </w:rPr>
        <w:t>履行的义务</w:t>
      </w:r>
      <w:r>
        <w:rPr>
          <w:rFonts w:eastAsia="仿宋_GB2312"/>
          <w:b/>
          <w:bCs/>
          <w:color w:val="auto"/>
          <w:sz w:val="32"/>
          <w:szCs w:val="32"/>
        </w:rPr>
        <w:t>：</w:t>
      </w:r>
    </w:p>
    <w:p>
      <w:pPr>
        <w:keepNext w:val="0"/>
        <w:keepLines w:val="0"/>
        <w:pageBreakBefore w:val="0"/>
        <w:widowControl w:val="0"/>
        <w:kinsoku/>
        <w:wordWrap/>
        <w:overflowPunct/>
        <w:topLinePunct w:val="0"/>
        <w:bidi w:val="0"/>
        <w:snapToGrid/>
        <w:spacing w:line="480" w:lineRule="exact"/>
        <w:ind w:firstLine="643" w:firstLineChars="200"/>
        <w:textAlignment w:val="auto"/>
        <w:rPr>
          <w:rFonts w:eastAsia="仿宋_GB2312"/>
          <w:color w:val="auto"/>
          <w:sz w:val="32"/>
          <w:szCs w:val="32"/>
        </w:rPr>
      </w:pPr>
      <w:r>
        <w:rPr>
          <w:rFonts w:eastAsia="仿宋_GB2312"/>
          <w:b/>
          <w:bCs/>
          <w:color w:val="auto"/>
          <w:sz w:val="32"/>
          <w:szCs w:val="32"/>
        </w:rPr>
        <w:t>（一）</w:t>
      </w:r>
      <w:r>
        <w:rPr>
          <w:rFonts w:eastAsia="仿宋_GB2312"/>
          <w:color w:val="auto"/>
          <w:sz w:val="32"/>
          <w:szCs w:val="32"/>
        </w:rPr>
        <w:t>必须遵守国家法律法规，合法建设经营，服从</w:t>
      </w:r>
      <w:r>
        <w:rPr>
          <w:rFonts w:hint="eastAsia" w:eastAsia="仿宋_GB2312"/>
          <w:color w:val="auto"/>
          <w:sz w:val="32"/>
          <w:szCs w:val="32"/>
        </w:rPr>
        <w:t>管委会</w:t>
      </w:r>
      <w:r>
        <w:rPr>
          <w:rFonts w:eastAsia="仿宋_GB2312"/>
          <w:color w:val="auto"/>
          <w:sz w:val="32"/>
          <w:szCs w:val="32"/>
        </w:rPr>
        <w:t>及属地政府的统一管理，按时参加</w:t>
      </w:r>
      <w:r>
        <w:rPr>
          <w:rFonts w:hint="eastAsia" w:eastAsia="仿宋_GB2312"/>
          <w:color w:val="auto"/>
          <w:sz w:val="32"/>
          <w:szCs w:val="32"/>
        </w:rPr>
        <w:t>管委会</w:t>
      </w:r>
      <w:r>
        <w:rPr>
          <w:rFonts w:eastAsia="仿宋_GB2312"/>
          <w:color w:val="auto"/>
          <w:sz w:val="32"/>
          <w:szCs w:val="32"/>
        </w:rPr>
        <w:t>组织的各类活动。</w:t>
      </w:r>
    </w:p>
    <w:p>
      <w:pPr>
        <w:keepNext w:val="0"/>
        <w:keepLines w:val="0"/>
        <w:pageBreakBefore w:val="0"/>
        <w:widowControl w:val="0"/>
        <w:kinsoku/>
        <w:wordWrap/>
        <w:overflowPunct/>
        <w:topLinePunct w:val="0"/>
        <w:bidi w:val="0"/>
        <w:snapToGrid/>
        <w:spacing w:line="480" w:lineRule="exact"/>
        <w:ind w:firstLine="643" w:firstLineChars="200"/>
        <w:textAlignment w:val="auto"/>
        <w:rPr>
          <w:rFonts w:eastAsia="仿宋_GB2312"/>
          <w:color w:val="auto"/>
          <w:sz w:val="32"/>
          <w:szCs w:val="32"/>
        </w:rPr>
      </w:pPr>
      <w:r>
        <w:rPr>
          <w:rFonts w:ascii="Times New Roman" w:hAnsi="Times New Roman" w:eastAsia="仿宋_GB2312" w:cs="Times New Roman"/>
          <w:b/>
          <w:bCs/>
          <w:color w:val="auto"/>
          <w:sz w:val="32"/>
          <w:szCs w:val="32"/>
        </w:rPr>
        <w:t>（二）</w:t>
      </w:r>
      <w:r>
        <w:rPr>
          <w:rFonts w:eastAsia="仿宋_GB2312"/>
          <w:color w:val="auto"/>
          <w:sz w:val="32"/>
          <w:szCs w:val="32"/>
        </w:rPr>
        <w:t>必须遵守国家、省、市、县环境保护相关政策、规划要求，切实落实各项生态环境保护和污染防治措施。</w:t>
      </w:r>
    </w:p>
    <w:p>
      <w:pPr>
        <w:keepNext w:val="0"/>
        <w:keepLines w:val="0"/>
        <w:pageBreakBefore w:val="0"/>
        <w:widowControl w:val="0"/>
        <w:kinsoku/>
        <w:wordWrap/>
        <w:overflowPunct/>
        <w:topLinePunct w:val="0"/>
        <w:bidi w:val="0"/>
        <w:snapToGrid/>
        <w:spacing w:line="480" w:lineRule="exact"/>
        <w:ind w:firstLine="643" w:firstLineChars="200"/>
        <w:textAlignment w:val="auto"/>
        <w:rPr>
          <w:rFonts w:hint="eastAsia"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b/>
          <w:bCs/>
          <w:color w:val="auto"/>
          <w:sz w:val="32"/>
          <w:szCs w:val="32"/>
        </w:rPr>
        <w:t>（三）</w:t>
      </w:r>
      <w:r>
        <w:rPr>
          <w:rFonts w:eastAsia="仿宋_GB2312"/>
          <w:color w:val="auto"/>
          <w:sz w:val="32"/>
          <w:szCs w:val="32"/>
        </w:rPr>
        <w:t>必须坚持“诚信经营、严格履约、遵纪守法、依法纳税、管理规范、高效务实”的原则，加快项目建设，</w:t>
      </w:r>
      <w:r>
        <w:rPr>
          <w:rFonts w:hint="eastAsia" w:eastAsia="仿宋_GB2312"/>
          <w:color w:val="auto"/>
          <w:sz w:val="32"/>
          <w:szCs w:val="32"/>
        </w:rPr>
        <w:t>在</w:t>
      </w:r>
      <w:r>
        <w:rPr>
          <w:rFonts w:eastAsia="仿宋_GB2312"/>
          <w:color w:val="auto"/>
          <w:sz w:val="32"/>
          <w:szCs w:val="32"/>
        </w:rPr>
        <w:t>遵守项目建设程序、安全生产、环保节能等方面的管理规定</w:t>
      </w:r>
      <w:r>
        <w:rPr>
          <w:rFonts w:hint="eastAsia" w:eastAsia="仿宋_GB2312"/>
          <w:color w:val="auto"/>
          <w:sz w:val="32"/>
          <w:szCs w:val="32"/>
        </w:rPr>
        <w:t>的前提下</w:t>
      </w:r>
      <w:r>
        <w:rPr>
          <w:rFonts w:eastAsia="仿宋_GB2312"/>
          <w:color w:val="auto"/>
          <w:sz w:val="32"/>
          <w:szCs w:val="32"/>
        </w:rPr>
        <w:t>，保证投资项目</w:t>
      </w:r>
      <w:r>
        <w:rPr>
          <w:rFonts w:hint="eastAsia" w:eastAsia="仿宋_GB2312"/>
          <w:color w:val="auto"/>
          <w:sz w:val="32"/>
          <w:szCs w:val="32"/>
        </w:rPr>
        <w:t>按期</w:t>
      </w:r>
      <w:r>
        <w:rPr>
          <w:rFonts w:eastAsia="仿宋_GB2312"/>
          <w:color w:val="auto"/>
          <w:sz w:val="32"/>
          <w:szCs w:val="32"/>
        </w:rPr>
        <w:t>投产达效，发挥好经济和社会效益。</w:t>
      </w:r>
    </w:p>
    <w:p>
      <w:pPr>
        <w:keepNext w:val="0"/>
        <w:keepLines w:val="0"/>
        <w:pageBreakBefore w:val="0"/>
        <w:widowControl w:val="0"/>
        <w:kinsoku/>
        <w:wordWrap/>
        <w:overflowPunct/>
        <w:topLinePunct w:val="0"/>
        <w:bidi w:val="0"/>
        <w:snapToGrid/>
        <w:spacing w:line="480" w:lineRule="exact"/>
        <w:ind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b/>
          <w:bCs/>
          <w:color w:val="auto"/>
          <w:sz w:val="32"/>
          <w:szCs w:val="32"/>
          <w:lang w:val="en-US" w:eastAsia="zh-CN"/>
        </w:rPr>
        <w:t>（四）</w:t>
      </w:r>
      <w:r>
        <w:rPr>
          <w:rFonts w:eastAsia="仿宋_GB2312"/>
          <w:color w:val="auto"/>
          <w:kern w:val="0"/>
          <w:sz w:val="32"/>
          <w:szCs w:val="32"/>
        </w:rPr>
        <w:t>建设用地</w:t>
      </w:r>
      <w:r>
        <w:rPr>
          <w:rFonts w:hint="eastAsia" w:eastAsia="仿宋_GB2312"/>
          <w:color w:val="auto"/>
          <w:kern w:val="0"/>
          <w:sz w:val="32"/>
          <w:szCs w:val="32"/>
          <w:lang w:val="en-US" w:eastAsia="zh-CN"/>
        </w:rPr>
        <w:t>必须</w:t>
      </w:r>
      <w:r>
        <w:rPr>
          <w:rFonts w:eastAsia="仿宋_GB2312"/>
          <w:color w:val="auto"/>
          <w:kern w:val="0"/>
          <w:sz w:val="32"/>
          <w:szCs w:val="32"/>
        </w:rPr>
        <w:t>严格遵守国家土地管理法律法规，</w:t>
      </w:r>
      <w:r>
        <w:rPr>
          <w:rFonts w:hAnsi="仿宋_GB2312" w:eastAsia="仿宋_GB2312"/>
          <w:color w:val="auto"/>
          <w:sz w:val="32"/>
          <w:szCs w:val="32"/>
        </w:rPr>
        <w:t>禁止改变</w:t>
      </w:r>
      <w:r>
        <w:rPr>
          <w:rFonts w:hint="eastAsia" w:eastAsia="仿宋_GB2312"/>
          <w:color w:val="auto"/>
          <w:sz w:val="32"/>
          <w:szCs w:val="32"/>
          <w:lang w:val="en-US" w:eastAsia="zh-CN"/>
        </w:rPr>
        <w:t>经开</w:t>
      </w:r>
      <w:r>
        <w:rPr>
          <w:rFonts w:hint="eastAsia" w:eastAsia="仿宋_GB2312"/>
          <w:color w:val="auto"/>
          <w:sz w:val="32"/>
          <w:szCs w:val="32"/>
        </w:rPr>
        <w:t>区</w:t>
      </w:r>
      <w:r>
        <w:rPr>
          <w:rFonts w:hAnsi="仿宋_GB2312" w:eastAsia="仿宋_GB2312"/>
          <w:color w:val="auto"/>
          <w:sz w:val="32"/>
          <w:szCs w:val="32"/>
        </w:rPr>
        <w:t>内</w:t>
      </w:r>
      <w:r>
        <w:rPr>
          <w:rFonts w:hint="eastAsia" w:hAnsi="仿宋_GB2312" w:eastAsia="仿宋_GB2312"/>
          <w:color w:val="auto"/>
          <w:sz w:val="32"/>
          <w:szCs w:val="32"/>
        </w:rPr>
        <w:t>土地</w:t>
      </w:r>
      <w:r>
        <w:rPr>
          <w:rFonts w:hAnsi="仿宋_GB2312" w:eastAsia="仿宋_GB2312"/>
          <w:color w:val="auto"/>
          <w:sz w:val="32"/>
          <w:szCs w:val="32"/>
        </w:rPr>
        <w:t>和建筑物</w:t>
      </w:r>
      <w:r>
        <w:rPr>
          <w:rFonts w:hint="eastAsia" w:hAnsi="仿宋_GB2312" w:eastAsia="仿宋_GB2312"/>
          <w:color w:val="auto"/>
          <w:sz w:val="32"/>
          <w:szCs w:val="32"/>
        </w:rPr>
        <w:t>规划</w:t>
      </w:r>
      <w:r>
        <w:rPr>
          <w:rFonts w:hAnsi="仿宋_GB2312" w:eastAsia="仿宋_GB2312"/>
          <w:color w:val="auto"/>
          <w:sz w:val="32"/>
          <w:szCs w:val="32"/>
        </w:rPr>
        <w:t>功能。</w:t>
      </w:r>
      <w:r>
        <w:rPr>
          <w:rFonts w:hint="eastAsia" w:hAnsi="仿宋_GB2312" w:eastAsia="仿宋_GB2312"/>
          <w:color w:val="auto"/>
          <w:sz w:val="32"/>
          <w:szCs w:val="32"/>
          <w:lang w:val="en-US" w:eastAsia="zh-CN"/>
        </w:rPr>
        <w:t>须</w:t>
      </w:r>
      <w:r>
        <w:rPr>
          <w:rFonts w:hint="eastAsia" w:ascii="Times New Roman" w:hAnsi="Times New Roman" w:eastAsia="仿宋_GB2312" w:cs="Times New Roman"/>
          <w:color w:val="auto"/>
          <w:kern w:val="2"/>
          <w:sz w:val="32"/>
          <w:szCs w:val="32"/>
          <w:lang w:val="en-US" w:eastAsia="zh-CN" w:bidi="ar-SA"/>
        </w:rPr>
        <w:t>严格按照招商引资</w:t>
      </w:r>
      <w:r>
        <w:rPr>
          <w:rFonts w:ascii="Times New Roman" w:hAnsi="Times New Roman" w:eastAsia="仿宋_GB2312" w:cs="Times New Roman"/>
          <w:color w:val="auto"/>
          <w:kern w:val="2"/>
          <w:sz w:val="32"/>
          <w:szCs w:val="32"/>
          <w:lang w:val="en-US" w:eastAsia="zh-CN" w:bidi="ar-SA"/>
        </w:rPr>
        <w:t>协议</w:t>
      </w:r>
      <w:r>
        <w:rPr>
          <w:rFonts w:hint="eastAsia" w:ascii="Times New Roman" w:hAnsi="Times New Roman" w:eastAsia="仿宋_GB2312" w:cs="Times New Roman"/>
          <w:color w:val="auto"/>
          <w:kern w:val="2"/>
          <w:sz w:val="32"/>
          <w:szCs w:val="32"/>
          <w:lang w:val="en-US" w:eastAsia="zh-CN" w:bidi="ar-SA"/>
        </w:rPr>
        <w:t>中</w:t>
      </w:r>
      <w:r>
        <w:rPr>
          <w:rFonts w:ascii="Times New Roman" w:hAnsi="Times New Roman" w:eastAsia="仿宋_GB2312" w:cs="Times New Roman"/>
          <w:color w:val="auto"/>
          <w:kern w:val="2"/>
          <w:sz w:val="32"/>
          <w:szCs w:val="32"/>
          <w:lang w:val="en-US" w:eastAsia="zh-CN" w:bidi="ar-SA"/>
        </w:rPr>
        <w:t>约定</w:t>
      </w:r>
      <w:r>
        <w:rPr>
          <w:rFonts w:hint="eastAsia" w:ascii="Times New Roman" w:hAnsi="Times New Roman" w:eastAsia="仿宋_GB2312" w:cs="Times New Roman"/>
          <w:color w:val="auto"/>
          <w:kern w:val="2"/>
          <w:sz w:val="32"/>
          <w:szCs w:val="32"/>
          <w:lang w:val="en-US" w:eastAsia="zh-CN" w:bidi="ar-SA"/>
        </w:rPr>
        <w:t>的</w:t>
      </w:r>
      <w:r>
        <w:rPr>
          <w:rFonts w:ascii="Times New Roman" w:hAnsi="Times New Roman" w:eastAsia="仿宋_GB2312" w:cs="Times New Roman"/>
          <w:color w:val="auto"/>
          <w:kern w:val="2"/>
          <w:sz w:val="32"/>
          <w:szCs w:val="32"/>
          <w:lang w:val="en-US" w:eastAsia="zh-CN" w:bidi="ar-SA"/>
        </w:rPr>
        <w:t>投资期限如期完工</w:t>
      </w:r>
      <w:r>
        <w:rPr>
          <w:rFonts w:hint="eastAsia" w:ascii="Times New Roman" w:hAnsi="Times New Roman" w:eastAsia="仿宋_GB2312" w:cs="Times New Roman"/>
          <w:color w:val="auto"/>
          <w:kern w:val="2"/>
          <w:sz w:val="32"/>
          <w:szCs w:val="32"/>
          <w:lang w:val="en-US" w:eastAsia="zh-CN" w:bidi="ar-SA"/>
        </w:rPr>
        <w:t>，且</w:t>
      </w:r>
      <w:r>
        <w:rPr>
          <w:rFonts w:ascii="Times New Roman" w:hAnsi="Times New Roman" w:eastAsia="仿宋_GB2312" w:cs="Times New Roman"/>
          <w:color w:val="auto"/>
          <w:kern w:val="2"/>
          <w:sz w:val="32"/>
          <w:szCs w:val="32"/>
          <w:lang w:val="en-US" w:eastAsia="zh-CN" w:bidi="ar-SA"/>
        </w:rPr>
        <w:t>土地利用率</w:t>
      </w:r>
      <w:r>
        <w:rPr>
          <w:rFonts w:hint="eastAsia" w:ascii="Times New Roman" w:hAnsi="Times New Roman" w:eastAsia="仿宋_GB2312" w:cs="Times New Roman"/>
          <w:color w:val="auto"/>
          <w:kern w:val="2"/>
          <w:sz w:val="32"/>
          <w:szCs w:val="32"/>
          <w:lang w:val="en-US" w:eastAsia="zh-CN" w:bidi="ar-SA"/>
        </w:rPr>
        <w:t>须</w:t>
      </w:r>
      <w:r>
        <w:rPr>
          <w:rFonts w:ascii="Times New Roman" w:hAnsi="Times New Roman" w:eastAsia="仿宋_GB2312" w:cs="Times New Roman"/>
          <w:color w:val="auto"/>
          <w:kern w:val="2"/>
          <w:sz w:val="32"/>
          <w:szCs w:val="32"/>
          <w:lang w:val="en-US" w:eastAsia="zh-CN" w:bidi="ar-SA"/>
        </w:rPr>
        <w:t>达到协议约定的</w:t>
      </w:r>
      <w:r>
        <w:rPr>
          <w:rFonts w:hint="eastAsia" w:ascii="Times New Roman" w:hAnsi="Times New Roman" w:eastAsia="仿宋_GB2312" w:cs="Times New Roman"/>
          <w:color w:val="auto"/>
          <w:kern w:val="2"/>
          <w:sz w:val="32"/>
          <w:szCs w:val="32"/>
          <w:lang w:val="en-US" w:eastAsia="zh-CN" w:bidi="ar-SA"/>
        </w:rPr>
        <w:t>要求</w:t>
      </w:r>
      <w:r>
        <w:rPr>
          <w:rFonts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否则严格按照</w:t>
      </w:r>
      <w:r>
        <w:rPr>
          <w:rFonts w:ascii="Times New Roman" w:hAnsi="Times New Roman" w:eastAsia="仿宋_GB2312" w:cs="Times New Roman"/>
          <w:color w:val="auto"/>
          <w:kern w:val="2"/>
          <w:sz w:val="32"/>
          <w:szCs w:val="32"/>
          <w:lang w:val="en-US" w:eastAsia="zh-CN" w:bidi="ar-SA"/>
        </w:rPr>
        <w:t>国土资源部《闲置土地处理办法》</w:t>
      </w:r>
      <w:r>
        <w:rPr>
          <w:rFonts w:hint="eastAsia" w:ascii="Times New Roman" w:hAnsi="Times New Roman" w:eastAsia="仿宋_GB2312" w:cs="Times New Roman"/>
          <w:color w:val="auto"/>
          <w:kern w:val="2"/>
          <w:sz w:val="32"/>
          <w:szCs w:val="32"/>
          <w:lang w:val="en-US" w:eastAsia="zh-CN" w:bidi="ar-SA"/>
        </w:rPr>
        <w:t>和《土地出让协议》</w:t>
      </w:r>
      <w:r>
        <w:rPr>
          <w:rFonts w:hint="eastAsia" w:eastAsia="仿宋_GB2312" w:cs="Times New Roman"/>
          <w:color w:val="auto"/>
          <w:kern w:val="2"/>
          <w:sz w:val="32"/>
          <w:szCs w:val="32"/>
          <w:lang w:val="en-US" w:eastAsia="zh-CN" w:bidi="ar-SA"/>
        </w:rPr>
        <w:t>处理</w:t>
      </w:r>
      <w:r>
        <w:rPr>
          <w:rFonts w:hint="eastAsia" w:ascii="Times New Roman"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N w:val="0"/>
        <w:bidi w:val="0"/>
        <w:snapToGrid/>
        <w:spacing w:line="480" w:lineRule="exact"/>
        <w:ind w:firstLine="643" w:firstLineChars="200"/>
        <w:jc w:val="left"/>
        <w:textAlignment w:val="auto"/>
        <w:rPr>
          <w:rFonts w:eastAsia="仿宋_GB2312"/>
          <w:b/>
          <w:color w:val="auto"/>
          <w:sz w:val="32"/>
          <w:szCs w:val="32"/>
        </w:rPr>
      </w:pPr>
      <w:r>
        <w:rPr>
          <w:rFonts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lang w:val="en-US" w:eastAsia="zh-CN"/>
        </w:rPr>
        <w:t>五</w:t>
      </w:r>
      <w:r>
        <w:rPr>
          <w:rFonts w:ascii="Times New Roman" w:hAnsi="Times New Roman" w:eastAsia="仿宋_GB2312" w:cs="Times New Roman"/>
          <w:b/>
          <w:bCs/>
          <w:color w:val="auto"/>
          <w:sz w:val="32"/>
          <w:szCs w:val="32"/>
        </w:rPr>
        <w:t>）</w:t>
      </w:r>
      <w:r>
        <w:rPr>
          <w:rFonts w:hAnsi="仿宋_GB2312" w:eastAsia="仿宋_GB2312"/>
          <w:color w:val="auto"/>
          <w:sz w:val="32"/>
          <w:szCs w:val="32"/>
        </w:rPr>
        <w:t>应建立健全财务会计、统计报表制度，明确专员负责与</w:t>
      </w:r>
      <w:r>
        <w:rPr>
          <w:rFonts w:hint="eastAsia" w:hAnsi="仿宋_GB2312" w:eastAsia="仿宋_GB2312"/>
          <w:color w:val="auto"/>
          <w:sz w:val="32"/>
          <w:szCs w:val="32"/>
        </w:rPr>
        <w:t>管委会</w:t>
      </w:r>
      <w:r>
        <w:rPr>
          <w:rFonts w:hAnsi="仿宋_GB2312" w:eastAsia="仿宋_GB2312"/>
          <w:color w:val="auto"/>
          <w:sz w:val="32"/>
          <w:szCs w:val="32"/>
        </w:rPr>
        <w:t>进行业务衔接，按时向</w:t>
      </w:r>
      <w:r>
        <w:rPr>
          <w:rFonts w:hint="eastAsia" w:hAnsi="仿宋_GB2312" w:eastAsia="仿宋_GB2312"/>
          <w:color w:val="auto"/>
          <w:sz w:val="32"/>
          <w:szCs w:val="32"/>
        </w:rPr>
        <w:t>管委会</w:t>
      </w:r>
      <w:r>
        <w:rPr>
          <w:rFonts w:eastAsia="仿宋_GB2312"/>
          <w:color w:val="auto"/>
          <w:sz w:val="32"/>
          <w:szCs w:val="32"/>
        </w:rPr>
        <w:t>报送</w:t>
      </w:r>
      <w:r>
        <w:rPr>
          <w:rFonts w:hint="eastAsia" w:eastAsia="仿宋_GB2312"/>
          <w:color w:val="auto"/>
          <w:sz w:val="32"/>
          <w:szCs w:val="32"/>
          <w:lang w:val="en-US" w:eastAsia="zh-CN"/>
        </w:rPr>
        <w:t>相关</w:t>
      </w:r>
      <w:r>
        <w:rPr>
          <w:rFonts w:eastAsia="仿宋_GB2312"/>
          <w:color w:val="auto"/>
          <w:sz w:val="32"/>
          <w:szCs w:val="32"/>
        </w:rPr>
        <w:t>统计报表</w:t>
      </w:r>
      <w:r>
        <w:rPr>
          <w:rFonts w:hint="eastAsia" w:eastAsia="仿宋_GB2312"/>
          <w:color w:val="auto"/>
          <w:sz w:val="32"/>
          <w:szCs w:val="32"/>
          <w:u w:val="none"/>
          <w:lang w:eastAsia="zh-CN"/>
        </w:rPr>
        <w:t>，</w:t>
      </w:r>
      <w:r>
        <w:rPr>
          <w:rFonts w:hint="eastAsia" w:ascii="Times New Roman" w:hAnsi="仿宋_GB2312" w:eastAsia="仿宋_GB2312" w:cs="Times New Roman"/>
          <w:color w:val="auto"/>
          <w:kern w:val="2"/>
          <w:sz w:val="32"/>
          <w:szCs w:val="32"/>
          <w:u w:val="none"/>
          <w:lang w:val="en-US" w:eastAsia="zh-CN" w:bidi="ar-SA"/>
        </w:rPr>
        <w:t>达到规模以上统计口径的企业，按时报送国家统计联网直报统计报表</w:t>
      </w:r>
      <w:r>
        <w:rPr>
          <w:rFonts w:eastAsia="仿宋_GB2312"/>
          <w:color w:val="auto"/>
          <w:sz w:val="32"/>
          <w:szCs w:val="32"/>
          <w:u w:val="none"/>
        </w:rPr>
        <w:t>。</w:t>
      </w:r>
      <w:r>
        <w:rPr>
          <w:rFonts w:eastAsia="仿宋_GB2312"/>
          <w:color w:val="auto"/>
          <w:sz w:val="32"/>
          <w:szCs w:val="32"/>
        </w:rPr>
        <w:t>在建</w:t>
      </w:r>
      <w:r>
        <w:rPr>
          <w:rFonts w:hint="eastAsia" w:eastAsia="仿宋_GB2312"/>
          <w:color w:val="auto"/>
          <w:sz w:val="32"/>
          <w:szCs w:val="32"/>
          <w:lang w:val="en-US" w:eastAsia="zh-CN"/>
        </w:rPr>
        <w:t>期间</w:t>
      </w:r>
      <w:r>
        <w:rPr>
          <w:rFonts w:eastAsia="仿宋_GB2312"/>
          <w:color w:val="auto"/>
          <w:sz w:val="32"/>
          <w:szCs w:val="32"/>
        </w:rPr>
        <w:t>每月定期向</w:t>
      </w:r>
      <w:r>
        <w:rPr>
          <w:rFonts w:hint="eastAsia" w:eastAsia="仿宋_GB2312"/>
          <w:color w:val="auto"/>
          <w:sz w:val="32"/>
          <w:szCs w:val="32"/>
        </w:rPr>
        <w:t>管委会</w:t>
      </w:r>
      <w:r>
        <w:rPr>
          <w:rFonts w:eastAsia="仿宋_GB2312"/>
          <w:color w:val="auto"/>
          <w:sz w:val="32"/>
          <w:szCs w:val="32"/>
        </w:rPr>
        <w:t>及</w:t>
      </w:r>
      <w:r>
        <w:rPr>
          <w:rFonts w:hAnsi="仿宋_GB2312" w:eastAsia="仿宋_GB2312"/>
          <w:color w:val="auto"/>
          <w:sz w:val="32"/>
          <w:szCs w:val="32"/>
        </w:rPr>
        <w:t>属地政府报送《</w:t>
      </w:r>
      <w:r>
        <w:rPr>
          <w:rFonts w:hint="eastAsia" w:hAnsi="仿宋_GB2312" w:eastAsia="仿宋_GB2312"/>
          <w:color w:val="auto"/>
          <w:sz w:val="32"/>
          <w:szCs w:val="32"/>
        </w:rPr>
        <w:t>固定资产投资完成情况月报表</w:t>
      </w:r>
      <w:r>
        <w:rPr>
          <w:rFonts w:hAnsi="仿宋_GB2312" w:eastAsia="仿宋_GB2312"/>
          <w:color w:val="auto"/>
          <w:sz w:val="32"/>
          <w:szCs w:val="32"/>
        </w:rPr>
        <w:t>》</w:t>
      </w:r>
      <w:r>
        <w:rPr>
          <w:rFonts w:hint="eastAsia" w:hAnsi="仿宋_GB2312" w:eastAsia="仿宋_GB2312"/>
          <w:color w:val="auto"/>
          <w:sz w:val="32"/>
          <w:szCs w:val="32"/>
        </w:rPr>
        <w:t>（附件4）</w:t>
      </w:r>
      <w:r>
        <w:rPr>
          <w:rFonts w:hAnsi="仿宋_GB2312" w:eastAsia="仿宋_GB2312"/>
          <w:color w:val="auto"/>
          <w:sz w:val="32"/>
          <w:szCs w:val="32"/>
        </w:rPr>
        <w:t>和《工程形象进度月报表》</w:t>
      </w:r>
      <w:r>
        <w:rPr>
          <w:rFonts w:hint="eastAsia" w:hAnsi="仿宋_GB2312" w:eastAsia="仿宋_GB2312"/>
          <w:color w:val="auto"/>
          <w:sz w:val="32"/>
          <w:szCs w:val="32"/>
        </w:rPr>
        <w:t>（附件5）</w:t>
      </w:r>
      <w:r>
        <w:rPr>
          <w:rFonts w:hAnsi="仿宋_GB2312" w:eastAsia="仿宋_GB2312"/>
          <w:color w:val="auto"/>
          <w:sz w:val="32"/>
          <w:szCs w:val="32"/>
        </w:rPr>
        <w:t>及次月《工程计划进度月报表》</w:t>
      </w:r>
      <w:r>
        <w:rPr>
          <w:rFonts w:hint="eastAsia" w:hAnsi="仿宋_GB2312" w:eastAsia="仿宋_GB2312"/>
          <w:color w:val="auto"/>
          <w:sz w:val="32"/>
          <w:szCs w:val="32"/>
        </w:rPr>
        <w:t>（附件6）并附工程形象进度照片</w:t>
      </w:r>
      <w:r>
        <w:rPr>
          <w:rFonts w:hAnsi="仿宋_GB2312" w:eastAsia="仿宋_GB2312"/>
          <w:color w:val="auto"/>
          <w:sz w:val="32"/>
          <w:szCs w:val="32"/>
        </w:rPr>
        <w:t>。</w:t>
      </w:r>
      <w:r>
        <w:rPr>
          <w:rFonts w:eastAsia="仿宋_GB2312"/>
          <w:color w:val="auto"/>
          <w:sz w:val="32"/>
          <w:szCs w:val="32"/>
        </w:rPr>
        <w:t>坚持安全、文明生产建设</w:t>
      </w:r>
      <w:r>
        <w:rPr>
          <w:rFonts w:hint="eastAsia" w:eastAsia="仿宋_GB2312"/>
          <w:color w:val="auto"/>
          <w:sz w:val="32"/>
          <w:szCs w:val="32"/>
        </w:rPr>
        <w:t>（如：</w:t>
      </w:r>
      <w:r>
        <w:rPr>
          <w:rFonts w:eastAsia="仿宋_GB2312"/>
          <w:color w:val="auto"/>
          <w:sz w:val="32"/>
          <w:szCs w:val="32"/>
        </w:rPr>
        <w:t>施工现场必须做到“六个百分百”</w:t>
      </w:r>
      <w:r>
        <w:rPr>
          <w:rFonts w:hint="eastAsia" w:eastAsia="仿宋_GB2312"/>
          <w:color w:val="auto"/>
          <w:sz w:val="32"/>
          <w:szCs w:val="32"/>
        </w:rPr>
        <w:t>）</w:t>
      </w:r>
      <w:r>
        <w:rPr>
          <w:rFonts w:eastAsia="仿宋_GB2312"/>
          <w:color w:val="auto"/>
          <w:sz w:val="32"/>
          <w:szCs w:val="32"/>
        </w:rPr>
        <w:t>，生产现场必须保持整齐有序、干净卫生</w:t>
      </w:r>
      <w:r>
        <w:rPr>
          <w:rFonts w:hint="eastAsia" w:eastAsia="仿宋_GB2312"/>
          <w:color w:val="auto"/>
          <w:sz w:val="32"/>
          <w:szCs w:val="32"/>
        </w:rPr>
        <w:t>，符合环保部门要求</w:t>
      </w:r>
      <w:r>
        <w:rPr>
          <w:rFonts w:eastAsia="仿宋_GB2312"/>
          <w:color w:val="auto"/>
          <w:sz w:val="32"/>
          <w:szCs w:val="32"/>
        </w:rPr>
        <w:t>。</w:t>
      </w:r>
    </w:p>
    <w:p>
      <w:pPr>
        <w:autoSpaceDN w:val="0"/>
        <w:spacing w:line="480" w:lineRule="exact"/>
        <w:ind w:firstLine="643" w:firstLineChars="200"/>
        <w:jc w:val="left"/>
        <w:rPr>
          <w:rFonts w:eastAsia="仿宋_GB2312"/>
          <w:color w:val="auto"/>
          <w:sz w:val="32"/>
          <w:szCs w:val="32"/>
        </w:rPr>
      </w:pPr>
      <w:r>
        <w:rPr>
          <w:rFonts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lang w:val="en-US" w:eastAsia="zh-CN"/>
        </w:rPr>
        <w:t>六</w:t>
      </w:r>
      <w:r>
        <w:rPr>
          <w:rFonts w:ascii="Times New Roman" w:hAnsi="Times New Roman" w:eastAsia="仿宋_GB2312" w:cs="Times New Roman"/>
          <w:b/>
          <w:bCs/>
          <w:color w:val="auto"/>
          <w:sz w:val="32"/>
          <w:szCs w:val="32"/>
        </w:rPr>
        <w:t>）</w:t>
      </w:r>
      <w:r>
        <w:rPr>
          <w:rFonts w:hint="eastAsia" w:eastAsia="仿宋_GB2312"/>
          <w:color w:val="auto"/>
          <w:sz w:val="32"/>
          <w:szCs w:val="32"/>
        </w:rPr>
        <w:t>必须与所用员工签订劳动合同、参加养老工伤等社会保险，必须同时实行员工入职体检、定期体检和岗前培训、在岗培训，严禁招用不满十六周岁的未成年人。</w:t>
      </w:r>
    </w:p>
    <w:p>
      <w:pPr>
        <w:keepNext w:val="0"/>
        <w:keepLines w:val="0"/>
        <w:pageBreakBefore w:val="0"/>
        <w:widowControl w:val="0"/>
        <w:kinsoku/>
        <w:wordWrap/>
        <w:overflowPunct/>
        <w:topLinePunct w:val="0"/>
        <w:autoSpaceDN w:val="0"/>
        <w:bidi w:val="0"/>
        <w:snapToGrid/>
        <w:spacing w:line="480" w:lineRule="exact"/>
        <w:ind w:firstLine="643" w:firstLineChars="200"/>
        <w:jc w:val="left"/>
        <w:textAlignment w:val="auto"/>
        <w:rPr>
          <w:rFonts w:eastAsia="仿宋_GB2312"/>
          <w:color w:val="auto"/>
          <w:sz w:val="32"/>
          <w:szCs w:val="32"/>
        </w:rPr>
      </w:pPr>
      <w:r>
        <w:rPr>
          <w:rFonts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lang w:val="en-US" w:eastAsia="zh-CN"/>
        </w:rPr>
        <w:t>七</w:t>
      </w:r>
      <w:r>
        <w:rPr>
          <w:rFonts w:ascii="Times New Roman" w:hAnsi="Times New Roman" w:eastAsia="仿宋_GB2312" w:cs="Times New Roman"/>
          <w:b/>
          <w:bCs/>
          <w:color w:val="auto"/>
          <w:sz w:val="32"/>
          <w:szCs w:val="32"/>
        </w:rPr>
        <w:t>）</w:t>
      </w:r>
      <w:r>
        <w:rPr>
          <w:rFonts w:hint="eastAsia" w:eastAsia="仿宋_GB2312"/>
          <w:color w:val="auto"/>
          <w:sz w:val="32"/>
          <w:szCs w:val="32"/>
          <w:lang w:val="en-US" w:eastAsia="zh-CN"/>
        </w:rPr>
        <w:t>必须</w:t>
      </w:r>
      <w:r>
        <w:rPr>
          <w:rFonts w:eastAsia="仿宋_GB2312"/>
          <w:color w:val="auto"/>
          <w:sz w:val="32"/>
          <w:szCs w:val="32"/>
        </w:rPr>
        <w:t>爱护</w:t>
      </w:r>
      <w:r>
        <w:rPr>
          <w:rFonts w:hint="eastAsia" w:eastAsia="仿宋_GB2312"/>
          <w:color w:val="auto"/>
          <w:sz w:val="32"/>
          <w:szCs w:val="32"/>
          <w:lang w:val="en-US" w:eastAsia="zh-CN"/>
        </w:rPr>
        <w:t>园</w:t>
      </w:r>
      <w:r>
        <w:rPr>
          <w:rFonts w:eastAsia="仿宋_GB2312"/>
          <w:color w:val="auto"/>
          <w:sz w:val="32"/>
          <w:szCs w:val="32"/>
        </w:rPr>
        <w:t>内的公共设施，不得擅自铺设管道、架设输电线路、修筑交通便道、取用地下水及建设其它设施。如确有必要，须经</w:t>
      </w:r>
      <w:r>
        <w:rPr>
          <w:rFonts w:hint="eastAsia" w:eastAsia="仿宋_GB2312"/>
          <w:color w:val="auto"/>
          <w:sz w:val="32"/>
          <w:szCs w:val="32"/>
        </w:rPr>
        <w:t>管委会</w:t>
      </w:r>
      <w:r>
        <w:rPr>
          <w:rFonts w:eastAsia="仿宋_GB2312"/>
          <w:color w:val="auto"/>
          <w:sz w:val="32"/>
          <w:szCs w:val="32"/>
        </w:rPr>
        <w:t>和相关职能部门批准后进行。</w:t>
      </w:r>
    </w:p>
    <w:p>
      <w:pPr>
        <w:keepNext w:val="0"/>
        <w:keepLines w:val="0"/>
        <w:pageBreakBefore w:val="0"/>
        <w:widowControl w:val="0"/>
        <w:kinsoku/>
        <w:wordWrap/>
        <w:overflowPunct/>
        <w:topLinePunct w:val="0"/>
        <w:autoSpaceDN w:val="0"/>
        <w:bidi w:val="0"/>
        <w:snapToGrid/>
        <w:spacing w:line="480" w:lineRule="exact"/>
        <w:ind w:firstLine="643"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（八）</w:t>
      </w:r>
      <w:r>
        <w:rPr>
          <w:rFonts w:hint="eastAsia" w:ascii="Times New Roman" w:hAnsi="Times New Roman" w:eastAsia="仿宋_GB2312" w:cs="Times New Roman"/>
          <w:color w:val="auto"/>
          <w:sz w:val="32"/>
          <w:szCs w:val="32"/>
          <w:lang w:val="en-US" w:eastAsia="zh-CN"/>
        </w:rPr>
        <w:t>必须建立健全安全、消防、环保、节能减排、劳动保障，质监等方面的管理制度。同时按照规定（因部分项目按规定不需要编制）需要编制突发事件应急预案的，必须编制应急预案，预案通过评审后报管委会备案。必须接受有管委会工作人员陪同的相关管理部门的检查督促、监督与管理。</w:t>
      </w:r>
    </w:p>
    <w:p>
      <w:pPr>
        <w:keepNext w:val="0"/>
        <w:keepLines w:val="0"/>
        <w:pageBreakBefore w:val="0"/>
        <w:widowControl w:val="0"/>
        <w:kinsoku/>
        <w:wordWrap/>
        <w:overflowPunct/>
        <w:topLinePunct w:val="0"/>
        <w:bidi w:val="0"/>
        <w:snapToGrid/>
        <w:spacing w:line="480" w:lineRule="exact"/>
        <w:ind w:firstLine="643" w:firstLineChars="200"/>
        <w:textAlignment w:val="auto"/>
        <w:rPr>
          <w:rFonts w:eastAsia="仿宋_GB2312"/>
          <w:color w:val="auto"/>
          <w:sz w:val="32"/>
          <w:szCs w:val="32"/>
        </w:rPr>
      </w:pPr>
      <w:r>
        <w:rPr>
          <w:rFonts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lang w:val="en-US" w:eastAsia="zh-CN"/>
        </w:rPr>
        <w:t>九</w:t>
      </w:r>
      <w:r>
        <w:rPr>
          <w:rFonts w:ascii="Times New Roman" w:hAnsi="Times New Roman" w:eastAsia="仿宋_GB2312" w:cs="Times New Roman"/>
          <w:b/>
          <w:bCs/>
          <w:color w:val="auto"/>
          <w:sz w:val="32"/>
          <w:szCs w:val="32"/>
        </w:rPr>
        <w:t>）</w:t>
      </w:r>
      <w:r>
        <w:rPr>
          <w:rFonts w:eastAsia="仿宋_GB2312"/>
          <w:color w:val="auto"/>
          <w:sz w:val="32"/>
          <w:szCs w:val="32"/>
        </w:rPr>
        <w:t>企业内建筑物必须按照通过评审的建设规划进行修建，建筑系数（不包括行政办公及生活设施用地）应不低于</w:t>
      </w:r>
      <w:r>
        <w:rPr>
          <w:rFonts w:hint="eastAsia" w:eastAsia="仿宋_GB2312"/>
          <w:color w:val="auto"/>
          <w:sz w:val="32"/>
          <w:szCs w:val="32"/>
        </w:rPr>
        <w:t>政策规定系数</w:t>
      </w:r>
      <w:r>
        <w:rPr>
          <w:rFonts w:eastAsia="仿宋_GB2312"/>
          <w:color w:val="auto"/>
          <w:sz w:val="32"/>
          <w:szCs w:val="32"/>
        </w:rPr>
        <w:t>。同时按照园林绿化标准，</w:t>
      </w:r>
      <w:r>
        <w:rPr>
          <w:rFonts w:hint="eastAsia" w:eastAsia="仿宋_GB2312"/>
          <w:color w:val="auto"/>
          <w:sz w:val="32"/>
          <w:szCs w:val="32"/>
        </w:rPr>
        <w:t>做</w:t>
      </w:r>
      <w:r>
        <w:rPr>
          <w:rFonts w:eastAsia="仿宋_GB2312"/>
          <w:color w:val="auto"/>
          <w:sz w:val="32"/>
          <w:szCs w:val="32"/>
        </w:rPr>
        <w:t>好厂区内绿化工作。</w:t>
      </w:r>
    </w:p>
    <w:p>
      <w:pPr>
        <w:keepNext w:val="0"/>
        <w:keepLines w:val="0"/>
        <w:pageBreakBefore w:val="0"/>
        <w:widowControl w:val="0"/>
        <w:kinsoku/>
        <w:wordWrap/>
        <w:overflowPunct/>
        <w:topLinePunct w:val="0"/>
        <w:bidi w:val="0"/>
        <w:snapToGrid/>
        <w:spacing w:line="480" w:lineRule="exact"/>
        <w:ind w:firstLine="643" w:firstLineChars="200"/>
        <w:textAlignment w:val="auto"/>
        <w:rPr>
          <w:rFonts w:eastAsia="仿宋_GB2312"/>
          <w:color w:val="auto"/>
          <w:sz w:val="32"/>
          <w:szCs w:val="32"/>
        </w:rPr>
      </w:pPr>
      <w:r>
        <w:rPr>
          <w:rFonts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lang w:val="en-US" w:eastAsia="zh-CN"/>
        </w:rPr>
        <w:t>十</w:t>
      </w:r>
      <w:r>
        <w:rPr>
          <w:rFonts w:ascii="Times New Roman" w:hAnsi="Times New Roman" w:eastAsia="仿宋_GB2312" w:cs="Times New Roman"/>
          <w:b/>
          <w:bCs/>
          <w:color w:val="auto"/>
          <w:sz w:val="32"/>
          <w:szCs w:val="32"/>
        </w:rPr>
        <w:t>）</w:t>
      </w:r>
      <w:r>
        <w:rPr>
          <w:rFonts w:eastAsia="仿宋_GB2312"/>
          <w:color w:val="auto"/>
          <w:sz w:val="32"/>
          <w:szCs w:val="32"/>
        </w:rPr>
        <w:t>注重企业文化建设，建立健全企业党、工、团、妇组织，充分发挥其在企业生产建设中的先锋模范作用和协调保障作用，维护企业和职工合法权益，配合</w:t>
      </w:r>
      <w:r>
        <w:rPr>
          <w:rFonts w:hint="eastAsia" w:eastAsia="仿宋_GB2312"/>
          <w:color w:val="auto"/>
          <w:sz w:val="32"/>
          <w:szCs w:val="32"/>
        </w:rPr>
        <w:t>管委会</w:t>
      </w:r>
      <w:r>
        <w:rPr>
          <w:rFonts w:eastAsia="仿宋_GB2312"/>
          <w:color w:val="auto"/>
          <w:sz w:val="32"/>
          <w:szCs w:val="32"/>
        </w:rPr>
        <w:t>做好治安、信访、计生、卫生管理等工作。</w:t>
      </w:r>
    </w:p>
    <w:p>
      <w:pPr>
        <w:keepNext w:val="0"/>
        <w:keepLines w:val="0"/>
        <w:pageBreakBefore w:val="0"/>
        <w:widowControl w:val="0"/>
        <w:kinsoku/>
        <w:wordWrap/>
        <w:overflowPunct/>
        <w:topLinePunct w:val="0"/>
        <w:bidi w:val="0"/>
        <w:snapToGrid/>
        <w:spacing w:line="480" w:lineRule="exact"/>
        <w:ind w:firstLine="640" w:firstLineChars="200"/>
        <w:textAlignment w:val="auto"/>
        <w:rPr>
          <w:rFonts w:eastAsia="仿宋_GB2312"/>
          <w:color w:val="auto"/>
          <w:sz w:val="32"/>
          <w:szCs w:val="32"/>
        </w:rPr>
      </w:pPr>
    </w:p>
    <w:p>
      <w:pPr>
        <w:keepNext w:val="0"/>
        <w:keepLines w:val="0"/>
        <w:pageBreakBefore w:val="0"/>
        <w:widowControl w:val="0"/>
        <w:kinsoku/>
        <w:wordWrap/>
        <w:overflowPunct/>
        <w:topLinePunct w:val="0"/>
        <w:bidi w:val="0"/>
        <w:snapToGrid/>
        <w:spacing w:line="480" w:lineRule="exact"/>
        <w:jc w:val="center"/>
        <w:textAlignment w:val="auto"/>
        <w:rPr>
          <w:rFonts w:eastAsia="黑体"/>
          <w:color w:val="auto"/>
          <w:sz w:val="32"/>
          <w:szCs w:val="32"/>
        </w:rPr>
      </w:pPr>
      <w:r>
        <w:rPr>
          <w:rFonts w:eastAsia="黑体"/>
          <w:color w:val="auto"/>
          <w:sz w:val="32"/>
          <w:szCs w:val="32"/>
        </w:rPr>
        <w:t>第五章  附</w:t>
      </w:r>
      <w:r>
        <w:rPr>
          <w:rFonts w:hint="eastAsia" w:eastAsia="黑体"/>
          <w:color w:val="auto"/>
          <w:sz w:val="32"/>
          <w:szCs w:val="32"/>
        </w:rPr>
        <w:t xml:space="preserve">  </w:t>
      </w:r>
      <w:r>
        <w:rPr>
          <w:rFonts w:eastAsia="黑体"/>
          <w:color w:val="auto"/>
          <w:sz w:val="32"/>
          <w:szCs w:val="32"/>
        </w:rPr>
        <w:t>则</w:t>
      </w:r>
    </w:p>
    <w:p>
      <w:pPr>
        <w:keepNext w:val="0"/>
        <w:keepLines w:val="0"/>
        <w:pageBreakBefore w:val="0"/>
        <w:widowControl w:val="0"/>
        <w:kinsoku/>
        <w:wordWrap/>
        <w:overflowPunct/>
        <w:topLinePunct w:val="0"/>
        <w:bidi w:val="0"/>
        <w:snapToGrid/>
        <w:spacing w:line="480" w:lineRule="exact"/>
        <w:ind w:firstLine="643" w:firstLineChars="200"/>
        <w:textAlignment w:val="auto"/>
        <w:rPr>
          <w:rFonts w:eastAsia="仿宋_GB2312"/>
          <w:b/>
          <w:color w:val="auto"/>
          <w:sz w:val="32"/>
          <w:szCs w:val="32"/>
        </w:rPr>
      </w:pPr>
      <w:r>
        <w:rPr>
          <w:rFonts w:eastAsia="仿宋_GB2312"/>
          <w:b/>
          <w:color w:val="auto"/>
          <w:sz w:val="32"/>
          <w:szCs w:val="32"/>
        </w:rPr>
        <w:t>第</w:t>
      </w:r>
      <w:r>
        <w:rPr>
          <w:rFonts w:hint="eastAsia" w:eastAsia="仿宋_GB2312"/>
          <w:b/>
          <w:color w:val="auto"/>
          <w:sz w:val="32"/>
          <w:szCs w:val="32"/>
          <w:lang w:val="en-US" w:eastAsia="zh-CN"/>
        </w:rPr>
        <w:t>十四</w:t>
      </w:r>
      <w:r>
        <w:rPr>
          <w:rFonts w:eastAsia="仿宋_GB2312"/>
          <w:b/>
          <w:color w:val="auto"/>
          <w:sz w:val="32"/>
          <w:szCs w:val="32"/>
        </w:rPr>
        <w:t xml:space="preserve">条  </w:t>
      </w:r>
      <w:r>
        <w:rPr>
          <w:rFonts w:eastAsia="仿宋_GB2312"/>
          <w:color w:val="auto"/>
          <w:sz w:val="32"/>
          <w:szCs w:val="32"/>
        </w:rPr>
        <w:t>对不服从管理规定的</w:t>
      </w:r>
      <w:r>
        <w:rPr>
          <w:rFonts w:hint="eastAsia" w:eastAsia="仿宋_GB2312"/>
          <w:color w:val="auto"/>
          <w:sz w:val="32"/>
          <w:szCs w:val="32"/>
          <w:lang w:eastAsia="zh-CN"/>
        </w:rPr>
        <w:t>入区</w:t>
      </w:r>
      <w:r>
        <w:rPr>
          <w:rFonts w:eastAsia="仿宋_GB2312"/>
          <w:color w:val="auto"/>
          <w:sz w:val="32"/>
          <w:szCs w:val="32"/>
        </w:rPr>
        <w:t>企业除按本办法处理外，还将由</w:t>
      </w:r>
      <w:r>
        <w:rPr>
          <w:rFonts w:hint="eastAsia" w:eastAsia="仿宋_GB2312"/>
          <w:color w:val="auto"/>
          <w:sz w:val="32"/>
          <w:szCs w:val="32"/>
        </w:rPr>
        <w:t>管委会</w:t>
      </w:r>
      <w:r>
        <w:rPr>
          <w:rFonts w:eastAsia="仿宋_GB2312"/>
          <w:color w:val="auto"/>
          <w:sz w:val="32"/>
          <w:szCs w:val="32"/>
        </w:rPr>
        <w:t>按有关规定向相关部门申请处理。</w:t>
      </w:r>
    </w:p>
    <w:p>
      <w:pPr>
        <w:keepNext w:val="0"/>
        <w:keepLines w:val="0"/>
        <w:pageBreakBefore w:val="0"/>
        <w:widowControl w:val="0"/>
        <w:kinsoku/>
        <w:wordWrap/>
        <w:overflowPunct/>
        <w:topLinePunct w:val="0"/>
        <w:bidi w:val="0"/>
        <w:snapToGrid/>
        <w:spacing w:line="480" w:lineRule="exact"/>
        <w:ind w:firstLine="643" w:firstLineChars="200"/>
        <w:textAlignment w:val="auto"/>
        <w:rPr>
          <w:rFonts w:eastAsia="仿宋_GB2312"/>
          <w:color w:val="auto"/>
          <w:sz w:val="32"/>
          <w:szCs w:val="32"/>
        </w:rPr>
      </w:pPr>
      <w:r>
        <w:rPr>
          <w:rFonts w:eastAsia="仿宋_GB2312"/>
          <w:b/>
          <w:color w:val="auto"/>
          <w:sz w:val="32"/>
          <w:szCs w:val="32"/>
        </w:rPr>
        <w:t>第十</w:t>
      </w:r>
      <w:r>
        <w:rPr>
          <w:rFonts w:hint="eastAsia" w:eastAsia="仿宋_GB2312"/>
          <w:b/>
          <w:color w:val="auto"/>
          <w:sz w:val="32"/>
          <w:szCs w:val="32"/>
          <w:lang w:val="en-US" w:eastAsia="zh-CN"/>
        </w:rPr>
        <w:t>五</w:t>
      </w:r>
      <w:r>
        <w:rPr>
          <w:rFonts w:eastAsia="仿宋_GB2312"/>
          <w:b/>
          <w:color w:val="auto"/>
          <w:sz w:val="32"/>
          <w:szCs w:val="32"/>
        </w:rPr>
        <w:t xml:space="preserve">条  </w:t>
      </w:r>
      <w:r>
        <w:rPr>
          <w:rFonts w:eastAsia="仿宋_GB2312"/>
          <w:color w:val="auto"/>
          <w:sz w:val="32"/>
          <w:szCs w:val="32"/>
        </w:rPr>
        <w:t>本办法自颁布之日起试行，</w:t>
      </w:r>
      <w:r>
        <w:rPr>
          <w:rFonts w:hint="eastAsia" w:ascii="仿宋_GB2312" w:hAnsi="仿宋_GB2312" w:eastAsia="仿宋_GB2312" w:cs="仿宋_GB2312"/>
          <w:color w:val="auto"/>
          <w:sz w:val="32"/>
          <w:szCs w:val="32"/>
        </w:rPr>
        <w:t>《石泉县工业集中区入园企业管理办法》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石政办〔2014〕6号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文件同步废止，</w:t>
      </w:r>
      <w:r>
        <w:rPr>
          <w:rFonts w:eastAsia="仿宋_GB2312"/>
          <w:color w:val="auto"/>
          <w:sz w:val="32"/>
          <w:szCs w:val="32"/>
        </w:rPr>
        <w:t>在执行过程中根据</w:t>
      </w:r>
      <w:r>
        <w:rPr>
          <w:rFonts w:hint="eastAsia" w:eastAsia="仿宋_GB2312"/>
          <w:color w:val="auto"/>
          <w:sz w:val="32"/>
          <w:szCs w:val="32"/>
          <w:lang w:val="en-US" w:eastAsia="zh-CN"/>
        </w:rPr>
        <w:t>实际</w:t>
      </w:r>
      <w:r>
        <w:rPr>
          <w:rFonts w:eastAsia="仿宋_GB2312"/>
          <w:color w:val="auto"/>
          <w:sz w:val="32"/>
          <w:szCs w:val="32"/>
        </w:rPr>
        <w:t>需</w:t>
      </w:r>
      <w:r>
        <w:rPr>
          <w:rFonts w:hint="eastAsia" w:eastAsia="仿宋_GB2312"/>
          <w:color w:val="auto"/>
          <w:sz w:val="32"/>
          <w:szCs w:val="32"/>
          <w:lang w:val="en-US" w:eastAsia="zh-CN"/>
        </w:rPr>
        <w:t>求进行</w:t>
      </w:r>
      <w:r>
        <w:rPr>
          <w:rFonts w:eastAsia="仿宋_GB2312"/>
          <w:color w:val="auto"/>
          <w:sz w:val="32"/>
          <w:szCs w:val="32"/>
        </w:rPr>
        <w:t>修改完善。</w:t>
      </w:r>
    </w:p>
    <w:p>
      <w:pPr>
        <w:keepNext w:val="0"/>
        <w:keepLines w:val="0"/>
        <w:pageBreakBefore w:val="0"/>
        <w:widowControl w:val="0"/>
        <w:kinsoku/>
        <w:wordWrap/>
        <w:overflowPunct/>
        <w:topLinePunct w:val="0"/>
        <w:bidi w:val="0"/>
        <w:snapToGrid/>
        <w:spacing w:line="480" w:lineRule="exact"/>
        <w:ind w:firstLine="630" w:firstLineChars="196"/>
        <w:textAlignment w:val="auto"/>
        <w:rPr>
          <w:rFonts w:hint="eastAsia"/>
          <w:b/>
          <w:color w:val="auto"/>
          <w:sz w:val="24"/>
        </w:rPr>
      </w:pPr>
      <w:r>
        <w:rPr>
          <w:rFonts w:eastAsia="仿宋_GB2312"/>
          <w:b/>
          <w:color w:val="auto"/>
          <w:sz w:val="32"/>
          <w:szCs w:val="32"/>
        </w:rPr>
        <w:t>第十</w:t>
      </w:r>
      <w:r>
        <w:rPr>
          <w:rFonts w:hint="eastAsia" w:eastAsia="仿宋_GB2312"/>
          <w:b/>
          <w:color w:val="auto"/>
          <w:sz w:val="32"/>
          <w:szCs w:val="32"/>
          <w:lang w:val="en-US" w:eastAsia="zh-CN"/>
        </w:rPr>
        <w:t>六</w:t>
      </w:r>
      <w:r>
        <w:rPr>
          <w:rFonts w:eastAsia="仿宋_GB2312"/>
          <w:b/>
          <w:color w:val="auto"/>
          <w:sz w:val="32"/>
          <w:szCs w:val="32"/>
        </w:rPr>
        <w:t xml:space="preserve">条  </w:t>
      </w:r>
      <w:r>
        <w:rPr>
          <w:rFonts w:eastAsia="仿宋_GB2312"/>
          <w:color w:val="auto"/>
          <w:sz w:val="32"/>
          <w:szCs w:val="32"/>
        </w:rPr>
        <w:t>本办法由</w:t>
      </w:r>
      <w:r>
        <w:rPr>
          <w:rFonts w:hint="eastAsia" w:eastAsia="仿宋_GB2312"/>
          <w:color w:val="auto"/>
          <w:sz w:val="32"/>
          <w:szCs w:val="32"/>
        </w:rPr>
        <w:t>石泉县</w:t>
      </w:r>
      <w:r>
        <w:rPr>
          <w:rFonts w:hint="eastAsia" w:eastAsia="仿宋_GB2312"/>
          <w:color w:val="auto"/>
          <w:sz w:val="32"/>
          <w:szCs w:val="32"/>
          <w:lang w:val="en-US" w:eastAsia="zh-CN"/>
        </w:rPr>
        <w:t>工业集中区</w:t>
      </w:r>
      <w:r>
        <w:rPr>
          <w:rFonts w:hint="eastAsia" w:eastAsia="仿宋_GB2312"/>
          <w:color w:val="auto"/>
          <w:sz w:val="32"/>
          <w:szCs w:val="32"/>
        </w:rPr>
        <w:t>管理委员会</w:t>
      </w:r>
      <w:r>
        <w:rPr>
          <w:rFonts w:eastAsia="仿宋_GB2312"/>
          <w:color w:val="auto"/>
          <w:sz w:val="32"/>
          <w:szCs w:val="32"/>
        </w:rPr>
        <w:t>负责解释。</w:t>
      </w:r>
      <w:r>
        <w:rPr>
          <w:rFonts w:hint="eastAsia"/>
          <w:b/>
          <w:color w:val="auto"/>
          <w:sz w:val="24"/>
        </w:rPr>
        <w:br w:type="page"/>
      </w:r>
      <w:r>
        <w:rPr>
          <w:rFonts w:hint="eastAsia"/>
          <w:b/>
          <w:color w:val="auto"/>
          <w:sz w:val="24"/>
        </w:rPr>
        <w:t>附件1：</w:t>
      </w:r>
    </w:p>
    <w:p>
      <w:pPr>
        <w:pStyle w:val="2"/>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空间管制清单具体见表1-1至1-2。</w:t>
      </w:r>
    </w:p>
    <w:p>
      <w:pPr>
        <w:adjustRightInd w:val="0"/>
        <w:snapToGrid w:val="0"/>
        <w:jc w:val="center"/>
        <w:rPr>
          <w:rFonts w:hint="eastAsia"/>
          <w:b/>
          <w:color w:val="auto"/>
          <w:sz w:val="32"/>
          <w:szCs w:val="32"/>
        </w:rPr>
      </w:pPr>
      <w:r>
        <w:rPr>
          <w:b/>
          <w:color w:val="auto"/>
          <w:sz w:val="32"/>
          <w:szCs w:val="32"/>
        </w:rPr>
        <w:t>表</w:t>
      </w:r>
      <w:r>
        <w:rPr>
          <w:rFonts w:hint="eastAsia"/>
          <w:b/>
          <w:color w:val="auto"/>
          <w:sz w:val="32"/>
          <w:szCs w:val="32"/>
        </w:rPr>
        <w:t>1</w:t>
      </w:r>
      <w:r>
        <w:rPr>
          <w:b/>
          <w:color w:val="auto"/>
          <w:sz w:val="32"/>
          <w:szCs w:val="32"/>
        </w:rPr>
        <w:t>-</w:t>
      </w:r>
      <w:r>
        <w:rPr>
          <w:rFonts w:hint="eastAsia"/>
          <w:b/>
          <w:color w:val="auto"/>
          <w:sz w:val="32"/>
          <w:szCs w:val="32"/>
        </w:rPr>
        <w:t>1</w:t>
      </w:r>
      <w:r>
        <w:rPr>
          <w:b/>
          <w:color w:val="auto"/>
          <w:sz w:val="32"/>
          <w:szCs w:val="32"/>
        </w:rPr>
        <w:t xml:space="preserve">   空间管制范围表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48"/>
        <w:gridCol w:w="516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4" w:type="dxa"/>
            <w:noWrap w:val="0"/>
            <w:vAlign w:val="center"/>
          </w:tcPr>
          <w:p>
            <w:pPr>
              <w:adjustRightInd w:val="0"/>
              <w:snapToGrid w:val="0"/>
              <w:spacing w:line="320" w:lineRule="exact"/>
              <w:jc w:val="center"/>
              <w:rPr>
                <w:color w:val="auto"/>
                <w:szCs w:val="21"/>
              </w:rPr>
            </w:pPr>
            <w:r>
              <w:rPr>
                <w:color w:val="auto"/>
                <w:szCs w:val="21"/>
              </w:rPr>
              <w:t>序号</w:t>
            </w:r>
          </w:p>
        </w:tc>
        <w:tc>
          <w:tcPr>
            <w:tcW w:w="1248" w:type="dxa"/>
            <w:noWrap w:val="0"/>
            <w:vAlign w:val="center"/>
          </w:tcPr>
          <w:p>
            <w:pPr>
              <w:adjustRightInd w:val="0"/>
              <w:snapToGrid w:val="0"/>
              <w:spacing w:line="320" w:lineRule="exact"/>
              <w:jc w:val="center"/>
              <w:rPr>
                <w:color w:val="auto"/>
                <w:szCs w:val="21"/>
              </w:rPr>
            </w:pPr>
            <w:r>
              <w:rPr>
                <w:color w:val="auto"/>
                <w:szCs w:val="21"/>
              </w:rPr>
              <w:t>划分区域</w:t>
            </w:r>
          </w:p>
        </w:tc>
        <w:tc>
          <w:tcPr>
            <w:tcW w:w="5168" w:type="dxa"/>
            <w:noWrap w:val="0"/>
            <w:vAlign w:val="center"/>
          </w:tcPr>
          <w:p>
            <w:pPr>
              <w:adjustRightInd w:val="0"/>
              <w:snapToGrid w:val="0"/>
              <w:spacing w:line="320" w:lineRule="exact"/>
              <w:jc w:val="center"/>
              <w:rPr>
                <w:color w:val="auto"/>
                <w:szCs w:val="21"/>
              </w:rPr>
            </w:pPr>
            <w:r>
              <w:rPr>
                <w:color w:val="auto"/>
                <w:szCs w:val="21"/>
              </w:rPr>
              <w:t>具体范围</w:t>
            </w:r>
          </w:p>
        </w:tc>
        <w:tc>
          <w:tcPr>
            <w:tcW w:w="1410" w:type="dxa"/>
            <w:noWrap w:val="0"/>
            <w:vAlign w:val="center"/>
          </w:tcPr>
          <w:p>
            <w:pPr>
              <w:adjustRightInd w:val="0"/>
              <w:snapToGrid w:val="0"/>
              <w:spacing w:line="320" w:lineRule="exact"/>
              <w:jc w:val="center"/>
              <w:rPr>
                <w:color w:val="auto"/>
                <w:szCs w:val="21"/>
              </w:rPr>
            </w:pPr>
            <w:r>
              <w:rPr>
                <w:color w:val="auto"/>
                <w:szCs w:val="21"/>
              </w:rPr>
              <w:t>空间区划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4" w:type="dxa"/>
            <w:noWrap w:val="0"/>
            <w:vAlign w:val="center"/>
          </w:tcPr>
          <w:p>
            <w:pPr>
              <w:adjustRightInd w:val="0"/>
              <w:snapToGrid w:val="0"/>
              <w:spacing w:line="320" w:lineRule="exact"/>
              <w:jc w:val="center"/>
              <w:rPr>
                <w:color w:val="auto"/>
                <w:szCs w:val="21"/>
              </w:rPr>
            </w:pPr>
            <w:r>
              <w:rPr>
                <w:color w:val="auto"/>
                <w:szCs w:val="21"/>
              </w:rPr>
              <w:t>1</w:t>
            </w:r>
          </w:p>
        </w:tc>
        <w:tc>
          <w:tcPr>
            <w:tcW w:w="1248" w:type="dxa"/>
            <w:noWrap w:val="0"/>
            <w:vAlign w:val="center"/>
          </w:tcPr>
          <w:p>
            <w:pPr>
              <w:adjustRightInd w:val="0"/>
              <w:snapToGrid w:val="0"/>
              <w:spacing w:line="320" w:lineRule="exact"/>
              <w:jc w:val="center"/>
              <w:rPr>
                <w:color w:val="auto"/>
                <w:szCs w:val="21"/>
              </w:rPr>
            </w:pPr>
            <w:r>
              <w:rPr>
                <w:color w:val="auto"/>
                <w:szCs w:val="21"/>
              </w:rPr>
              <w:t>禁建区</w:t>
            </w:r>
          </w:p>
        </w:tc>
        <w:tc>
          <w:tcPr>
            <w:tcW w:w="5168" w:type="dxa"/>
            <w:noWrap w:val="0"/>
            <w:vAlign w:val="center"/>
          </w:tcPr>
          <w:p>
            <w:pPr>
              <w:adjustRightInd w:val="0"/>
              <w:snapToGrid w:val="0"/>
              <w:spacing w:line="320" w:lineRule="exact"/>
              <w:jc w:val="center"/>
              <w:rPr>
                <w:color w:val="auto"/>
                <w:szCs w:val="21"/>
              </w:rPr>
            </w:pPr>
            <w:r>
              <w:rPr>
                <w:color w:val="auto"/>
                <w:szCs w:val="21"/>
              </w:rPr>
              <w:t>汉江、饶峰河、池河的河道、河滩、泛洪区外延10m范围内。</w:t>
            </w:r>
          </w:p>
        </w:tc>
        <w:tc>
          <w:tcPr>
            <w:tcW w:w="1410" w:type="dxa"/>
            <w:vMerge w:val="restart"/>
            <w:noWrap w:val="0"/>
            <w:vAlign w:val="center"/>
          </w:tcPr>
          <w:p>
            <w:pPr>
              <w:adjustRightInd w:val="0"/>
              <w:snapToGrid w:val="0"/>
              <w:spacing w:line="320" w:lineRule="exact"/>
              <w:jc w:val="center"/>
              <w:rPr>
                <w:color w:val="auto"/>
                <w:szCs w:val="21"/>
              </w:rPr>
            </w:pPr>
            <w:r>
              <w:rPr>
                <w:color w:val="auto"/>
                <w:szCs w:val="21"/>
              </w:rPr>
              <w:t>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4" w:type="dxa"/>
            <w:noWrap w:val="0"/>
            <w:vAlign w:val="center"/>
          </w:tcPr>
          <w:p>
            <w:pPr>
              <w:adjustRightInd w:val="0"/>
              <w:snapToGrid w:val="0"/>
              <w:spacing w:line="320" w:lineRule="exact"/>
              <w:jc w:val="center"/>
              <w:rPr>
                <w:color w:val="auto"/>
                <w:szCs w:val="21"/>
              </w:rPr>
            </w:pPr>
            <w:r>
              <w:rPr>
                <w:color w:val="auto"/>
                <w:szCs w:val="21"/>
              </w:rPr>
              <w:t>2</w:t>
            </w:r>
          </w:p>
        </w:tc>
        <w:tc>
          <w:tcPr>
            <w:tcW w:w="1248" w:type="dxa"/>
            <w:vMerge w:val="restart"/>
            <w:noWrap w:val="0"/>
            <w:vAlign w:val="center"/>
          </w:tcPr>
          <w:p>
            <w:pPr>
              <w:adjustRightInd w:val="0"/>
              <w:snapToGrid w:val="0"/>
              <w:spacing w:line="320" w:lineRule="exact"/>
              <w:jc w:val="center"/>
              <w:rPr>
                <w:color w:val="auto"/>
                <w:szCs w:val="21"/>
              </w:rPr>
            </w:pPr>
            <w:r>
              <w:rPr>
                <w:color w:val="auto"/>
                <w:szCs w:val="21"/>
              </w:rPr>
              <w:t>限建区</w:t>
            </w:r>
          </w:p>
        </w:tc>
        <w:tc>
          <w:tcPr>
            <w:tcW w:w="5168" w:type="dxa"/>
            <w:noWrap w:val="0"/>
            <w:vAlign w:val="center"/>
          </w:tcPr>
          <w:p>
            <w:pPr>
              <w:adjustRightInd w:val="0"/>
              <w:snapToGrid w:val="0"/>
              <w:spacing w:line="320" w:lineRule="exact"/>
              <w:jc w:val="center"/>
              <w:rPr>
                <w:color w:val="auto"/>
                <w:szCs w:val="21"/>
              </w:rPr>
            </w:pPr>
            <w:r>
              <w:rPr>
                <w:color w:val="auto"/>
                <w:szCs w:val="21"/>
              </w:rPr>
              <w:t>高速公路两侧生态保护带、饶峰河和池河水系两侧生态保护带以及重要道路两侧生态保护带</w:t>
            </w:r>
          </w:p>
        </w:tc>
        <w:tc>
          <w:tcPr>
            <w:tcW w:w="1410" w:type="dxa"/>
            <w:vMerge w:val="continue"/>
            <w:noWrap w:val="0"/>
            <w:vAlign w:val="center"/>
          </w:tcPr>
          <w:p>
            <w:pPr>
              <w:adjustRightInd w:val="0"/>
              <w:snapToGrid w:val="0"/>
              <w:spacing w:line="32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4" w:type="dxa"/>
            <w:noWrap w:val="0"/>
            <w:vAlign w:val="center"/>
          </w:tcPr>
          <w:p>
            <w:pPr>
              <w:adjustRightInd w:val="0"/>
              <w:snapToGrid w:val="0"/>
              <w:spacing w:line="320" w:lineRule="exact"/>
              <w:jc w:val="center"/>
              <w:rPr>
                <w:color w:val="auto"/>
                <w:szCs w:val="21"/>
              </w:rPr>
            </w:pPr>
            <w:r>
              <w:rPr>
                <w:color w:val="auto"/>
                <w:szCs w:val="21"/>
              </w:rPr>
              <w:t>3</w:t>
            </w:r>
          </w:p>
        </w:tc>
        <w:tc>
          <w:tcPr>
            <w:tcW w:w="1248" w:type="dxa"/>
            <w:vMerge w:val="continue"/>
            <w:noWrap w:val="0"/>
            <w:vAlign w:val="center"/>
          </w:tcPr>
          <w:p>
            <w:pPr>
              <w:adjustRightInd w:val="0"/>
              <w:snapToGrid w:val="0"/>
              <w:spacing w:line="320" w:lineRule="exact"/>
              <w:jc w:val="center"/>
              <w:rPr>
                <w:color w:val="auto"/>
                <w:szCs w:val="21"/>
              </w:rPr>
            </w:pPr>
          </w:p>
        </w:tc>
        <w:tc>
          <w:tcPr>
            <w:tcW w:w="5168" w:type="dxa"/>
            <w:noWrap w:val="0"/>
            <w:vAlign w:val="center"/>
          </w:tcPr>
          <w:p>
            <w:pPr>
              <w:adjustRightInd w:val="0"/>
              <w:snapToGrid w:val="0"/>
              <w:spacing w:line="320" w:lineRule="exact"/>
              <w:jc w:val="center"/>
              <w:rPr>
                <w:color w:val="auto"/>
                <w:szCs w:val="21"/>
              </w:rPr>
            </w:pPr>
            <w:r>
              <w:rPr>
                <w:rFonts w:hint="eastAsia"/>
                <w:color w:val="auto"/>
                <w:szCs w:val="21"/>
              </w:rPr>
              <w:t>过境公路、主干路两侧红线外50m、阳安线两侧60m不得规划建设住宅、学习、医院等声环境敏感项目。</w:t>
            </w:r>
          </w:p>
        </w:tc>
        <w:tc>
          <w:tcPr>
            <w:tcW w:w="1410" w:type="dxa"/>
            <w:noWrap w:val="0"/>
            <w:vAlign w:val="center"/>
          </w:tcPr>
          <w:p>
            <w:pPr>
              <w:adjustRightInd w:val="0"/>
              <w:snapToGrid w:val="0"/>
              <w:spacing w:line="320" w:lineRule="exact"/>
              <w:jc w:val="center"/>
              <w:rPr>
                <w:color w:val="auto"/>
                <w:szCs w:val="21"/>
              </w:rPr>
            </w:pPr>
            <w:r>
              <w:rPr>
                <w:rFonts w:hint="eastAsia"/>
                <w:color w:val="auto"/>
                <w:szCs w:val="21"/>
              </w:rPr>
              <w:t>噪声防护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4" w:type="dxa"/>
            <w:noWrap w:val="0"/>
            <w:vAlign w:val="center"/>
          </w:tcPr>
          <w:p>
            <w:pPr>
              <w:adjustRightInd w:val="0"/>
              <w:snapToGrid w:val="0"/>
              <w:spacing w:line="320" w:lineRule="exact"/>
              <w:jc w:val="center"/>
              <w:rPr>
                <w:color w:val="auto"/>
                <w:szCs w:val="21"/>
              </w:rPr>
            </w:pPr>
            <w:r>
              <w:rPr>
                <w:color w:val="auto"/>
                <w:szCs w:val="21"/>
              </w:rPr>
              <w:t>4</w:t>
            </w:r>
          </w:p>
        </w:tc>
        <w:tc>
          <w:tcPr>
            <w:tcW w:w="1248" w:type="dxa"/>
            <w:noWrap w:val="0"/>
            <w:vAlign w:val="center"/>
          </w:tcPr>
          <w:p>
            <w:pPr>
              <w:adjustRightInd w:val="0"/>
              <w:snapToGrid w:val="0"/>
              <w:spacing w:line="320" w:lineRule="exact"/>
              <w:jc w:val="center"/>
              <w:rPr>
                <w:color w:val="auto"/>
                <w:szCs w:val="21"/>
              </w:rPr>
            </w:pPr>
            <w:r>
              <w:rPr>
                <w:color w:val="auto"/>
                <w:szCs w:val="21"/>
              </w:rPr>
              <w:t>已建区</w:t>
            </w:r>
          </w:p>
        </w:tc>
        <w:tc>
          <w:tcPr>
            <w:tcW w:w="5168" w:type="dxa"/>
            <w:noWrap w:val="0"/>
            <w:vAlign w:val="center"/>
          </w:tcPr>
          <w:p>
            <w:pPr>
              <w:autoSpaceDN w:val="0"/>
              <w:adjustRightInd w:val="0"/>
              <w:snapToGrid w:val="0"/>
              <w:spacing w:line="320" w:lineRule="exact"/>
              <w:jc w:val="center"/>
              <w:rPr>
                <w:color w:val="auto"/>
                <w:szCs w:val="21"/>
              </w:rPr>
            </w:pPr>
            <w:r>
              <w:rPr>
                <w:color w:val="auto"/>
                <w:szCs w:val="21"/>
              </w:rPr>
              <w:t>包括生态保护控制线外的所有现状建设用地。</w:t>
            </w:r>
          </w:p>
        </w:tc>
        <w:tc>
          <w:tcPr>
            <w:tcW w:w="1410" w:type="dxa"/>
            <w:vMerge w:val="restart"/>
            <w:noWrap w:val="0"/>
            <w:vAlign w:val="center"/>
          </w:tcPr>
          <w:p>
            <w:pPr>
              <w:adjustRightInd w:val="0"/>
              <w:snapToGrid w:val="0"/>
              <w:spacing w:line="320" w:lineRule="exact"/>
              <w:jc w:val="center"/>
              <w:rPr>
                <w:color w:val="auto"/>
                <w:szCs w:val="21"/>
              </w:rPr>
            </w:pPr>
            <w:r>
              <w:rPr>
                <w:color w:val="auto"/>
                <w:szCs w:val="21"/>
              </w:rPr>
              <w:t>生活空间和生产空间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74" w:type="dxa"/>
            <w:noWrap w:val="0"/>
            <w:vAlign w:val="center"/>
          </w:tcPr>
          <w:p>
            <w:pPr>
              <w:adjustRightInd w:val="0"/>
              <w:snapToGrid w:val="0"/>
              <w:spacing w:line="320" w:lineRule="exact"/>
              <w:jc w:val="center"/>
              <w:rPr>
                <w:color w:val="auto"/>
                <w:szCs w:val="21"/>
              </w:rPr>
            </w:pPr>
            <w:r>
              <w:rPr>
                <w:color w:val="auto"/>
                <w:szCs w:val="21"/>
              </w:rPr>
              <w:t>5</w:t>
            </w:r>
          </w:p>
        </w:tc>
        <w:tc>
          <w:tcPr>
            <w:tcW w:w="1248" w:type="dxa"/>
            <w:noWrap w:val="0"/>
            <w:vAlign w:val="center"/>
          </w:tcPr>
          <w:p>
            <w:pPr>
              <w:adjustRightInd w:val="0"/>
              <w:snapToGrid w:val="0"/>
              <w:spacing w:line="320" w:lineRule="exact"/>
              <w:jc w:val="center"/>
              <w:rPr>
                <w:color w:val="auto"/>
                <w:szCs w:val="21"/>
              </w:rPr>
            </w:pPr>
            <w:r>
              <w:rPr>
                <w:color w:val="auto"/>
                <w:szCs w:val="21"/>
              </w:rPr>
              <w:t>适建区</w:t>
            </w:r>
          </w:p>
        </w:tc>
        <w:tc>
          <w:tcPr>
            <w:tcW w:w="5168" w:type="dxa"/>
            <w:noWrap w:val="0"/>
            <w:vAlign w:val="center"/>
          </w:tcPr>
          <w:p>
            <w:pPr>
              <w:adjustRightInd w:val="0"/>
              <w:snapToGrid w:val="0"/>
              <w:spacing w:line="320" w:lineRule="exact"/>
              <w:jc w:val="center"/>
              <w:rPr>
                <w:color w:val="auto"/>
                <w:szCs w:val="21"/>
              </w:rPr>
            </w:pPr>
            <w:r>
              <w:rPr>
                <w:color w:val="auto"/>
                <w:szCs w:val="21"/>
              </w:rPr>
              <w:t>规划安排新增建设用地的主要区域。</w:t>
            </w:r>
          </w:p>
        </w:tc>
        <w:tc>
          <w:tcPr>
            <w:tcW w:w="1410" w:type="dxa"/>
            <w:vMerge w:val="continue"/>
            <w:noWrap w:val="0"/>
            <w:vAlign w:val="center"/>
          </w:tcPr>
          <w:p>
            <w:pPr>
              <w:adjustRightInd w:val="0"/>
              <w:snapToGrid w:val="0"/>
              <w:spacing w:line="320" w:lineRule="exact"/>
              <w:jc w:val="center"/>
              <w:rPr>
                <w:color w:val="auto"/>
                <w:szCs w:val="21"/>
              </w:rPr>
            </w:pPr>
          </w:p>
        </w:tc>
      </w:tr>
    </w:tbl>
    <w:p>
      <w:pPr>
        <w:adjustRightInd w:val="0"/>
        <w:snapToGrid w:val="0"/>
        <w:spacing w:before="156" w:beforeLines="50" w:line="360" w:lineRule="auto"/>
        <w:ind w:firstLine="480"/>
        <w:rPr>
          <w:b/>
          <w:bCs/>
          <w:color w:val="auto"/>
          <w:sz w:val="24"/>
        </w:rPr>
      </w:pPr>
      <w:r>
        <w:rPr>
          <w:rFonts w:hint="eastAsia"/>
          <w:b/>
          <w:bCs/>
          <w:color w:val="auto"/>
          <w:sz w:val="24"/>
        </w:rPr>
        <w:t>1、禁建区管制措施</w:t>
      </w:r>
      <w:r>
        <w:rPr>
          <w:b/>
          <w:bCs/>
          <w:color w:val="auto"/>
          <w:sz w:val="24"/>
        </w:rPr>
        <w:t>：</w:t>
      </w:r>
    </w:p>
    <w:p>
      <w:pPr>
        <w:autoSpaceDN w:val="0"/>
        <w:adjustRightInd w:val="0"/>
        <w:snapToGrid w:val="0"/>
        <w:spacing w:line="360" w:lineRule="auto"/>
        <w:ind w:firstLine="480" w:firstLineChars="200"/>
        <w:rPr>
          <w:color w:val="auto"/>
          <w:sz w:val="24"/>
        </w:rPr>
      </w:pPr>
      <w:r>
        <w:rPr>
          <w:rFonts w:hint="eastAsia" w:ascii="宋体" w:hAnsi="宋体" w:cs="宋体"/>
          <w:color w:val="auto"/>
          <w:sz w:val="24"/>
        </w:rPr>
        <w:t>①</w:t>
      </w:r>
      <w:r>
        <w:rPr>
          <w:color w:val="auto"/>
          <w:sz w:val="24"/>
        </w:rPr>
        <w:t xml:space="preserve"> 禁建区内除必需的保护设施外，禁止任何其他工程建设活动；</w:t>
      </w:r>
    </w:p>
    <w:p>
      <w:pPr>
        <w:autoSpaceDN w:val="0"/>
        <w:adjustRightInd w:val="0"/>
        <w:snapToGrid w:val="0"/>
        <w:spacing w:line="360" w:lineRule="auto"/>
        <w:ind w:firstLine="480" w:firstLineChars="200"/>
        <w:rPr>
          <w:color w:val="auto"/>
          <w:sz w:val="24"/>
        </w:rPr>
      </w:pPr>
      <w:r>
        <w:rPr>
          <w:rFonts w:hint="eastAsia" w:ascii="宋体" w:hAnsi="宋体" w:cs="宋体"/>
          <w:color w:val="auto"/>
          <w:sz w:val="24"/>
        </w:rPr>
        <w:t>②</w:t>
      </w:r>
      <w:r>
        <w:rPr>
          <w:color w:val="auto"/>
          <w:sz w:val="24"/>
        </w:rPr>
        <w:t xml:space="preserve"> 对禁建区内的裸地、荒草地、闲置土地进行综合整治，减少自然灾害和水土流失；</w:t>
      </w:r>
    </w:p>
    <w:p>
      <w:pPr>
        <w:autoSpaceDN w:val="0"/>
        <w:adjustRightInd w:val="0"/>
        <w:snapToGrid w:val="0"/>
        <w:spacing w:line="360" w:lineRule="auto"/>
        <w:ind w:firstLine="480" w:firstLineChars="200"/>
        <w:rPr>
          <w:color w:val="auto"/>
          <w:sz w:val="24"/>
        </w:rPr>
      </w:pPr>
      <w:r>
        <w:rPr>
          <w:rFonts w:hint="eastAsia" w:ascii="宋体" w:hAnsi="宋体" w:cs="宋体"/>
          <w:color w:val="auto"/>
          <w:sz w:val="24"/>
        </w:rPr>
        <w:t>③</w:t>
      </w:r>
      <w:r>
        <w:rPr>
          <w:color w:val="auto"/>
          <w:sz w:val="24"/>
        </w:rPr>
        <w:t xml:space="preserve"> 调整禁建区内土地的生态组分结构，修复提升生态系统服务功能；</w:t>
      </w:r>
    </w:p>
    <w:p>
      <w:pPr>
        <w:autoSpaceDN w:val="0"/>
        <w:adjustRightInd w:val="0"/>
        <w:snapToGrid w:val="0"/>
        <w:spacing w:line="360" w:lineRule="auto"/>
        <w:ind w:firstLine="480" w:firstLineChars="200"/>
        <w:rPr>
          <w:color w:val="auto"/>
          <w:sz w:val="24"/>
        </w:rPr>
      </w:pPr>
      <w:r>
        <w:rPr>
          <w:rFonts w:hint="eastAsia" w:ascii="宋体" w:hAnsi="宋体" w:cs="宋体"/>
          <w:color w:val="auto"/>
          <w:sz w:val="24"/>
        </w:rPr>
        <w:t>④</w:t>
      </w:r>
      <w:r>
        <w:rPr>
          <w:color w:val="auto"/>
          <w:sz w:val="24"/>
        </w:rPr>
        <w:t xml:space="preserve"> 对禁建区内不符合生态控制线管理相关法规和规定的所有现状建筑，应坚决予以清退并按相关部门要求进行永久性复绿；</w:t>
      </w:r>
    </w:p>
    <w:p>
      <w:pPr>
        <w:autoSpaceDN w:val="0"/>
        <w:adjustRightInd w:val="0"/>
        <w:snapToGrid w:val="0"/>
        <w:spacing w:line="360" w:lineRule="auto"/>
        <w:ind w:firstLine="480" w:firstLineChars="200"/>
        <w:rPr>
          <w:color w:val="auto"/>
          <w:sz w:val="24"/>
        </w:rPr>
      </w:pPr>
      <w:r>
        <w:rPr>
          <w:rFonts w:hint="eastAsia" w:ascii="宋体" w:hAnsi="宋体" w:cs="宋体"/>
          <w:color w:val="auto"/>
          <w:sz w:val="24"/>
        </w:rPr>
        <w:t>⑤</w:t>
      </w:r>
      <w:r>
        <w:rPr>
          <w:color w:val="auto"/>
          <w:sz w:val="24"/>
        </w:rPr>
        <w:t xml:space="preserve"> 对区内汉江、饶峰河、池河等水体划定保护蓝线，严禁侵占规划控制的蓝线进行开发建设；</w:t>
      </w:r>
    </w:p>
    <w:p>
      <w:pPr>
        <w:autoSpaceDN w:val="0"/>
        <w:adjustRightInd w:val="0"/>
        <w:snapToGrid w:val="0"/>
        <w:spacing w:line="360" w:lineRule="auto"/>
        <w:ind w:firstLine="480" w:firstLineChars="200"/>
        <w:rPr>
          <w:color w:val="auto"/>
          <w:sz w:val="24"/>
        </w:rPr>
      </w:pPr>
      <w:r>
        <w:rPr>
          <w:rFonts w:hint="eastAsia" w:ascii="宋体" w:hAnsi="宋体" w:cs="宋体"/>
          <w:color w:val="auto"/>
          <w:sz w:val="24"/>
        </w:rPr>
        <w:t>⑥</w:t>
      </w:r>
      <w:r>
        <w:rPr>
          <w:color w:val="auto"/>
          <w:sz w:val="24"/>
        </w:rPr>
        <w:t xml:space="preserve"> 规划区内水域及周边土地利用应符合《城市蓝线管理办法》等相关内容。</w:t>
      </w:r>
    </w:p>
    <w:p>
      <w:pPr>
        <w:autoSpaceDN w:val="0"/>
        <w:adjustRightInd w:val="0"/>
        <w:snapToGrid w:val="0"/>
        <w:spacing w:line="360" w:lineRule="auto"/>
        <w:ind w:firstLine="482" w:firstLineChars="200"/>
        <w:rPr>
          <w:b/>
          <w:bCs/>
          <w:color w:val="auto"/>
          <w:sz w:val="24"/>
        </w:rPr>
      </w:pPr>
      <w:r>
        <w:rPr>
          <w:rFonts w:hint="eastAsia"/>
          <w:b/>
          <w:bCs/>
          <w:color w:val="auto"/>
          <w:sz w:val="24"/>
        </w:rPr>
        <w:t>2、限建区管制措施</w:t>
      </w:r>
      <w:r>
        <w:rPr>
          <w:b/>
          <w:bCs/>
          <w:color w:val="auto"/>
          <w:sz w:val="24"/>
        </w:rPr>
        <w:t>：</w:t>
      </w:r>
    </w:p>
    <w:p>
      <w:pPr>
        <w:autoSpaceDN w:val="0"/>
        <w:adjustRightInd w:val="0"/>
        <w:snapToGrid w:val="0"/>
        <w:spacing w:line="360" w:lineRule="auto"/>
        <w:ind w:firstLine="480"/>
        <w:rPr>
          <w:color w:val="auto"/>
          <w:sz w:val="24"/>
        </w:rPr>
      </w:pPr>
      <w:r>
        <w:rPr>
          <w:rFonts w:hint="eastAsia" w:ascii="宋体" w:hAnsi="宋体" w:cs="宋体"/>
          <w:color w:val="auto"/>
          <w:sz w:val="24"/>
        </w:rPr>
        <w:t>①</w:t>
      </w:r>
      <w:r>
        <w:rPr>
          <w:color w:val="auto"/>
          <w:sz w:val="24"/>
        </w:rPr>
        <w:t xml:space="preserve"> 原则上只能建设符合生态控制线管理相关法规和规定、并经特别程序审批通过的国家、省、市的重大项目；</w:t>
      </w:r>
    </w:p>
    <w:p>
      <w:pPr>
        <w:autoSpaceDN w:val="0"/>
        <w:adjustRightInd w:val="0"/>
        <w:snapToGrid w:val="0"/>
        <w:spacing w:line="360" w:lineRule="auto"/>
        <w:ind w:firstLine="480"/>
        <w:rPr>
          <w:color w:val="auto"/>
          <w:sz w:val="24"/>
        </w:rPr>
      </w:pPr>
      <w:r>
        <w:rPr>
          <w:rFonts w:hint="eastAsia" w:ascii="宋体" w:hAnsi="宋体" w:cs="宋体"/>
          <w:color w:val="auto"/>
          <w:sz w:val="24"/>
        </w:rPr>
        <w:t>②</w:t>
      </w:r>
      <w:r>
        <w:rPr>
          <w:color w:val="auto"/>
          <w:sz w:val="24"/>
        </w:rPr>
        <w:t xml:space="preserve"> 限建区内不符合生态控制线管理相关的法律和规定的现状建设用地，应逐步清退并按要求进行复绿。</w:t>
      </w:r>
    </w:p>
    <w:p>
      <w:pPr>
        <w:adjustRightInd w:val="0"/>
        <w:snapToGrid w:val="0"/>
        <w:spacing w:before="156" w:beforeLines="50"/>
        <w:rPr>
          <w:b/>
          <w:color w:val="auto"/>
          <w:sz w:val="32"/>
          <w:szCs w:val="32"/>
        </w:rPr>
      </w:pPr>
    </w:p>
    <w:p>
      <w:pPr>
        <w:adjustRightInd w:val="0"/>
        <w:snapToGrid w:val="0"/>
        <w:spacing w:before="156" w:beforeLines="50"/>
        <w:jc w:val="center"/>
        <w:rPr>
          <w:b/>
          <w:color w:val="auto"/>
          <w:sz w:val="32"/>
          <w:szCs w:val="32"/>
        </w:rPr>
      </w:pPr>
    </w:p>
    <w:p>
      <w:pPr>
        <w:adjustRightInd w:val="0"/>
        <w:snapToGrid w:val="0"/>
        <w:jc w:val="center"/>
        <w:rPr>
          <w:b/>
          <w:color w:val="auto"/>
          <w:sz w:val="32"/>
          <w:szCs w:val="32"/>
        </w:rPr>
      </w:pPr>
      <w:r>
        <w:rPr>
          <w:b/>
          <w:color w:val="auto"/>
          <w:sz w:val="32"/>
          <w:szCs w:val="32"/>
        </w:rPr>
        <w:t>表</w:t>
      </w:r>
      <w:r>
        <w:rPr>
          <w:rFonts w:hint="eastAsia"/>
          <w:b/>
          <w:color w:val="auto"/>
          <w:sz w:val="32"/>
          <w:szCs w:val="32"/>
        </w:rPr>
        <w:t>1</w:t>
      </w:r>
      <w:r>
        <w:rPr>
          <w:b/>
          <w:color w:val="auto"/>
          <w:sz w:val="32"/>
          <w:szCs w:val="32"/>
        </w:rPr>
        <w:t>-</w:t>
      </w:r>
      <w:r>
        <w:rPr>
          <w:rFonts w:hint="eastAsia"/>
          <w:b/>
          <w:color w:val="auto"/>
          <w:sz w:val="32"/>
          <w:szCs w:val="32"/>
        </w:rPr>
        <w:t>2</w:t>
      </w:r>
      <w:r>
        <w:rPr>
          <w:b/>
          <w:color w:val="auto"/>
          <w:sz w:val="32"/>
          <w:szCs w:val="32"/>
        </w:rPr>
        <w:t xml:space="preserve">   污染及风险防护区空间管制一览表</w:t>
      </w:r>
    </w:p>
    <w:p>
      <w:pPr>
        <w:pStyle w:val="2"/>
        <w:rPr>
          <w:color w:val="auto"/>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2806"/>
        <w:gridCol w:w="4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blHeader/>
          <w:jc w:val="center"/>
        </w:trPr>
        <w:tc>
          <w:tcPr>
            <w:tcW w:w="1540" w:type="dxa"/>
            <w:noWrap w:val="0"/>
            <w:vAlign w:val="center"/>
          </w:tcPr>
          <w:p>
            <w:pPr>
              <w:autoSpaceDE w:val="0"/>
              <w:autoSpaceDN w:val="0"/>
              <w:jc w:val="center"/>
              <w:rPr>
                <w:color w:val="auto"/>
                <w:szCs w:val="21"/>
              </w:rPr>
            </w:pPr>
            <w:r>
              <w:rPr>
                <w:color w:val="auto"/>
                <w:szCs w:val="21"/>
              </w:rPr>
              <w:t>管控对象</w:t>
            </w:r>
          </w:p>
        </w:tc>
        <w:tc>
          <w:tcPr>
            <w:tcW w:w="2806" w:type="dxa"/>
            <w:noWrap w:val="0"/>
            <w:vAlign w:val="center"/>
          </w:tcPr>
          <w:p>
            <w:pPr>
              <w:autoSpaceDE w:val="0"/>
              <w:autoSpaceDN w:val="0"/>
              <w:jc w:val="center"/>
              <w:rPr>
                <w:color w:val="auto"/>
                <w:szCs w:val="21"/>
              </w:rPr>
            </w:pPr>
            <w:r>
              <w:rPr>
                <w:color w:val="auto"/>
                <w:szCs w:val="21"/>
              </w:rPr>
              <w:t>管控范围</w:t>
            </w:r>
          </w:p>
        </w:tc>
        <w:tc>
          <w:tcPr>
            <w:tcW w:w="4434" w:type="dxa"/>
            <w:noWrap w:val="0"/>
            <w:vAlign w:val="center"/>
          </w:tcPr>
          <w:p>
            <w:pPr>
              <w:autoSpaceDE w:val="0"/>
              <w:autoSpaceDN w:val="0"/>
              <w:jc w:val="center"/>
              <w:rPr>
                <w:color w:val="auto"/>
                <w:szCs w:val="21"/>
              </w:rPr>
            </w:pPr>
            <w:r>
              <w:rPr>
                <w:color w:val="auto"/>
                <w:szCs w:val="21"/>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1540" w:type="dxa"/>
            <w:vMerge w:val="restart"/>
            <w:noWrap w:val="0"/>
            <w:vAlign w:val="center"/>
          </w:tcPr>
          <w:p>
            <w:pPr>
              <w:autoSpaceDE w:val="0"/>
              <w:autoSpaceDN w:val="0"/>
              <w:jc w:val="center"/>
              <w:rPr>
                <w:color w:val="auto"/>
                <w:szCs w:val="21"/>
              </w:rPr>
            </w:pPr>
            <w:r>
              <w:rPr>
                <w:color w:val="auto"/>
                <w:szCs w:val="21"/>
              </w:rPr>
              <w:t>噪声防护区</w:t>
            </w:r>
          </w:p>
        </w:tc>
        <w:tc>
          <w:tcPr>
            <w:tcW w:w="2806" w:type="dxa"/>
            <w:noWrap w:val="0"/>
            <w:vAlign w:val="center"/>
          </w:tcPr>
          <w:p>
            <w:pPr>
              <w:autoSpaceDE w:val="0"/>
              <w:autoSpaceDN w:val="0"/>
              <w:jc w:val="center"/>
              <w:rPr>
                <w:color w:val="auto"/>
                <w:szCs w:val="21"/>
              </w:rPr>
            </w:pPr>
            <w:r>
              <w:rPr>
                <w:color w:val="auto"/>
                <w:szCs w:val="21"/>
              </w:rPr>
              <w:t>4</w:t>
            </w:r>
            <w:r>
              <w:rPr>
                <w:rFonts w:hint="eastAsia"/>
                <w:color w:val="auto"/>
                <w:szCs w:val="21"/>
              </w:rPr>
              <w:t>a</w:t>
            </w:r>
            <w:r>
              <w:rPr>
                <w:color w:val="auto"/>
                <w:szCs w:val="21"/>
              </w:rPr>
              <w:t>类区：主干道道路</w:t>
            </w:r>
            <w:r>
              <w:rPr>
                <w:rFonts w:hint="eastAsia"/>
                <w:color w:val="auto"/>
                <w:szCs w:val="21"/>
              </w:rPr>
              <w:t>红线外</w:t>
            </w:r>
            <w:r>
              <w:rPr>
                <w:color w:val="auto"/>
                <w:szCs w:val="21"/>
              </w:rPr>
              <w:t>50m范围、次干道道路</w:t>
            </w:r>
            <w:r>
              <w:rPr>
                <w:rFonts w:hint="eastAsia"/>
                <w:color w:val="auto"/>
                <w:szCs w:val="21"/>
              </w:rPr>
              <w:t>红线外</w:t>
            </w:r>
            <w:r>
              <w:rPr>
                <w:color w:val="auto"/>
                <w:szCs w:val="21"/>
              </w:rPr>
              <w:t>30m范围。</w:t>
            </w:r>
          </w:p>
        </w:tc>
        <w:tc>
          <w:tcPr>
            <w:tcW w:w="4434" w:type="dxa"/>
            <w:noWrap w:val="0"/>
            <w:vAlign w:val="center"/>
          </w:tcPr>
          <w:p>
            <w:pPr>
              <w:autoSpaceDE w:val="0"/>
              <w:autoSpaceDN w:val="0"/>
              <w:jc w:val="center"/>
              <w:rPr>
                <w:color w:val="auto"/>
                <w:szCs w:val="21"/>
              </w:rPr>
            </w:pPr>
            <w:r>
              <w:rPr>
                <w:color w:val="auto"/>
                <w:szCs w:val="21"/>
              </w:rPr>
              <w:t>建议不建设居民区，设置一定宽度绿化带。若因特殊情况需要建设，则需要采取相应措施，使其噪声值达到声环境质量要求。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1540" w:type="dxa"/>
            <w:vMerge w:val="continue"/>
            <w:noWrap w:val="0"/>
            <w:vAlign w:val="center"/>
          </w:tcPr>
          <w:p>
            <w:pPr>
              <w:autoSpaceDE w:val="0"/>
              <w:autoSpaceDN w:val="0"/>
              <w:jc w:val="center"/>
              <w:rPr>
                <w:color w:val="auto"/>
                <w:szCs w:val="21"/>
              </w:rPr>
            </w:pPr>
          </w:p>
        </w:tc>
        <w:tc>
          <w:tcPr>
            <w:tcW w:w="2806" w:type="dxa"/>
            <w:noWrap w:val="0"/>
            <w:vAlign w:val="center"/>
          </w:tcPr>
          <w:p>
            <w:pPr>
              <w:autoSpaceDE w:val="0"/>
              <w:autoSpaceDN w:val="0"/>
              <w:jc w:val="center"/>
              <w:rPr>
                <w:color w:val="auto"/>
                <w:szCs w:val="21"/>
              </w:rPr>
            </w:pPr>
            <w:r>
              <w:rPr>
                <w:color w:val="auto"/>
                <w:szCs w:val="21"/>
              </w:rPr>
              <w:t>3</w:t>
            </w:r>
            <w:r>
              <w:rPr>
                <w:rFonts w:hint="eastAsia"/>
                <w:color w:val="auto"/>
                <w:szCs w:val="21"/>
              </w:rPr>
              <w:t>类区与2类区交界处，2类区侧</w:t>
            </w:r>
            <w:r>
              <w:rPr>
                <w:color w:val="auto"/>
                <w:szCs w:val="21"/>
              </w:rPr>
              <w:t>30-50m区域</w:t>
            </w:r>
          </w:p>
        </w:tc>
        <w:tc>
          <w:tcPr>
            <w:tcW w:w="4434" w:type="dxa"/>
            <w:noWrap w:val="0"/>
            <w:vAlign w:val="center"/>
          </w:tcPr>
          <w:p>
            <w:pPr>
              <w:autoSpaceDE w:val="0"/>
              <w:autoSpaceDN w:val="0"/>
              <w:jc w:val="center"/>
              <w:rPr>
                <w:color w:val="auto"/>
                <w:szCs w:val="21"/>
              </w:rPr>
            </w:pPr>
            <w:r>
              <w:rPr>
                <w:color w:val="auto"/>
                <w:szCs w:val="21"/>
              </w:rPr>
              <w:t>建议不建设居民区，若因特殊情况需要建设，则需要采取相应措施，使其噪声值达到声环境质量2类区要求。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540" w:type="dxa"/>
            <w:vMerge w:val="continue"/>
            <w:noWrap w:val="0"/>
            <w:vAlign w:val="center"/>
          </w:tcPr>
          <w:p>
            <w:pPr>
              <w:autoSpaceDE w:val="0"/>
              <w:autoSpaceDN w:val="0"/>
              <w:jc w:val="center"/>
              <w:rPr>
                <w:color w:val="auto"/>
                <w:szCs w:val="21"/>
              </w:rPr>
            </w:pPr>
          </w:p>
        </w:tc>
        <w:tc>
          <w:tcPr>
            <w:tcW w:w="2806" w:type="dxa"/>
            <w:noWrap w:val="0"/>
            <w:vAlign w:val="center"/>
          </w:tcPr>
          <w:p>
            <w:pPr>
              <w:autoSpaceDE w:val="0"/>
              <w:autoSpaceDN w:val="0"/>
              <w:jc w:val="center"/>
              <w:rPr>
                <w:color w:val="auto"/>
                <w:szCs w:val="21"/>
              </w:rPr>
            </w:pPr>
            <w:r>
              <w:rPr>
                <w:color w:val="auto"/>
                <w:szCs w:val="21"/>
              </w:rPr>
              <w:t>阳安铁路两侧60m</w:t>
            </w:r>
          </w:p>
        </w:tc>
        <w:tc>
          <w:tcPr>
            <w:tcW w:w="4434" w:type="dxa"/>
            <w:noWrap w:val="0"/>
            <w:vAlign w:val="center"/>
          </w:tcPr>
          <w:p>
            <w:pPr>
              <w:autoSpaceDE w:val="0"/>
              <w:autoSpaceDN w:val="0"/>
              <w:jc w:val="center"/>
              <w:rPr>
                <w:color w:val="auto"/>
                <w:szCs w:val="21"/>
              </w:rPr>
            </w:pPr>
            <w:r>
              <w:rPr>
                <w:color w:val="auto"/>
                <w:szCs w:val="21"/>
              </w:rPr>
              <w:t>不布局居住区、学校、医院等敏感区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540" w:type="dxa"/>
            <w:noWrap w:val="0"/>
            <w:vAlign w:val="center"/>
          </w:tcPr>
          <w:p>
            <w:pPr>
              <w:autoSpaceDE w:val="0"/>
              <w:autoSpaceDN w:val="0"/>
              <w:jc w:val="center"/>
              <w:rPr>
                <w:color w:val="auto"/>
                <w:szCs w:val="21"/>
              </w:rPr>
            </w:pPr>
            <w:r>
              <w:rPr>
                <w:color w:val="auto"/>
                <w:szCs w:val="21"/>
              </w:rPr>
              <w:t>环境风险防护距离区</w:t>
            </w:r>
          </w:p>
        </w:tc>
        <w:tc>
          <w:tcPr>
            <w:tcW w:w="2806" w:type="dxa"/>
            <w:noWrap w:val="0"/>
            <w:vAlign w:val="center"/>
          </w:tcPr>
          <w:p>
            <w:pPr>
              <w:autoSpaceDE w:val="0"/>
              <w:autoSpaceDN w:val="0"/>
              <w:jc w:val="center"/>
              <w:rPr>
                <w:color w:val="auto"/>
                <w:szCs w:val="21"/>
              </w:rPr>
            </w:pPr>
            <w:r>
              <w:rPr>
                <w:color w:val="auto"/>
                <w:szCs w:val="21"/>
              </w:rPr>
              <w:t>根据含重大危险源的</w:t>
            </w:r>
            <w:r>
              <w:rPr>
                <w:rFonts w:hint="eastAsia"/>
                <w:color w:val="auto"/>
                <w:szCs w:val="21"/>
                <w:lang w:eastAsia="zh-CN"/>
              </w:rPr>
              <w:t>入区</w:t>
            </w:r>
            <w:r>
              <w:rPr>
                <w:color w:val="auto"/>
                <w:szCs w:val="21"/>
              </w:rPr>
              <w:t>企业的风险评价结论确定</w:t>
            </w:r>
          </w:p>
        </w:tc>
        <w:tc>
          <w:tcPr>
            <w:tcW w:w="4434" w:type="dxa"/>
            <w:noWrap w:val="0"/>
            <w:vAlign w:val="center"/>
          </w:tcPr>
          <w:p>
            <w:pPr>
              <w:autoSpaceDE w:val="0"/>
              <w:autoSpaceDN w:val="0"/>
              <w:jc w:val="center"/>
              <w:rPr>
                <w:color w:val="auto"/>
                <w:szCs w:val="21"/>
              </w:rPr>
            </w:pPr>
            <w:r>
              <w:rPr>
                <w:color w:val="auto"/>
                <w:szCs w:val="21"/>
              </w:rPr>
              <w:t>不布局居住区、学校、医院等敏感区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jc w:val="center"/>
        </w:trPr>
        <w:tc>
          <w:tcPr>
            <w:tcW w:w="1540" w:type="dxa"/>
            <w:noWrap w:val="0"/>
            <w:vAlign w:val="center"/>
          </w:tcPr>
          <w:p>
            <w:pPr>
              <w:autoSpaceDE w:val="0"/>
              <w:autoSpaceDN w:val="0"/>
              <w:jc w:val="center"/>
              <w:rPr>
                <w:color w:val="auto"/>
                <w:szCs w:val="21"/>
              </w:rPr>
            </w:pPr>
            <w:r>
              <w:rPr>
                <w:color w:val="auto"/>
                <w:szCs w:val="21"/>
              </w:rPr>
              <w:t>卫生防护距离</w:t>
            </w:r>
          </w:p>
        </w:tc>
        <w:tc>
          <w:tcPr>
            <w:tcW w:w="2806" w:type="dxa"/>
            <w:noWrap w:val="0"/>
            <w:vAlign w:val="center"/>
          </w:tcPr>
          <w:p>
            <w:pPr>
              <w:autoSpaceDE w:val="0"/>
              <w:autoSpaceDN w:val="0"/>
              <w:jc w:val="center"/>
              <w:rPr>
                <w:color w:val="auto"/>
                <w:szCs w:val="21"/>
              </w:rPr>
            </w:pPr>
            <w:r>
              <w:rPr>
                <w:rFonts w:hint="eastAsia"/>
                <w:color w:val="auto"/>
                <w:szCs w:val="21"/>
                <w:lang w:eastAsia="zh-CN"/>
              </w:rPr>
              <w:t>入区</w:t>
            </w:r>
            <w:r>
              <w:rPr>
                <w:color w:val="auto"/>
                <w:szCs w:val="21"/>
              </w:rPr>
              <w:t>企业应按国家相关标准划定卫生防护距离</w:t>
            </w:r>
          </w:p>
        </w:tc>
        <w:tc>
          <w:tcPr>
            <w:tcW w:w="4434" w:type="dxa"/>
            <w:noWrap w:val="0"/>
            <w:vAlign w:val="center"/>
          </w:tcPr>
          <w:p>
            <w:pPr>
              <w:autoSpaceDE w:val="0"/>
              <w:autoSpaceDN w:val="0"/>
              <w:jc w:val="center"/>
              <w:rPr>
                <w:color w:val="auto"/>
                <w:szCs w:val="21"/>
              </w:rPr>
            </w:pPr>
            <w:r>
              <w:rPr>
                <w:color w:val="auto"/>
                <w:szCs w:val="21"/>
              </w:rPr>
              <w:t>已有或在建企业卫生防护距离范围内不得布局居住区等敏感目标；已有居住区等敏感目标周边布局工业企业项目应保证卫生防护距离要求。</w:t>
            </w:r>
          </w:p>
        </w:tc>
      </w:tr>
    </w:tbl>
    <w:p>
      <w:pPr>
        <w:pStyle w:val="2"/>
        <w:rPr>
          <w:rFonts w:hint="eastAsia" w:ascii="Times New Roman"/>
          <w:b/>
          <w:color w:val="auto"/>
        </w:rPr>
        <w:sectPr>
          <w:footerReference r:id="rId3" w:type="default"/>
          <w:footerReference r:id="rId4" w:type="even"/>
          <w:pgSz w:w="11906" w:h="16838"/>
          <w:pgMar w:top="2098" w:right="1588" w:bottom="1985" w:left="1474" w:header="851" w:footer="1644" w:gutter="0"/>
          <w:cols w:space="720" w:num="1"/>
          <w:docGrid w:type="lines" w:linePitch="312" w:charSpace="0"/>
        </w:sectPr>
      </w:pPr>
    </w:p>
    <w:p>
      <w:pPr>
        <w:pStyle w:val="2"/>
        <w:rPr>
          <w:rFonts w:hint="eastAsia" w:ascii="Times New Roman"/>
          <w:b/>
          <w:color w:val="auto"/>
        </w:rPr>
      </w:pPr>
      <w:r>
        <w:rPr>
          <w:rFonts w:hint="eastAsia" w:ascii="Times New Roman"/>
          <w:b/>
          <w:color w:val="auto"/>
        </w:rPr>
        <w:t>附件2：</w:t>
      </w:r>
    </w:p>
    <w:p>
      <w:pPr>
        <w:autoSpaceDE w:val="0"/>
        <w:autoSpaceDN w:val="0"/>
        <w:jc w:val="center"/>
        <w:rPr>
          <w:b/>
          <w:color w:val="auto"/>
          <w:sz w:val="24"/>
        </w:rPr>
      </w:pPr>
    </w:p>
    <w:p>
      <w:pPr>
        <w:autoSpaceDE w:val="0"/>
        <w:autoSpaceDN w:val="0"/>
        <w:jc w:val="center"/>
        <w:rPr>
          <w:rFonts w:hint="eastAsia"/>
          <w:b/>
          <w:color w:val="auto"/>
          <w:sz w:val="32"/>
          <w:szCs w:val="32"/>
        </w:rPr>
      </w:pPr>
      <w:r>
        <w:rPr>
          <w:b/>
          <w:color w:val="auto"/>
          <w:sz w:val="32"/>
          <w:szCs w:val="32"/>
        </w:rPr>
        <w:t>环境准入负面清单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15" w:type="dxa"/>
          <w:left w:w="15" w:type="dxa"/>
          <w:bottom w:w="15" w:type="dxa"/>
          <w:right w:w="15" w:type="dxa"/>
        </w:tblCellMar>
      </w:tblPr>
      <w:tblGrid>
        <w:gridCol w:w="841"/>
        <w:gridCol w:w="1343"/>
        <w:gridCol w:w="189"/>
        <w:gridCol w:w="1354"/>
        <w:gridCol w:w="170"/>
        <w:gridCol w:w="2231"/>
        <w:gridCol w:w="1254"/>
        <w:gridCol w:w="4269"/>
        <w:gridCol w:w="2029"/>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611" w:hRule="atLeast"/>
          <w:jc w:val="center"/>
        </w:trPr>
        <w:tc>
          <w:tcPr>
            <w:tcW w:w="841" w:type="dxa"/>
            <w:noWrap w:val="0"/>
            <w:vAlign w:val="center"/>
          </w:tcPr>
          <w:p>
            <w:pPr>
              <w:widowControl/>
              <w:jc w:val="center"/>
              <w:rPr>
                <w:rFonts w:ascii="宋体" w:hAnsi="宋体" w:cs="宋体"/>
                <w:b/>
                <w:color w:val="auto"/>
                <w:kern w:val="0"/>
                <w:sz w:val="18"/>
                <w:szCs w:val="18"/>
              </w:rPr>
            </w:pPr>
            <w:r>
              <w:rPr>
                <w:rFonts w:hint="eastAsia" w:ascii="宋体" w:hAnsi="宋体" w:cs="宋体"/>
                <w:b/>
                <w:color w:val="auto"/>
                <w:kern w:val="0"/>
                <w:sz w:val="18"/>
                <w:szCs w:val="18"/>
              </w:rPr>
              <w:t>门类 (代码及名称)</w:t>
            </w:r>
          </w:p>
        </w:tc>
        <w:tc>
          <w:tcPr>
            <w:tcW w:w="1343" w:type="dxa"/>
            <w:noWrap w:val="0"/>
            <w:vAlign w:val="center"/>
          </w:tcPr>
          <w:p>
            <w:pPr>
              <w:widowControl/>
              <w:jc w:val="center"/>
              <w:rPr>
                <w:rFonts w:hint="eastAsia" w:ascii="宋体" w:hAnsi="宋体" w:cs="宋体"/>
                <w:b/>
                <w:color w:val="auto"/>
                <w:kern w:val="0"/>
                <w:sz w:val="18"/>
                <w:szCs w:val="18"/>
              </w:rPr>
            </w:pPr>
            <w:r>
              <w:rPr>
                <w:rFonts w:hint="eastAsia" w:ascii="宋体" w:hAnsi="宋体" w:cs="宋体"/>
                <w:b/>
                <w:color w:val="auto"/>
                <w:kern w:val="0"/>
                <w:sz w:val="18"/>
                <w:szCs w:val="18"/>
              </w:rPr>
              <w:t>大类 (代码</w:t>
            </w:r>
          </w:p>
          <w:p>
            <w:pPr>
              <w:widowControl/>
              <w:jc w:val="center"/>
              <w:rPr>
                <w:rFonts w:ascii="宋体" w:hAnsi="宋体" w:cs="宋体"/>
                <w:b/>
                <w:color w:val="auto"/>
                <w:kern w:val="0"/>
                <w:sz w:val="18"/>
                <w:szCs w:val="18"/>
              </w:rPr>
            </w:pPr>
            <w:r>
              <w:rPr>
                <w:rFonts w:hint="eastAsia" w:ascii="宋体" w:hAnsi="宋体" w:cs="宋体"/>
                <w:b/>
                <w:color w:val="auto"/>
                <w:kern w:val="0"/>
                <w:sz w:val="18"/>
                <w:szCs w:val="18"/>
              </w:rPr>
              <w:t>及名称)</w:t>
            </w:r>
          </w:p>
        </w:tc>
        <w:tc>
          <w:tcPr>
            <w:tcW w:w="1543" w:type="dxa"/>
            <w:gridSpan w:val="2"/>
            <w:noWrap w:val="0"/>
            <w:vAlign w:val="center"/>
          </w:tcPr>
          <w:p>
            <w:pPr>
              <w:widowControl/>
              <w:jc w:val="center"/>
              <w:rPr>
                <w:rFonts w:hint="eastAsia" w:ascii="宋体" w:hAnsi="宋体" w:cs="宋体"/>
                <w:b/>
                <w:color w:val="auto"/>
                <w:kern w:val="0"/>
                <w:sz w:val="18"/>
                <w:szCs w:val="18"/>
              </w:rPr>
            </w:pPr>
            <w:r>
              <w:rPr>
                <w:rFonts w:hint="eastAsia" w:ascii="宋体" w:hAnsi="宋体" w:cs="宋体"/>
                <w:b/>
                <w:color w:val="auto"/>
                <w:kern w:val="0"/>
                <w:sz w:val="18"/>
                <w:szCs w:val="18"/>
              </w:rPr>
              <w:t>中类 (代码</w:t>
            </w:r>
          </w:p>
          <w:p>
            <w:pPr>
              <w:widowControl/>
              <w:jc w:val="center"/>
              <w:rPr>
                <w:rFonts w:ascii="宋体" w:hAnsi="宋体" w:cs="宋体"/>
                <w:b/>
                <w:color w:val="auto"/>
                <w:kern w:val="0"/>
                <w:sz w:val="18"/>
                <w:szCs w:val="18"/>
              </w:rPr>
            </w:pPr>
            <w:r>
              <w:rPr>
                <w:rFonts w:hint="eastAsia" w:ascii="宋体" w:hAnsi="宋体" w:cs="宋体"/>
                <w:b/>
                <w:color w:val="auto"/>
                <w:kern w:val="0"/>
                <w:sz w:val="18"/>
                <w:szCs w:val="18"/>
              </w:rPr>
              <w:t>及名称)</w:t>
            </w:r>
          </w:p>
        </w:tc>
        <w:tc>
          <w:tcPr>
            <w:tcW w:w="2401" w:type="dxa"/>
            <w:gridSpan w:val="2"/>
            <w:noWrap w:val="0"/>
            <w:vAlign w:val="center"/>
          </w:tcPr>
          <w:p>
            <w:pPr>
              <w:widowControl/>
              <w:jc w:val="center"/>
              <w:rPr>
                <w:rFonts w:ascii="宋体" w:hAnsi="宋体" w:cs="宋体"/>
                <w:b/>
                <w:color w:val="auto"/>
                <w:kern w:val="0"/>
                <w:sz w:val="18"/>
                <w:szCs w:val="18"/>
              </w:rPr>
            </w:pPr>
            <w:r>
              <w:rPr>
                <w:rFonts w:hint="eastAsia" w:ascii="宋体" w:hAnsi="宋体" w:cs="宋体"/>
                <w:b/>
                <w:color w:val="auto"/>
                <w:kern w:val="0"/>
                <w:sz w:val="18"/>
                <w:szCs w:val="18"/>
              </w:rPr>
              <w:t>小类 (代码及名称)</w:t>
            </w:r>
          </w:p>
        </w:tc>
        <w:tc>
          <w:tcPr>
            <w:tcW w:w="1254" w:type="dxa"/>
            <w:noWrap w:val="0"/>
            <w:vAlign w:val="center"/>
          </w:tcPr>
          <w:p>
            <w:pPr>
              <w:widowControl/>
              <w:jc w:val="center"/>
              <w:rPr>
                <w:rFonts w:ascii="宋体" w:hAnsi="宋体" w:cs="宋体"/>
                <w:b/>
                <w:color w:val="auto"/>
                <w:kern w:val="0"/>
                <w:sz w:val="18"/>
                <w:szCs w:val="18"/>
              </w:rPr>
            </w:pPr>
            <w:r>
              <w:rPr>
                <w:rFonts w:hint="eastAsia" w:ascii="宋体" w:hAnsi="宋体" w:cs="宋体"/>
                <w:b/>
                <w:color w:val="auto"/>
                <w:kern w:val="0"/>
                <w:sz w:val="18"/>
                <w:szCs w:val="18"/>
              </w:rPr>
              <w:t>产业存在状况</w:t>
            </w:r>
          </w:p>
        </w:tc>
        <w:tc>
          <w:tcPr>
            <w:tcW w:w="4269" w:type="dxa"/>
            <w:noWrap w:val="0"/>
            <w:vAlign w:val="center"/>
          </w:tcPr>
          <w:p>
            <w:pPr>
              <w:widowControl/>
              <w:jc w:val="center"/>
              <w:rPr>
                <w:rFonts w:ascii="宋体" w:hAnsi="宋体" w:cs="宋体"/>
                <w:b/>
                <w:color w:val="auto"/>
                <w:kern w:val="0"/>
                <w:sz w:val="18"/>
                <w:szCs w:val="18"/>
              </w:rPr>
            </w:pPr>
            <w:r>
              <w:rPr>
                <w:rFonts w:hint="eastAsia" w:ascii="宋体" w:hAnsi="宋体" w:cs="宋体"/>
                <w:b/>
                <w:color w:val="auto"/>
                <w:kern w:val="0"/>
                <w:sz w:val="18"/>
                <w:szCs w:val="18"/>
              </w:rPr>
              <w:t>管控要求</w:t>
            </w:r>
          </w:p>
        </w:tc>
        <w:tc>
          <w:tcPr>
            <w:tcW w:w="2029" w:type="dxa"/>
            <w:noWrap w:val="0"/>
            <w:vAlign w:val="center"/>
          </w:tcPr>
          <w:p>
            <w:pPr>
              <w:widowControl/>
              <w:jc w:val="center"/>
              <w:rPr>
                <w:rFonts w:ascii="宋体" w:hAnsi="宋体" w:cs="宋体"/>
                <w:b/>
                <w:color w:val="auto"/>
                <w:kern w:val="0"/>
                <w:sz w:val="18"/>
                <w:szCs w:val="18"/>
              </w:rPr>
            </w:pPr>
            <w:r>
              <w:rPr>
                <w:rFonts w:hint="eastAsia" w:ascii="宋体" w:hAnsi="宋体" w:cs="宋体"/>
                <w:b/>
                <w:color w:val="auto"/>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292" w:hRule="atLeast"/>
          <w:jc w:val="center"/>
        </w:trPr>
        <w:tc>
          <w:tcPr>
            <w:tcW w:w="13680" w:type="dxa"/>
            <w:gridSpan w:val="9"/>
            <w:noWrap w:val="0"/>
            <w:vAlign w:val="center"/>
          </w:tcPr>
          <w:p>
            <w:pPr>
              <w:ind w:right="360"/>
              <w:rPr>
                <w:rFonts w:ascii="宋体" w:hAnsi="宋体" w:cs="宋体"/>
                <w:b/>
                <w:color w:val="auto"/>
                <w:kern w:val="0"/>
                <w:sz w:val="18"/>
                <w:szCs w:val="18"/>
              </w:rPr>
            </w:pPr>
            <w:r>
              <w:rPr>
                <w:rFonts w:hint="eastAsia" w:ascii="宋体" w:hAnsi="宋体" w:cs="宋体"/>
                <w:b/>
                <w:color w:val="auto"/>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292" w:hRule="atLeast"/>
          <w:jc w:val="center"/>
        </w:trPr>
        <w:tc>
          <w:tcPr>
            <w:tcW w:w="841"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A农、林、牧、渔业</w:t>
            </w:r>
          </w:p>
        </w:tc>
        <w:tc>
          <w:tcPr>
            <w:tcW w:w="134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01农业</w:t>
            </w:r>
          </w:p>
        </w:tc>
        <w:tc>
          <w:tcPr>
            <w:tcW w:w="1543" w:type="dxa"/>
            <w:gridSpan w:val="2"/>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011谷物种植</w:t>
            </w:r>
          </w:p>
        </w:tc>
        <w:tc>
          <w:tcPr>
            <w:tcW w:w="2401" w:type="dxa"/>
            <w:gridSpan w:val="2"/>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0112小麦种植</w:t>
            </w:r>
          </w:p>
        </w:tc>
        <w:tc>
          <w:tcPr>
            <w:tcW w:w="1254"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现有一般产业</w:t>
            </w:r>
          </w:p>
        </w:tc>
        <w:tc>
          <w:tcPr>
            <w:tcW w:w="4269" w:type="dxa"/>
            <w:vMerge w:val="restart"/>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禁止在规划区新开垦土地种植；</w:t>
            </w:r>
          </w:p>
          <w:p>
            <w:pPr>
              <w:widowControl/>
              <w:jc w:val="left"/>
              <w:rPr>
                <w:color w:val="auto"/>
              </w:rPr>
            </w:pPr>
            <w:r>
              <w:rPr>
                <w:rFonts w:hint="eastAsia" w:ascii="宋体" w:hAnsi="宋体" w:cs="宋体"/>
                <w:color w:val="auto"/>
                <w:kern w:val="0"/>
                <w:sz w:val="18"/>
                <w:szCs w:val="18"/>
              </w:rPr>
              <w:t>现有耕地在开发前仍然继续耕种的，禁止使用高毒、高残留农药。</w:t>
            </w:r>
          </w:p>
        </w:tc>
        <w:tc>
          <w:tcPr>
            <w:tcW w:w="202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《指导目录》“允许类”</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292" w:hRule="atLeast"/>
          <w:jc w:val="center"/>
        </w:trPr>
        <w:tc>
          <w:tcPr>
            <w:tcW w:w="841" w:type="dxa"/>
            <w:vMerge w:val="continue"/>
            <w:noWrap w:val="0"/>
            <w:vAlign w:val="center"/>
          </w:tcPr>
          <w:p>
            <w:pPr>
              <w:widowControl/>
              <w:jc w:val="center"/>
              <w:rPr>
                <w:rFonts w:ascii="宋体" w:hAnsi="宋体" w:cs="宋体"/>
                <w:color w:val="auto"/>
                <w:kern w:val="0"/>
                <w:sz w:val="18"/>
                <w:szCs w:val="18"/>
              </w:rPr>
            </w:pPr>
          </w:p>
        </w:tc>
        <w:tc>
          <w:tcPr>
            <w:tcW w:w="1343" w:type="dxa"/>
            <w:vMerge w:val="continue"/>
            <w:noWrap w:val="0"/>
            <w:vAlign w:val="center"/>
          </w:tcPr>
          <w:p>
            <w:pPr>
              <w:widowControl/>
              <w:jc w:val="center"/>
              <w:rPr>
                <w:rFonts w:ascii="宋体" w:hAnsi="宋体" w:cs="宋体"/>
                <w:color w:val="auto"/>
                <w:kern w:val="0"/>
                <w:sz w:val="18"/>
                <w:szCs w:val="18"/>
              </w:rPr>
            </w:pPr>
          </w:p>
        </w:tc>
        <w:tc>
          <w:tcPr>
            <w:tcW w:w="1543" w:type="dxa"/>
            <w:gridSpan w:val="2"/>
            <w:vMerge w:val="continue"/>
            <w:noWrap w:val="0"/>
            <w:vAlign w:val="center"/>
          </w:tcPr>
          <w:p>
            <w:pPr>
              <w:widowControl/>
              <w:jc w:val="center"/>
              <w:rPr>
                <w:rFonts w:ascii="宋体" w:hAnsi="宋体" w:cs="宋体"/>
                <w:color w:val="auto"/>
                <w:kern w:val="0"/>
                <w:sz w:val="18"/>
                <w:szCs w:val="18"/>
              </w:rPr>
            </w:pPr>
          </w:p>
        </w:tc>
        <w:tc>
          <w:tcPr>
            <w:tcW w:w="2401" w:type="dxa"/>
            <w:gridSpan w:val="2"/>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0113玉米种植</w:t>
            </w:r>
          </w:p>
        </w:tc>
        <w:tc>
          <w:tcPr>
            <w:tcW w:w="1254"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现有主导产业</w:t>
            </w:r>
          </w:p>
        </w:tc>
        <w:tc>
          <w:tcPr>
            <w:tcW w:w="4269" w:type="dxa"/>
            <w:vMerge w:val="continue"/>
            <w:noWrap w:val="0"/>
            <w:vAlign w:val="center"/>
          </w:tcPr>
          <w:p>
            <w:pPr>
              <w:widowControl/>
              <w:jc w:val="left"/>
              <w:rPr>
                <w:rFonts w:ascii="宋体" w:hAnsi="宋体" w:cs="宋体"/>
                <w:color w:val="auto"/>
                <w:kern w:val="0"/>
                <w:sz w:val="18"/>
                <w:szCs w:val="18"/>
              </w:rPr>
            </w:pPr>
          </w:p>
        </w:tc>
        <w:tc>
          <w:tcPr>
            <w:tcW w:w="2029" w:type="dxa"/>
            <w:vMerge w:val="continue"/>
            <w:noWrap w:val="0"/>
            <w:vAlign w:val="center"/>
          </w:tcPr>
          <w:p>
            <w:pPr>
              <w:widowControl/>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292" w:hRule="atLeast"/>
          <w:jc w:val="center"/>
        </w:trPr>
        <w:tc>
          <w:tcPr>
            <w:tcW w:w="841" w:type="dxa"/>
            <w:vMerge w:val="continue"/>
            <w:noWrap w:val="0"/>
            <w:vAlign w:val="center"/>
          </w:tcPr>
          <w:p>
            <w:pPr>
              <w:widowControl/>
              <w:jc w:val="center"/>
              <w:rPr>
                <w:rFonts w:ascii="宋体" w:hAnsi="宋体" w:cs="宋体"/>
                <w:color w:val="auto"/>
                <w:kern w:val="0"/>
                <w:sz w:val="18"/>
                <w:szCs w:val="18"/>
              </w:rPr>
            </w:pPr>
          </w:p>
        </w:tc>
        <w:tc>
          <w:tcPr>
            <w:tcW w:w="1343" w:type="dxa"/>
            <w:vMerge w:val="continue"/>
            <w:noWrap w:val="0"/>
            <w:vAlign w:val="center"/>
          </w:tcPr>
          <w:p>
            <w:pPr>
              <w:widowControl/>
              <w:jc w:val="center"/>
              <w:rPr>
                <w:rFonts w:ascii="宋体" w:hAnsi="宋体" w:cs="宋体"/>
                <w:color w:val="auto"/>
                <w:kern w:val="0"/>
                <w:sz w:val="18"/>
                <w:szCs w:val="18"/>
              </w:rPr>
            </w:pPr>
          </w:p>
        </w:tc>
        <w:tc>
          <w:tcPr>
            <w:tcW w:w="1543" w:type="dxa"/>
            <w:gridSpan w:val="2"/>
            <w:vMerge w:val="continue"/>
            <w:noWrap w:val="0"/>
            <w:vAlign w:val="center"/>
          </w:tcPr>
          <w:p>
            <w:pPr>
              <w:widowControl/>
              <w:jc w:val="center"/>
              <w:rPr>
                <w:rFonts w:ascii="宋体" w:hAnsi="宋体" w:cs="宋体"/>
                <w:color w:val="auto"/>
                <w:kern w:val="0"/>
                <w:sz w:val="18"/>
                <w:szCs w:val="18"/>
              </w:rPr>
            </w:pPr>
          </w:p>
        </w:tc>
        <w:tc>
          <w:tcPr>
            <w:tcW w:w="2401" w:type="dxa"/>
            <w:gridSpan w:val="2"/>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0119其他谷物种植</w:t>
            </w:r>
          </w:p>
        </w:tc>
        <w:tc>
          <w:tcPr>
            <w:tcW w:w="1254"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现有一般产业</w:t>
            </w:r>
          </w:p>
        </w:tc>
        <w:tc>
          <w:tcPr>
            <w:tcW w:w="4269" w:type="dxa"/>
            <w:vMerge w:val="continue"/>
            <w:noWrap w:val="0"/>
            <w:vAlign w:val="center"/>
          </w:tcPr>
          <w:p>
            <w:pPr>
              <w:widowControl/>
              <w:jc w:val="left"/>
              <w:rPr>
                <w:rFonts w:ascii="宋体" w:hAnsi="宋体" w:cs="宋体"/>
                <w:color w:val="auto"/>
                <w:kern w:val="0"/>
                <w:sz w:val="18"/>
                <w:szCs w:val="18"/>
              </w:rPr>
            </w:pPr>
          </w:p>
        </w:tc>
        <w:tc>
          <w:tcPr>
            <w:tcW w:w="2029" w:type="dxa"/>
            <w:vMerge w:val="continue"/>
            <w:noWrap w:val="0"/>
            <w:vAlign w:val="center"/>
          </w:tcPr>
          <w:p>
            <w:pPr>
              <w:widowControl/>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292" w:hRule="atLeast"/>
          <w:jc w:val="center"/>
        </w:trPr>
        <w:tc>
          <w:tcPr>
            <w:tcW w:w="841" w:type="dxa"/>
            <w:vMerge w:val="continue"/>
            <w:noWrap w:val="0"/>
            <w:vAlign w:val="center"/>
          </w:tcPr>
          <w:p>
            <w:pPr>
              <w:widowControl/>
              <w:jc w:val="center"/>
              <w:rPr>
                <w:rFonts w:ascii="宋体" w:hAnsi="宋体" w:cs="宋体"/>
                <w:color w:val="auto"/>
                <w:kern w:val="0"/>
                <w:sz w:val="18"/>
                <w:szCs w:val="18"/>
              </w:rPr>
            </w:pPr>
          </w:p>
        </w:tc>
        <w:tc>
          <w:tcPr>
            <w:tcW w:w="1343" w:type="dxa"/>
            <w:vMerge w:val="continue"/>
            <w:noWrap w:val="0"/>
            <w:vAlign w:val="center"/>
          </w:tcPr>
          <w:p>
            <w:pPr>
              <w:widowControl/>
              <w:jc w:val="center"/>
              <w:rPr>
                <w:rFonts w:ascii="宋体" w:hAnsi="宋体" w:cs="宋体"/>
                <w:color w:val="auto"/>
                <w:kern w:val="0"/>
                <w:sz w:val="18"/>
                <w:szCs w:val="18"/>
              </w:rPr>
            </w:pPr>
          </w:p>
        </w:tc>
        <w:tc>
          <w:tcPr>
            <w:tcW w:w="1543" w:type="dxa"/>
            <w:gridSpan w:val="2"/>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012豆类、油料和薯类种植</w:t>
            </w:r>
          </w:p>
        </w:tc>
        <w:tc>
          <w:tcPr>
            <w:tcW w:w="2401" w:type="dxa"/>
            <w:gridSpan w:val="2"/>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0121豆类种植</w:t>
            </w:r>
          </w:p>
        </w:tc>
        <w:tc>
          <w:tcPr>
            <w:tcW w:w="1254"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现有一般产业</w:t>
            </w:r>
          </w:p>
        </w:tc>
        <w:tc>
          <w:tcPr>
            <w:tcW w:w="4269" w:type="dxa"/>
            <w:vMerge w:val="continue"/>
            <w:noWrap w:val="0"/>
            <w:vAlign w:val="center"/>
          </w:tcPr>
          <w:p>
            <w:pPr>
              <w:widowControl/>
              <w:jc w:val="left"/>
              <w:rPr>
                <w:rFonts w:ascii="宋体" w:hAnsi="宋体" w:cs="宋体"/>
                <w:color w:val="auto"/>
                <w:kern w:val="0"/>
                <w:sz w:val="18"/>
                <w:szCs w:val="18"/>
              </w:rPr>
            </w:pPr>
          </w:p>
        </w:tc>
        <w:tc>
          <w:tcPr>
            <w:tcW w:w="2029" w:type="dxa"/>
            <w:vMerge w:val="continue"/>
            <w:noWrap w:val="0"/>
            <w:vAlign w:val="center"/>
          </w:tcPr>
          <w:p>
            <w:pPr>
              <w:widowControl/>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292" w:hRule="atLeast"/>
          <w:jc w:val="center"/>
        </w:trPr>
        <w:tc>
          <w:tcPr>
            <w:tcW w:w="841" w:type="dxa"/>
            <w:vMerge w:val="continue"/>
            <w:noWrap w:val="0"/>
            <w:vAlign w:val="center"/>
          </w:tcPr>
          <w:p>
            <w:pPr>
              <w:widowControl/>
              <w:jc w:val="center"/>
              <w:rPr>
                <w:rFonts w:ascii="宋体" w:hAnsi="宋体" w:cs="宋体"/>
                <w:color w:val="auto"/>
                <w:kern w:val="0"/>
                <w:sz w:val="18"/>
                <w:szCs w:val="18"/>
              </w:rPr>
            </w:pPr>
          </w:p>
        </w:tc>
        <w:tc>
          <w:tcPr>
            <w:tcW w:w="1343" w:type="dxa"/>
            <w:vMerge w:val="continue"/>
            <w:noWrap w:val="0"/>
            <w:vAlign w:val="center"/>
          </w:tcPr>
          <w:p>
            <w:pPr>
              <w:widowControl/>
              <w:jc w:val="center"/>
              <w:rPr>
                <w:rFonts w:ascii="宋体" w:hAnsi="宋体" w:cs="宋体"/>
                <w:color w:val="auto"/>
                <w:kern w:val="0"/>
                <w:sz w:val="18"/>
                <w:szCs w:val="18"/>
              </w:rPr>
            </w:pPr>
          </w:p>
        </w:tc>
        <w:tc>
          <w:tcPr>
            <w:tcW w:w="1543" w:type="dxa"/>
            <w:gridSpan w:val="2"/>
            <w:vMerge w:val="continue"/>
            <w:noWrap w:val="0"/>
            <w:vAlign w:val="center"/>
          </w:tcPr>
          <w:p>
            <w:pPr>
              <w:widowControl/>
              <w:jc w:val="center"/>
              <w:rPr>
                <w:rFonts w:ascii="宋体" w:hAnsi="宋体" w:cs="宋体"/>
                <w:color w:val="auto"/>
                <w:kern w:val="0"/>
                <w:sz w:val="18"/>
                <w:szCs w:val="18"/>
              </w:rPr>
            </w:pPr>
          </w:p>
        </w:tc>
        <w:tc>
          <w:tcPr>
            <w:tcW w:w="2401" w:type="dxa"/>
            <w:gridSpan w:val="2"/>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0122油料种植</w:t>
            </w:r>
          </w:p>
        </w:tc>
        <w:tc>
          <w:tcPr>
            <w:tcW w:w="1254"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现有一般产业</w:t>
            </w:r>
          </w:p>
        </w:tc>
        <w:tc>
          <w:tcPr>
            <w:tcW w:w="4269" w:type="dxa"/>
            <w:vMerge w:val="continue"/>
            <w:noWrap w:val="0"/>
            <w:vAlign w:val="center"/>
          </w:tcPr>
          <w:p>
            <w:pPr>
              <w:widowControl/>
              <w:jc w:val="left"/>
              <w:rPr>
                <w:rFonts w:ascii="宋体" w:hAnsi="宋体" w:cs="宋体"/>
                <w:color w:val="auto"/>
                <w:kern w:val="0"/>
                <w:sz w:val="18"/>
                <w:szCs w:val="18"/>
              </w:rPr>
            </w:pPr>
          </w:p>
        </w:tc>
        <w:tc>
          <w:tcPr>
            <w:tcW w:w="2029" w:type="dxa"/>
            <w:vMerge w:val="continue"/>
            <w:noWrap w:val="0"/>
            <w:vAlign w:val="center"/>
          </w:tcPr>
          <w:p>
            <w:pPr>
              <w:widowControl/>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292" w:hRule="atLeast"/>
          <w:jc w:val="center"/>
        </w:trPr>
        <w:tc>
          <w:tcPr>
            <w:tcW w:w="841" w:type="dxa"/>
            <w:vMerge w:val="continue"/>
            <w:noWrap w:val="0"/>
            <w:vAlign w:val="center"/>
          </w:tcPr>
          <w:p>
            <w:pPr>
              <w:widowControl/>
              <w:jc w:val="center"/>
              <w:rPr>
                <w:rFonts w:ascii="宋体" w:hAnsi="宋体" w:cs="宋体"/>
                <w:color w:val="auto"/>
                <w:kern w:val="0"/>
                <w:sz w:val="18"/>
                <w:szCs w:val="18"/>
              </w:rPr>
            </w:pPr>
          </w:p>
        </w:tc>
        <w:tc>
          <w:tcPr>
            <w:tcW w:w="1343" w:type="dxa"/>
            <w:vMerge w:val="continue"/>
            <w:noWrap w:val="0"/>
            <w:vAlign w:val="center"/>
          </w:tcPr>
          <w:p>
            <w:pPr>
              <w:widowControl/>
              <w:jc w:val="center"/>
              <w:rPr>
                <w:rFonts w:ascii="宋体" w:hAnsi="宋体" w:cs="宋体"/>
                <w:color w:val="auto"/>
                <w:kern w:val="0"/>
                <w:sz w:val="18"/>
                <w:szCs w:val="18"/>
              </w:rPr>
            </w:pPr>
          </w:p>
        </w:tc>
        <w:tc>
          <w:tcPr>
            <w:tcW w:w="1543" w:type="dxa"/>
            <w:gridSpan w:val="2"/>
            <w:vMerge w:val="continue"/>
            <w:noWrap w:val="0"/>
            <w:vAlign w:val="center"/>
          </w:tcPr>
          <w:p>
            <w:pPr>
              <w:widowControl/>
              <w:jc w:val="center"/>
              <w:rPr>
                <w:rFonts w:ascii="宋体" w:hAnsi="宋体" w:cs="宋体"/>
                <w:color w:val="auto"/>
                <w:kern w:val="0"/>
                <w:sz w:val="18"/>
                <w:szCs w:val="18"/>
              </w:rPr>
            </w:pPr>
          </w:p>
        </w:tc>
        <w:tc>
          <w:tcPr>
            <w:tcW w:w="2401" w:type="dxa"/>
            <w:gridSpan w:val="2"/>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0123薯类种植</w:t>
            </w:r>
          </w:p>
        </w:tc>
        <w:tc>
          <w:tcPr>
            <w:tcW w:w="1254"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现有一般产业</w:t>
            </w:r>
          </w:p>
        </w:tc>
        <w:tc>
          <w:tcPr>
            <w:tcW w:w="4269" w:type="dxa"/>
            <w:vMerge w:val="continue"/>
            <w:noWrap w:val="0"/>
            <w:vAlign w:val="center"/>
          </w:tcPr>
          <w:p>
            <w:pPr>
              <w:widowControl/>
              <w:jc w:val="left"/>
              <w:rPr>
                <w:rFonts w:ascii="宋体" w:hAnsi="宋体" w:cs="宋体"/>
                <w:color w:val="auto"/>
                <w:kern w:val="0"/>
                <w:sz w:val="18"/>
                <w:szCs w:val="18"/>
              </w:rPr>
            </w:pPr>
          </w:p>
        </w:tc>
        <w:tc>
          <w:tcPr>
            <w:tcW w:w="2029" w:type="dxa"/>
            <w:vMerge w:val="continue"/>
            <w:noWrap w:val="0"/>
            <w:vAlign w:val="center"/>
          </w:tcPr>
          <w:p>
            <w:pPr>
              <w:widowControl/>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461" w:hRule="atLeast"/>
          <w:jc w:val="center"/>
        </w:trPr>
        <w:tc>
          <w:tcPr>
            <w:tcW w:w="841"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C制造业</w:t>
            </w:r>
          </w:p>
        </w:tc>
        <w:tc>
          <w:tcPr>
            <w:tcW w:w="134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13农副食品加工业</w:t>
            </w:r>
          </w:p>
        </w:tc>
        <w:tc>
          <w:tcPr>
            <w:tcW w:w="1543" w:type="dxa"/>
            <w:gridSpan w:val="2"/>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35屠宰及肉类加工</w:t>
            </w:r>
          </w:p>
        </w:tc>
        <w:tc>
          <w:tcPr>
            <w:tcW w:w="2401" w:type="dxa"/>
            <w:gridSpan w:val="2"/>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1351肉制品及副产品加工</w:t>
            </w:r>
          </w:p>
        </w:tc>
        <w:tc>
          <w:tcPr>
            <w:tcW w:w="1254"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现有主导产业</w:t>
            </w:r>
          </w:p>
        </w:tc>
        <w:tc>
          <w:tcPr>
            <w:tcW w:w="4269"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禁止新建肉制品加工，现有企业不得扩建用地范围。</w:t>
            </w:r>
          </w:p>
        </w:tc>
        <w:tc>
          <w:tcPr>
            <w:tcW w:w="202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不符合经开区发展规划</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292" w:hRule="atLeast"/>
          <w:jc w:val="center"/>
        </w:trPr>
        <w:tc>
          <w:tcPr>
            <w:tcW w:w="841" w:type="dxa"/>
            <w:vMerge w:val="continue"/>
            <w:noWrap w:val="0"/>
            <w:vAlign w:val="center"/>
          </w:tcPr>
          <w:p>
            <w:pPr>
              <w:widowControl/>
              <w:jc w:val="center"/>
              <w:rPr>
                <w:rFonts w:hint="eastAsia" w:ascii="宋体" w:hAnsi="宋体" w:cs="宋体"/>
                <w:color w:val="auto"/>
                <w:kern w:val="0"/>
                <w:sz w:val="18"/>
                <w:szCs w:val="18"/>
              </w:rPr>
            </w:pPr>
          </w:p>
        </w:tc>
        <w:tc>
          <w:tcPr>
            <w:tcW w:w="1343" w:type="dxa"/>
            <w:vMerge w:val="restart"/>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30非金属矿物制品业</w:t>
            </w:r>
          </w:p>
        </w:tc>
        <w:tc>
          <w:tcPr>
            <w:tcW w:w="1543" w:type="dxa"/>
            <w:gridSpan w:val="2"/>
            <w:vMerge w:val="restart"/>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302石膏、水泥制品及类似制品制造</w:t>
            </w:r>
          </w:p>
        </w:tc>
        <w:tc>
          <w:tcPr>
            <w:tcW w:w="2401" w:type="dxa"/>
            <w:gridSpan w:val="2"/>
            <w:noWrap w:val="0"/>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3021水泥制品制造</w:t>
            </w:r>
          </w:p>
        </w:tc>
        <w:tc>
          <w:tcPr>
            <w:tcW w:w="1254"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现有主导产业</w:t>
            </w:r>
          </w:p>
        </w:tc>
        <w:tc>
          <w:tcPr>
            <w:tcW w:w="4269"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禁止新建，禁止除环保、清洁生产改造外的改扩建。</w:t>
            </w:r>
          </w:p>
        </w:tc>
        <w:tc>
          <w:tcPr>
            <w:tcW w:w="202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不符合经开区发展规划</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292" w:hRule="atLeast"/>
          <w:jc w:val="center"/>
        </w:trPr>
        <w:tc>
          <w:tcPr>
            <w:tcW w:w="841" w:type="dxa"/>
            <w:vMerge w:val="continue"/>
            <w:noWrap w:val="0"/>
            <w:vAlign w:val="center"/>
          </w:tcPr>
          <w:p>
            <w:pPr>
              <w:widowControl/>
              <w:jc w:val="center"/>
              <w:rPr>
                <w:rFonts w:hint="eastAsia" w:ascii="宋体" w:hAnsi="宋体" w:cs="宋体"/>
                <w:color w:val="auto"/>
                <w:kern w:val="0"/>
                <w:sz w:val="18"/>
                <w:szCs w:val="18"/>
              </w:rPr>
            </w:pPr>
          </w:p>
        </w:tc>
        <w:tc>
          <w:tcPr>
            <w:tcW w:w="1343" w:type="dxa"/>
            <w:vMerge w:val="continue"/>
            <w:noWrap w:val="0"/>
            <w:vAlign w:val="center"/>
          </w:tcPr>
          <w:p>
            <w:pPr>
              <w:widowControl/>
              <w:jc w:val="center"/>
              <w:rPr>
                <w:rFonts w:hint="eastAsia" w:ascii="宋体" w:hAnsi="宋体" w:cs="宋体"/>
                <w:color w:val="auto"/>
                <w:kern w:val="0"/>
                <w:sz w:val="18"/>
                <w:szCs w:val="18"/>
              </w:rPr>
            </w:pPr>
          </w:p>
        </w:tc>
        <w:tc>
          <w:tcPr>
            <w:tcW w:w="1543" w:type="dxa"/>
            <w:gridSpan w:val="2"/>
            <w:vMerge w:val="continue"/>
            <w:noWrap w:val="0"/>
            <w:vAlign w:val="center"/>
          </w:tcPr>
          <w:p>
            <w:pPr>
              <w:widowControl/>
              <w:jc w:val="left"/>
              <w:rPr>
                <w:rFonts w:hint="eastAsia" w:ascii="宋体" w:hAnsi="宋体" w:cs="宋体"/>
                <w:color w:val="auto"/>
                <w:kern w:val="0"/>
                <w:sz w:val="18"/>
                <w:szCs w:val="18"/>
              </w:rPr>
            </w:pPr>
          </w:p>
        </w:tc>
        <w:tc>
          <w:tcPr>
            <w:tcW w:w="2401" w:type="dxa"/>
            <w:gridSpan w:val="2"/>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3022砼结构构件制造</w:t>
            </w:r>
          </w:p>
        </w:tc>
        <w:tc>
          <w:tcPr>
            <w:tcW w:w="1254"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现有主导产业</w:t>
            </w:r>
          </w:p>
        </w:tc>
        <w:tc>
          <w:tcPr>
            <w:tcW w:w="4269"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禁止新建，禁止除环保、清洁生产改造外的改扩建。</w:t>
            </w:r>
          </w:p>
        </w:tc>
        <w:tc>
          <w:tcPr>
            <w:tcW w:w="2029" w:type="dxa"/>
            <w:vMerge w:val="continue"/>
            <w:noWrap w:val="0"/>
            <w:vAlign w:val="center"/>
          </w:tcPr>
          <w:p>
            <w:pPr>
              <w:widowControl/>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292" w:hRule="atLeast"/>
          <w:jc w:val="center"/>
        </w:trPr>
        <w:tc>
          <w:tcPr>
            <w:tcW w:w="841" w:type="dxa"/>
            <w:vMerge w:val="continue"/>
            <w:noWrap w:val="0"/>
            <w:vAlign w:val="center"/>
          </w:tcPr>
          <w:p>
            <w:pPr>
              <w:widowControl/>
              <w:jc w:val="center"/>
              <w:rPr>
                <w:rFonts w:hint="eastAsia" w:ascii="宋体" w:hAnsi="宋体" w:cs="宋体"/>
                <w:color w:val="auto"/>
                <w:kern w:val="0"/>
                <w:sz w:val="18"/>
                <w:szCs w:val="18"/>
              </w:rPr>
            </w:pPr>
          </w:p>
        </w:tc>
        <w:tc>
          <w:tcPr>
            <w:tcW w:w="1343" w:type="dxa"/>
            <w:vMerge w:val="continue"/>
            <w:noWrap w:val="0"/>
            <w:vAlign w:val="center"/>
          </w:tcPr>
          <w:p>
            <w:pPr>
              <w:widowControl/>
              <w:jc w:val="center"/>
              <w:rPr>
                <w:rFonts w:hint="eastAsia" w:ascii="宋体" w:hAnsi="宋体" w:cs="宋体"/>
                <w:color w:val="auto"/>
                <w:kern w:val="0"/>
                <w:sz w:val="18"/>
                <w:szCs w:val="18"/>
              </w:rPr>
            </w:pPr>
          </w:p>
        </w:tc>
        <w:tc>
          <w:tcPr>
            <w:tcW w:w="1543" w:type="dxa"/>
            <w:gridSpan w:val="2"/>
            <w:vMerge w:val="restart"/>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303砖瓦、石材等建筑材料制造</w:t>
            </w:r>
          </w:p>
        </w:tc>
        <w:tc>
          <w:tcPr>
            <w:tcW w:w="2401" w:type="dxa"/>
            <w:gridSpan w:val="2"/>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3039粘土砖瓦及建筑砌块制造</w:t>
            </w:r>
          </w:p>
        </w:tc>
        <w:tc>
          <w:tcPr>
            <w:tcW w:w="1254"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现有主导产业</w:t>
            </w:r>
          </w:p>
        </w:tc>
        <w:tc>
          <w:tcPr>
            <w:tcW w:w="4269"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禁止新建，禁止除环保、清洁生产改造外的改扩建。</w:t>
            </w:r>
          </w:p>
        </w:tc>
        <w:tc>
          <w:tcPr>
            <w:tcW w:w="2029" w:type="dxa"/>
            <w:vMerge w:val="continue"/>
            <w:noWrap w:val="0"/>
            <w:vAlign w:val="center"/>
          </w:tcPr>
          <w:p>
            <w:pPr>
              <w:widowControl/>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292" w:hRule="atLeast"/>
          <w:jc w:val="center"/>
        </w:trPr>
        <w:tc>
          <w:tcPr>
            <w:tcW w:w="841" w:type="dxa"/>
            <w:vMerge w:val="continue"/>
            <w:noWrap w:val="0"/>
            <w:vAlign w:val="center"/>
          </w:tcPr>
          <w:p>
            <w:pPr>
              <w:widowControl/>
              <w:jc w:val="center"/>
              <w:rPr>
                <w:rFonts w:hint="eastAsia" w:ascii="宋体" w:hAnsi="宋体" w:cs="宋体"/>
                <w:color w:val="auto"/>
                <w:kern w:val="0"/>
                <w:sz w:val="18"/>
                <w:szCs w:val="18"/>
              </w:rPr>
            </w:pPr>
          </w:p>
        </w:tc>
        <w:tc>
          <w:tcPr>
            <w:tcW w:w="1343" w:type="dxa"/>
            <w:vMerge w:val="continue"/>
            <w:noWrap w:val="0"/>
            <w:vAlign w:val="center"/>
          </w:tcPr>
          <w:p>
            <w:pPr>
              <w:widowControl/>
              <w:jc w:val="center"/>
              <w:rPr>
                <w:rFonts w:hint="eastAsia" w:ascii="宋体" w:hAnsi="宋体" w:cs="宋体"/>
                <w:color w:val="auto"/>
                <w:kern w:val="0"/>
                <w:sz w:val="18"/>
                <w:szCs w:val="18"/>
              </w:rPr>
            </w:pPr>
          </w:p>
        </w:tc>
        <w:tc>
          <w:tcPr>
            <w:tcW w:w="1543" w:type="dxa"/>
            <w:gridSpan w:val="2"/>
            <w:vMerge w:val="continue"/>
            <w:noWrap w:val="0"/>
            <w:vAlign w:val="center"/>
          </w:tcPr>
          <w:p>
            <w:pPr>
              <w:widowControl/>
              <w:jc w:val="left"/>
              <w:rPr>
                <w:rFonts w:hint="eastAsia" w:ascii="宋体" w:hAnsi="宋体" w:cs="宋体"/>
                <w:color w:val="auto"/>
                <w:kern w:val="0"/>
                <w:sz w:val="18"/>
                <w:szCs w:val="18"/>
              </w:rPr>
            </w:pPr>
          </w:p>
        </w:tc>
        <w:tc>
          <w:tcPr>
            <w:tcW w:w="2401" w:type="dxa"/>
            <w:gridSpan w:val="2"/>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3031其他建筑材料制造</w:t>
            </w:r>
          </w:p>
        </w:tc>
        <w:tc>
          <w:tcPr>
            <w:tcW w:w="1254"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现有主导产业</w:t>
            </w:r>
          </w:p>
        </w:tc>
        <w:tc>
          <w:tcPr>
            <w:tcW w:w="4269"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禁止新建，禁止除环保、清洁生产改造外的改扩建。</w:t>
            </w:r>
          </w:p>
        </w:tc>
        <w:tc>
          <w:tcPr>
            <w:tcW w:w="2029" w:type="dxa"/>
            <w:vMerge w:val="continue"/>
            <w:noWrap w:val="0"/>
            <w:vAlign w:val="center"/>
          </w:tcPr>
          <w:p>
            <w:pPr>
              <w:widowControl/>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292" w:hRule="atLeast"/>
          <w:jc w:val="center"/>
        </w:trPr>
        <w:tc>
          <w:tcPr>
            <w:tcW w:w="841" w:type="dxa"/>
            <w:vMerge w:val="continue"/>
            <w:noWrap w:val="0"/>
            <w:vAlign w:val="center"/>
          </w:tcPr>
          <w:p>
            <w:pPr>
              <w:widowControl/>
              <w:jc w:val="center"/>
              <w:rPr>
                <w:rFonts w:hint="eastAsia" w:ascii="宋体" w:hAnsi="宋体" w:cs="宋体"/>
                <w:color w:val="auto"/>
                <w:kern w:val="0"/>
                <w:sz w:val="18"/>
                <w:szCs w:val="18"/>
              </w:rPr>
            </w:pPr>
          </w:p>
        </w:tc>
        <w:tc>
          <w:tcPr>
            <w:tcW w:w="1343" w:type="dxa"/>
            <w:vMerge w:val="continue"/>
            <w:noWrap w:val="0"/>
            <w:vAlign w:val="center"/>
          </w:tcPr>
          <w:p>
            <w:pPr>
              <w:widowControl/>
              <w:jc w:val="center"/>
              <w:rPr>
                <w:rFonts w:hint="eastAsia" w:ascii="宋体" w:hAnsi="宋体" w:cs="宋体"/>
                <w:color w:val="auto"/>
                <w:kern w:val="0"/>
                <w:sz w:val="18"/>
                <w:szCs w:val="18"/>
              </w:rPr>
            </w:pPr>
          </w:p>
        </w:tc>
        <w:tc>
          <w:tcPr>
            <w:tcW w:w="1543" w:type="dxa"/>
            <w:gridSpan w:val="2"/>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304玻璃制造</w:t>
            </w:r>
          </w:p>
        </w:tc>
        <w:tc>
          <w:tcPr>
            <w:tcW w:w="2401" w:type="dxa"/>
            <w:gridSpan w:val="2"/>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3042特种玻璃制造</w:t>
            </w:r>
          </w:p>
        </w:tc>
        <w:tc>
          <w:tcPr>
            <w:tcW w:w="1254"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现有主导产业</w:t>
            </w:r>
          </w:p>
        </w:tc>
        <w:tc>
          <w:tcPr>
            <w:tcW w:w="4269"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禁止新建，禁止除环保、清洁生产改造外的改扩建。</w:t>
            </w:r>
          </w:p>
        </w:tc>
        <w:tc>
          <w:tcPr>
            <w:tcW w:w="2029" w:type="dxa"/>
            <w:vMerge w:val="continue"/>
            <w:noWrap w:val="0"/>
            <w:vAlign w:val="center"/>
          </w:tcPr>
          <w:p>
            <w:pPr>
              <w:widowControl/>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473" w:hRule="atLeast"/>
          <w:jc w:val="center"/>
        </w:trPr>
        <w:tc>
          <w:tcPr>
            <w:tcW w:w="841" w:type="dxa"/>
            <w:vMerge w:val="continue"/>
            <w:noWrap w:val="0"/>
            <w:vAlign w:val="center"/>
          </w:tcPr>
          <w:p>
            <w:pPr>
              <w:widowControl/>
              <w:jc w:val="center"/>
              <w:rPr>
                <w:rFonts w:hint="eastAsia" w:ascii="宋体" w:hAnsi="宋体" w:cs="宋体"/>
                <w:color w:val="auto"/>
                <w:kern w:val="0"/>
                <w:sz w:val="18"/>
                <w:szCs w:val="18"/>
              </w:rPr>
            </w:pPr>
          </w:p>
        </w:tc>
        <w:tc>
          <w:tcPr>
            <w:tcW w:w="134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31黑色金属冶炼和压延加工业</w:t>
            </w:r>
          </w:p>
        </w:tc>
        <w:tc>
          <w:tcPr>
            <w:tcW w:w="1543" w:type="dxa"/>
            <w:gridSpan w:val="2"/>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313钢压延加工</w:t>
            </w:r>
          </w:p>
        </w:tc>
        <w:tc>
          <w:tcPr>
            <w:tcW w:w="2401" w:type="dxa"/>
            <w:gridSpan w:val="2"/>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3130钢压延加工</w:t>
            </w:r>
          </w:p>
        </w:tc>
        <w:tc>
          <w:tcPr>
            <w:tcW w:w="1254"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现有主导产业</w:t>
            </w:r>
          </w:p>
        </w:tc>
        <w:tc>
          <w:tcPr>
            <w:tcW w:w="4269"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禁止新建，禁止除环保、清洁生产改造外的改扩建。</w:t>
            </w:r>
          </w:p>
        </w:tc>
        <w:tc>
          <w:tcPr>
            <w:tcW w:w="202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不符合经开区发展规划</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292" w:hRule="atLeast"/>
          <w:jc w:val="center"/>
        </w:trPr>
        <w:tc>
          <w:tcPr>
            <w:tcW w:w="841" w:type="dxa"/>
            <w:vMerge w:val="continue"/>
            <w:noWrap w:val="0"/>
            <w:vAlign w:val="center"/>
          </w:tcPr>
          <w:p>
            <w:pPr>
              <w:widowControl/>
              <w:jc w:val="center"/>
              <w:rPr>
                <w:rFonts w:hint="eastAsia" w:ascii="宋体" w:hAnsi="宋体" w:cs="宋体"/>
                <w:color w:val="auto"/>
                <w:kern w:val="0"/>
                <w:sz w:val="18"/>
                <w:szCs w:val="18"/>
              </w:rPr>
            </w:pPr>
          </w:p>
        </w:tc>
        <w:tc>
          <w:tcPr>
            <w:tcW w:w="1343" w:type="dxa"/>
            <w:vMerge w:val="restart"/>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33金属制品业</w:t>
            </w:r>
          </w:p>
        </w:tc>
        <w:tc>
          <w:tcPr>
            <w:tcW w:w="1543" w:type="dxa"/>
            <w:gridSpan w:val="2"/>
            <w:vMerge w:val="restart"/>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331结构性金属制品制造</w:t>
            </w:r>
          </w:p>
        </w:tc>
        <w:tc>
          <w:tcPr>
            <w:tcW w:w="2401" w:type="dxa"/>
            <w:gridSpan w:val="2"/>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3311金属结构制造</w:t>
            </w:r>
          </w:p>
        </w:tc>
        <w:tc>
          <w:tcPr>
            <w:tcW w:w="1254"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现有主导产业</w:t>
            </w:r>
          </w:p>
        </w:tc>
        <w:tc>
          <w:tcPr>
            <w:tcW w:w="4269"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禁止新建，禁止除环保、清洁生产改造外的改扩建。</w:t>
            </w:r>
          </w:p>
        </w:tc>
        <w:tc>
          <w:tcPr>
            <w:tcW w:w="202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不符合经开区发展规划</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292" w:hRule="atLeast"/>
          <w:jc w:val="center"/>
        </w:trPr>
        <w:tc>
          <w:tcPr>
            <w:tcW w:w="841" w:type="dxa"/>
            <w:vMerge w:val="continue"/>
            <w:noWrap w:val="0"/>
            <w:vAlign w:val="center"/>
          </w:tcPr>
          <w:p>
            <w:pPr>
              <w:widowControl/>
              <w:jc w:val="center"/>
              <w:rPr>
                <w:rFonts w:hint="eastAsia" w:ascii="宋体" w:hAnsi="宋体" w:cs="宋体"/>
                <w:color w:val="auto"/>
                <w:kern w:val="0"/>
                <w:sz w:val="18"/>
                <w:szCs w:val="18"/>
              </w:rPr>
            </w:pPr>
          </w:p>
        </w:tc>
        <w:tc>
          <w:tcPr>
            <w:tcW w:w="1343" w:type="dxa"/>
            <w:vMerge w:val="continue"/>
            <w:noWrap w:val="0"/>
            <w:vAlign w:val="center"/>
          </w:tcPr>
          <w:p>
            <w:pPr>
              <w:widowControl/>
              <w:jc w:val="center"/>
              <w:rPr>
                <w:rFonts w:hint="eastAsia" w:ascii="宋体" w:hAnsi="宋体" w:cs="宋体"/>
                <w:color w:val="auto"/>
                <w:kern w:val="0"/>
                <w:sz w:val="18"/>
                <w:szCs w:val="18"/>
              </w:rPr>
            </w:pPr>
          </w:p>
        </w:tc>
        <w:tc>
          <w:tcPr>
            <w:tcW w:w="1543" w:type="dxa"/>
            <w:gridSpan w:val="2"/>
            <w:vMerge w:val="continue"/>
            <w:noWrap w:val="0"/>
            <w:vAlign w:val="center"/>
          </w:tcPr>
          <w:p>
            <w:pPr>
              <w:widowControl/>
              <w:jc w:val="left"/>
              <w:rPr>
                <w:rFonts w:hint="eastAsia" w:ascii="宋体" w:hAnsi="宋体" w:cs="宋体"/>
                <w:color w:val="auto"/>
                <w:kern w:val="0"/>
                <w:sz w:val="18"/>
                <w:szCs w:val="18"/>
              </w:rPr>
            </w:pPr>
          </w:p>
        </w:tc>
        <w:tc>
          <w:tcPr>
            <w:tcW w:w="2401" w:type="dxa"/>
            <w:gridSpan w:val="2"/>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3312金属门窗制造</w:t>
            </w:r>
          </w:p>
        </w:tc>
        <w:tc>
          <w:tcPr>
            <w:tcW w:w="1254"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现有主导产业</w:t>
            </w:r>
          </w:p>
        </w:tc>
        <w:tc>
          <w:tcPr>
            <w:tcW w:w="4269"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禁止新建，禁止除环保、清洁生产改造外的改扩建。</w:t>
            </w:r>
          </w:p>
        </w:tc>
        <w:tc>
          <w:tcPr>
            <w:tcW w:w="2029" w:type="dxa"/>
            <w:vMerge w:val="continue"/>
            <w:noWrap w:val="0"/>
            <w:vAlign w:val="center"/>
          </w:tcPr>
          <w:p>
            <w:pPr>
              <w:widowControl/>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617" w:hRule="atLeast"/>
          <w:jc w:val="center"/>
        </w:trPr>
        <w:tc>
          <w:tcPr>
            <w:tcW w:w="841" w:type="dxa"/>
            <w:vMerge w:val="continue"/>
            <w:noWrap w:val="0"/>
            <w:vAlign w:val="center"/>
          </w:tcPr>
          <w:p>
            <w:pPr>
              <w:widowControl/>
              <w:jc w:val="center"/>
              <w:rPr>
                <w:rFonts w:hint="eastAsia" w:ascii="宋体" w:hAnsi="宋体" w:cs="宋体"/>
                <w:color w:val="auto"/>
                <w:kern w:val="0"/>
                <w:sz w:val="18"/>
                <w:szCs w:val="18"/>
              </w:rPr>
            </w:pPr>
          </w:p>
        </w:tc>
        <w:tc>
          <w:tcPr>
            <w:tcW w:w="134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38电气机械和器材制造业</w:t>
            </w:r>
          </w:p>
        </w:tc>
        <w:tc>
          <w:tcPr>
            <w:tcW w:w="1543" w:type="dxa"/>
            <w:gridSpan w:val="2"/>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389其他电气机械及器材制造</w:t>
            </w:r>
          </w:p>
        </w:tc>
        <w:tc>
          <w:tcPr>
            <w:tcW w:w="2401" w:type="dxa"/>
            <w:gridSpan w:val="2"/>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3899其他电气机械及器材制造</w:t>
            </w:r>
          </w:p>
        </w:tc>
        <w:tc>
          <w:tcPr>
            <w:tcW w:w="1254"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现有主导产业</w:t>
            </w:r>
          </w:p>
        </w:tc>
        <w:tc>
          <w:tcPr>
            <w:tcW w:w="4269"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禁止新建，禁止除环保、清洁生产改造外的改扩建。</w:t>
            </w:r>
          </w:p>
        </w:tc>
        <w:tc>
          <w:tcPr>
            <w:tcW w:w="2029" w:type="dxa"/>
            <w:vMerge w:val="continue"/>
            <w:noWrap w:val="0"/>
            <w:vAlign w:val="center"/>
          </w:tcPr>
          <w:p>
            <w:pPr>
              <w:widowControl/>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292" w:hRule="atLeast"/>
          <w:jc w:val="center"/>
        </w:trPr>
        <w:tc>
          <w:tcPr>
            <w:tcW w:w="13680" w:type="dxa"/>
            <w:gridSpan w:val="9"/>
            <w:noWrap w:val="0"/>
            <w:vAlign w:val="center"/>
          </w:tcPr>
          <w:p>
            <w:pPr>
              <w:rPr>
                <w:rFonts w:ascii="宋体" w:hAnsi="宋体" w:cs="宋体"/>
                <w:b/>
                <w:color w:val="auto"/>
                <w:kern w:val="0"/>
                <w:sz w:val="18"/>
                <w:szCs w:val="18"/>
              </w:rPr>
            </w:pPr>
            <w:r>
              <w:rPr>
                <w:rFonts w:hint="eastAsia" w:ascii="宋体" w:hAnsi="宋体" w:cs="宋体"/>
                <w:b/>
                <w:color w:val="auto"/>
                <w:kern w:val="0"/>
                <w:sz w:val="18"/>
                <w:szCs w:val="18"/>
              </w:rPr>
              <w:t>禁止类：</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292" w:hRule="atLeast"/>
          <w:jc w:val="center"/>
        </w:trPr>
        <w:tc>
          <w:tcPr>
            <w:tcW w:w="841"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A农、林、牧、渔业</w:t>
            </w:r>
          </w:p>
        </w:tc>
        <w:tc>
          <w:tcPr>
            <w:tcW w:w="1532" w:type="dxa"/>
            <w:gridSpan w:val="2"/>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03牧业</w:t>
            </w:r>
          </w:p>
        </w:tc>
        <w:tc>
          <w:tcPr>
            <w:tcW w:w="1524" w:type="dxa"/>
            <w:gridSpan w:val="2"/>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031牲畜饲养</w:t>
            </w:r>
          </w:p>
        </w:tc>
        <w:tc>
          <w:tcPr>
            <w:tcW w:w="2231"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0311牛的饲养</w:t>
            </w:r>
          </w:p>
        </w:tc>
        <w:tc>
          <w:tcPr>
            <w:tcW w:w="1254"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现有一般产业</w:t>
            </w:r>
          </w:p>
        </w:tc>
        <w:tc>
          <w:tcPr>
            <w:tcW w:w="4269"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规划区位于县城规划区、池河镇镇规划区域内，属于禁养区。禁养区内严禁新建、改建、扩建各类畜禽养殖场，现有散养家畜家禽，在搬迁安置后不得再饲养。</w:t>
            </w:r>
          </w:p>
        </w:tc>
        <w:tc>
          <w:tcPr>
            <w:tcW w:w="202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《指导目录》“允许类”</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292" w:hRule="atLeast"/>
          <w:jc w:val="center"/>
        </w:trPr>
        <w:tc>
          <w:tcPr>
            <w:tcW w:w="841" w:type="dxa"/>
            <w:vMerge w:val="continue"/>
            <w:noWrap w:val="0"/>
            <w:vAlign w:val="center"/>
          </w:tcPr>
          <w:p>
            <w:pPr>
              <w:widowControl/>
              <w:jc w:val="center"/>
              <w:rPr>
                <w:rFonts w:ascii="宋体" w:hAnsi="宋体" w:cs="宋体"/>
                <w:color w:val="auto"/>
                <w:kern w:val="0"/>
                <w:sz w:val="18"/>
                <w:szCs w:val="18"/>
              </w:rPr>
            </w:pPr>
          </w:p>
        </w:tc>
        <w:tc>
          <w:tcPr>
            <w:tcW w:w="1532" w:type="dxa"/>
            <w:gridSpan w:val="2"/>
            <w:vMerge w:val="continue"/>
            <w:noWrap w:val="0"/>
            <w:vAlign w:val="center"/>
          </w:tcPr>
          <w:p>
            <w:pPr>
              <w:widowControl/>
              <w:jc w:val="center"/>
              <w:rPr>
                <w:rFonts w:ascii="宋体" w:hAnsi="宋体" w:cs="宋体"/>
                <w:color w:val="auto"/>
                <w:kern w:val="0"/>
                <w:sz w:val="18"/>
                <w:szCs w:val="18"/>
              </w:rPr>
            </w:pPr>
          </w:p>
        </w:tc>
        <w:tc>
          <w:tcPr>
            <w:tcW w:w="1524" w:type="dxa"/>
            <w:gridSpan w:val="2"/>
            <w:vMerge w:val="continue"/>
            <w:noWrap w:val="0"/>
            <w:vAlign w:val="center"/>
          </w:tcPr>
          <w:p>
            <w:pPr>
              <w:widowControl/>
              <w:jc w:val="center"/>
              <w:rPr>
                <w:rFonts w:ascii="宋体" w:hAnsi="宋体" w:cs="宋体"/>
                <w:color w:val="auto"/>
                <w:kern w:val="0"/>
                <w:sz w:val="18"/>
                <w:szCs w:val="18"/>
              </w:rPr>
            </w:pPr>
          </w:p>
        </w:tc>
        <w:tc>
          <w:tcPr>
            <w:tcW w:w="2231"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0313猪的饲养</w:t>
            </w:r>
          </w:p>
        </w:tc>
        <w:tc>
          <w:tcPr>
            <w:tcW w:w="1254"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现有一般产业</w:t>
            </w:r>
          </w:p>
        </w:tc>
        <w:tc>
          <w:tcPr>
            <w:tcW w:w="4269" w:type="dxa"/>
            <w:vMerge w:val="continue"/>
            <w:noWrap w:val="0"/>
            <w:vAlign w:val="center"/>
          </w:tcPr>
          <w:p>
            <w:pPr>
              <w:widowControl/>
              <w:jc w:val="left"/>
              <w:rPr>
                <w:rFonts w:ascii="宋体" w:hAnsi="宋体" w:cs="宋体"/>
                <w:color w:val="auto"/>
                <w:kern w:val="0"/>
                <w:sz w:val="18"/>
                <w:szCs w:val="18"/>
              </w:rPr>
            </w:pPr>
          </w:p>
        </w:tc>
        <w:tc>
          <w:tcPr>
            <w:tcW w:w="2029" w:type="dxa"/>
            <w:vMerge w:val="continue"/>
            <w:noWrap w:val="0"/>
            <w:vAlign w:val="center"/>
          </w:tcPr>
          <w:p>
            <w:pPr>
              <w:widowControl/>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292" w:hRule="atLeast"/>
          <w:jc w:val="center"/>
        </w:trPr>
        <w:tc>
          <w:tcPr>
            <w:tcW w:w="841" w:type="dxa"/>
            <w:vMerge w:val="continue"/>
            <w:noWrap w:val="0"/>
            <w:vAlign w:val="center"/>
          </w:tcPr>
          <w:p>
            <w:pPr>
              <w:widowControl/>
              <w:jc w:val="center"/>
              <w:rPr>
                <w:rFonts w:ascii="宋体" w:hAnsi="宋体" w:cs="宋体"/>
                <w:color w:val="auto"/>
                <w:kern w:val="0"/>
                <w:sz w:val="18"/>
                <w:szCs w:val="18"/>
              </w:rPr>
            </w:pPr>
          </w:p>
        </w:tc>
        <w:tc>
          <w:tcPr>
            <w:tcW w:w="1532" w:type="dxa"/>
            <w:gridSpan w:val="2"/>
            <w:vMerge w:val="continue"/>
            <w:noWrap w:val="0"/>
            <w:vAlign w:val="center"/>
          </w:tcPr>
          <w:p>
            <w:pPr>
              <w:widowControl/>
              <w:jc w:val="center"/>
              <w:rPr>
                <w:rFonts w:ascii="宋体" w:hAnsi="宋体" w:cs="宋体"/>
                <w:color w:val="auto"/>
                <w:kern w:val="0"/>
                <w:sz w:val="18"/>
                <w:szCs w:val="18"/>
              </w:rPr>
            </w:pPr>
          </w:p>
        </w:tc>
        <w:tc>
          <w:tcPr>
            <w:tcW w:w="1524" w:type="dxa"/>
            <w:gridSpan w:val="2"/>
            <w:vMerge w:val="continue"/>
            <w:noWrap w:val="0"/>
            <w:vAlign w:val="center"/>
          </w:tcPr>
          <w:p>
            <w:pPr>
              <w:widowControl/>
              <w:jc w:val="center"/>
              <w:rPr>
                <w:rFonts w:ascii="宋体" w:hAnsi="宋体" w:cs="宋体"/>
                <w:color w:val="auto"/>
                <w:kern w:val="0"/>
                <w:sz w:val="18"/>
                <w:szCs w:val="18"/>
              </w:rPr>
            </w:pPr>
          </w:p>
        </w:tc>
        <w:tc>
          <w:tcPr>
            <w:tcW w:w="2231"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0314羊的饲养</w:t>
            </w:r>
          </w:p>
        </w:tc>
        <w:tc>
          <w:tcPr>
            <w:tcW w:w="1254"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现有一般产业</w:t>
            </w:r>
          </w:p>
        </w:tc>
        <w:tc>
          <w:tcPr>
            <w:tcW w:w="4269" w:type="dxa"/>
            <w:vMerge w:val="continue"/>
            <w:noWrap w:val="0"/>
            <w:vAlign w:val="center"/>
          </w:tcPr>
          <w:p>
            <w:pPr>
              <w:widowControl/>
              <w:jc w:val="left"/>
              <w:rPr>
                <w:rFonts w:ascii="宋体" w:hAnsi="宋体" w:cs="宋体"/>
                <w:color w:val="auto"/>
                <w:kern w:val="0"/>
                <w:sz w:val="18"/>
                <w:szCs w:val="18"/>
              </w:rPr>
            </w:pPr>
          </w:p>
        </w:tc>
        <w:tc>
          <w:tcPr>
            <w:tcW w:w="2029" w:type="dxa"/>
            <w:vMerge w:val="continue"/>
            <w:noWrap w:val="0"/>
            <w:vAlign w:val="center"/>
          </w:tcPr>
          <w:p>
            <w:pPr>
              <w:widowControl/>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461" w:hRule="atLeast"/>
          <w:jc w:val="center"/>
        </w:trPr>
        <w:tc>
          <w:tcPr>
            <w:tcW w:w="841"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C制造业</w:t>
            </w:r>
          </w:p>
        </w:tc>
        <w:tc>
          <w:tcPr>
            <w:tcW w:w="1532" w:type="dxa"/>
            <w:gridSpan w:val="2"/>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13农副食品加工业</w:t>
            </w:r>
          </w:p>
        </w:tc>
        <w:tc>
          <w:tcPr>
            <w:tcW w:w="1524" w:type="dxa"/>
            <w:gridSpan w:val="2"/>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135屠宰及肉类加工</w:t>
            </w:r>
          </w:p>
        </w:tc>
        <w:tc>
          <w:tcPr>
            <w:tcW w:w="2231"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1351牲畜屠宰</w:t>
            </w:r>
          </w:p>
        </w:tc>
        <w:tc>
          <w:tcPr>
            <w:tcW w:w="1254"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现有一般产业</w:t>
            </w:r>
          </w:p>
        </w:tc>
        <w:tc>
          <w:tcPr>
            <w:tcW w:w="4269"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禁止新建、扩建畜牧屠宰场，现有屠宰设施，在2018年12月31日前全部关停。</w:t>
            </w:r>
          </w:p>
        </w:tc>
        <w:tc>
          <w:tcPr>
            <w:tcW w:w="202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461" w:hRule="atLeast"/>
          <w:jc w:val="center"/>
        </w:trPr>
        <w:tc>
          <w:tcPr>
            <w:tcW w:w="841" w:type="dxa"/>
            <w:vMerge w:val="continue"/>
            <w:noWrap w:val="0"/>
            <w:vAlign w:val="center"/>
          </w:tcPr>
          <w:p>
            <w:pPr>
              <w:widowControl/>
              <w:jc w:val="center"/>
              <w:rPr>
                <w:rFonts w:hint="eastAsia" w:ascii="宋体" w:hAnsi="宋体" w:cs="宋体"/>
                <w:color w:val="auto"/>
                <w:kern w:val="0"/>
                <w:sz w:val="18"/>
                <w:szCs w:val="18"/>
              </w:rPr>
            </w:pPr>
          </w:p>
        </w:tc>
        <w:tc>
          <w:tcPr>
            <w:tcW w:w="1532" w:type="dxa"/>
            <w:gridSpan w:val="2"/>
            <w:vMerge w:val="restart"/>
            <w:noWrap w:val="0"/>
            <w:vAlign w:val="center"/>
          </w:tcPr>
          <w:p>
            <w:pPr>
              <w:jc w:val="center"/>
              <w:rPr>
                <w:rFonts w:hint="eastAsia" w:ascii="宋体" w:hAnsi="宋体" w:cs="宋体"/>
                <w:color w:val="auto"/>
                <w:kern w:val="0"/>
                <w:sz w:val="18"/>
                <w:szCs w:val="18"/>
              </w:rPr>
            </w:pPr>
            <w:r>
              <w:rPr>
                <w:rFonts w:ascii="宋体" w:hAnsi="宋体" w:cs="宋体"/>
                <w:color w:val="auto"/>
                <w:kern w:val="0"/>
                <w:sz w:val="18"/>
                <w:szCs w:val="18"/>
              </w:rPr>
              <w:t>17</w:t>
            </w:r>
            <w:r>
              <w:rPr>
                <w:rFonts w:hint="eastAsia" w:ascii="宋体" w:hAnsi="宋体" w:cs="宋体"/>
                <w:color w:val="auto"/>
                <w:kern w:val="0"/>
                <w:sz w:val="18"/>
                <w:szCs w:val="18"/>
              </w:rPr>
              <w:t>纺织业</w:t>
            </w:r>
          </w:p>
        </w:tc>
        <w:tc>
          <w:tcPr>
            <w:tcW w:w="1524" w:type="dxa"/>
            <w:gridSpan w:val="2"/>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171棉纺织及印染精加工</w:t>
            </w:r>
          </w:p>
        </w:tc>
        <w:tc>
          <w:tcPr>
            <w:tcW w:w="2231"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1713棉印染精加工</w:t>
            </w:r>
          </w:p>
        </w:tc>
        <w:tc>
          <w:tcPr>
            <w:tcW w:w="1254"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规划发展产业</w:t>
            </w:r>
          </w:p>
        </w:tc>
        <w:tc>
          <w:tcPr>
            <w:tcW w:w="4269"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禁止新建棉印染加工企业。</w:t>
            </w:r>
          </w:p>
        </w:tc>
        <w:tc>
          <w:tcPr>
            <w:tcW w:w="2029" w:type="dxa"/>
            <w:vMerge w:val="restart"/>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《指导目录》“允许类”</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461" w:hRule="atLeast"/>
          <w:jc w:val="center"/>
        </w:trPr>
        <w:tc>
          <w:tcPr>
            <w:tcW w:w="841" w:type="dxa"/>
            <w:vMerge w:val="continue"/>
            <w:noWrap w:val="0"/>
            <w:vAlign w:val="center"/>
          </w:tcPr>
          <w:p>
            <w:pPr>
              <w:widowControl/>
              <w:jc w:val="center"/>
              <w:rPr>
                <w:rFonts w:hint="eastAsia" w:ascii="宋体" w:hAnsi="宋体" w:cs="宋体"/>
                <w:color w:val="auto"/>
                <w:kern w:val="0"/>
                <w:sz w:val="18"/>
                <w:szCs w:val="18"/>
              </w:rPr>
            </w:pPr>
          </w:p>
        </w:tc>
        <w:tc>
          <w:tcPr>
            <w:tcW w:w="1532" w:type="dxa"/>
            <w:gridSpan w:val="2"/>
            <w:vMerge w:val="continue"/>
            <w:noWrap w:val="0"/>
            <w:vAlign w:val="center"/>
          </w:tcPr>
          <w:p>
            <w:pPr>
              <w:jc w:val="center"/>
              <w:rPr>
                <w:rFonts w:hint="eastAsia" w:ascii="宋体" w:hAnsi="宋体" w:cs="宋体"/>
                <w:color w:val="auto"/>
                <w:kern w:val="0"/>
                <w:sz w:val="18"/>
                <w:szCs w:val="18"/>
              </w:rPr>
            </w:pPr>
          </w:p>
        </w:tc>
        <w:tc>
          <w:tcPr>
            <w:tcW w:w="1524" w:type="dxa"/>
            <w:gridSpan w:val="2"/>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712毛纺织及染整精加工</w:t>
            </w:r>
          </w:p>
        </w:tc>
        <w:tc>
          <w:tcPr>
            <w:tcW w:w="2231"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1723毛染整精加工</w:t>
            </w:r>
          </w:p>
        </w:tc>
        <w:tc>
          <w:tcPr>
            <w:tcW w:w="1254"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规划发展产业</w:t>
            </w:r>
          </w:p>
        </w:tc>
        <w:tc>
          <w:tcPr>
            <w:tcW w:w="4269"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禁止新建毛印染加工企业。</w:t>
            </w:r>
          </w:p>
        </w:tc>
        <w:tc>
          <w:tcPr>
            <w:tcW w:w="2029" w:type="dxa"/>
            <w:vMerge w:val="continue"/>
            <w:noWrap w:val="0"/>
            <w:vAlign w:val="center"/>
          </w:tcPr>
          <w:p>
            <w:pPr>
              <w:widowControl/>
              <w:jc w:val="center"/>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461" w:hRule="atLeast"/>
          <w:jc w:val="center"/>
        </w:trPr>
        <w:tc>
          <w:tcPr>
            <w:tcW w:w="841" w:type="dxa"/>
            <w:vMerge w:val="continue"/>
            <w:noWrap w:val="0"/>
            <w:vAlign w:val="center"/>
          </w:tcPr>
          <w:p>
            <w:pPr>
              <w:widowControl/>
              <w:jc w:val="center"/>
              <w:rPr>
                <w:rFonts w:hint="eastAsia" w:ascii="宋体" w:hAnsi="宋体" w:cs="宋体"/>
                <w:color w:val="auto"/>
                <w:kern w:val="0"/>
                <w:sz w:val="18"/>
                <w:szCs w:val="18"/>
              </w:rPr>
            </w:pPr>
          </w:p>
        </w:tc>
        <w:tc>
          <w:tcPr>
            <w:tcW w:w="1532" w:type="dxa"/>
            <w:gridSpan w:val="2"/>
            <w:vMerge w:val="continue"/>
            <w:noWrap w:val="0"/>
            <w:vAlign w:val="center"/>
          </w:tcPr>
          <w:p>
            <w:pPr>
              <w:jc w:val="center"/>
              <w:rPr>
                <w:rFonts w:hint="eastAsia" w:ascii="宋体" w:hAnsi="宋体" w:cs="宋体"/>
                <w:color w:val="auto"/>
                <w:kern w:val="0"/>
                <w:sz w:val="18"/>
                <w:szCs w:val="18"/>
              </w:rPr>
            </w:pPr>
          </w:p>
        </w:tc>
        <w:tc>
          <w:tcPr>
            <w:tcW w:w="1524" w:type="dxa"/>
            <w:gridSpan w:val="2"/>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173麻纺织及染整精加工</w:t>
            </w:r>
          </w:p>
        </w:tc>
        <w:tc>
          <w:tcPr>
            <w:tcW w:w="2231"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1733麻染整精加工</w:t>
            </w:r>
          </w:p>
        </w:tc>
        <w:tc>
          <w:tcPr>
            <w:tcW w:w="1254"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规划发展产业</w:t>
            </w:r>
          </w:p>
        </w:tc>
        <w:tc>
          <w:tcPr>
            <w:tcW w:w="4269"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禁止新建麻印染加工企业。</w:t>
            </w:r>
          </w:p>
        </w:tc>
        <w:tc>
          <w:tcPr>
            <w:tcW w:w="2029" w:type="dxa"/>
            <w:vMerge w:val="continue"/>
            <w:noWrap w:val="0"/>
            <w:vAlign w:val="center"/>
          </w:tcPr>
          <w:p>
            <w:pPr>
              <w:widowControl/>
              <w:jc w:val="center"/>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461" w:hRule="atLeast"/>
          <w:jc w:val="center"/>
        </w:trPr>
        <w:tc>
          <w:tcPr>
            <w:tcW w:w="841" w:type="dxa"/>
            <w:vMerge w:val="continue"/>
            <w:noWrap w:val="0"/>
            <w:vAlign w:val="center"/>
          </w:tcPr>
          <w:p>
            <w:pPr>
              <w:widowControl/>
              <w:jc w:val="center"/>
              <w:rPr>
                <w:rFonts w:ascii="宋体" w:hAnsi="宋体" w:cs="宋体"/>
                <w:color w:val="auto"/>
                <w:kern w:val="0"/>
                <w:sz w:val="18"/>
                <w:szCs w:val="18"/>
              </w:rPr>
            </w:pPr>
          </w:p>
        </w:tc>
        <w:tc>
          <w:tcPr>
            <w:tcW w:w="1532" w:type="dxa"/>
            <w:gridSpan w:val="2"/>
            <w:vMerge w:val="continue"/>
            <w:noWrap w:val="0"/>
            <w:vAlign w:val="center"/>
          </w:tcPr>
          <w:p>
            <w:pPr>
              <w:widowControl/>
              <w:jc w:val="center"/>
              <w:rPr>
                <w:rFonts w:hint="eastAsia" w:ascii="宋体" w:hAnsi="宋体" w:cs="宋体"/>
                <w:color w:val="auto"/>
                <w:kern w:val="0"/>
                <w:sz w:val="18"/>
                <w:szCs w:val="18"/>
              </w:rPr>
            </w:pPr>
          </w:p>
        </w:tc>
        <w:tc>
          <w:tcPr>
            <w:tcW w:w="1524" w:type="dxa"/>
            <w:gridSpan w:val="2"/>
            <w:noWrap w:val="0"/>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174</w:t>
            </w:r>
            <w:r>
              <w:rPr>
                <w:rFonts w:hint="eastAsia" w:ascii="宋体" w:hAnsi="宋体" w:cs="宋体"/>
                <w:color w:val="auto"/>
                <w:kern w:val="0"/>
                <w:sz w:val="18"/>
                <w:szCs w:val="18"/>
              </w:rPr>
              <w:t>丝绢纺织及印染精加工</w:t>
            </w:r>
          </w:p>
        </w:tc>
        <w:tc>
          <w:tcPr>
            <w:tcW w:w="2231" w:type="dxa"/>
            <w:noWrap w:val="0"/>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1743</w:t>
            </w:r>
            <w:r>
              <w:rPr>
                <w:rFonts w:hint="eastAsia" w:ascii="宋体" w:hAnsi="宋体" w:cs="宋体"/>
                <w:color w:val="auto"/>
                <w:kern w:val="0"/>
                <w:sz w:val="18"/>
                <w:szCs w:val="18"/>
              </w:rPr>
              <w:t>丝印染精加工</w:t>
            </w:r>
          </w:p>
        </w:tc>
        <w:tc>
          <w:tcPr>
            <w:tcW w:w="1254"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规划发展产业</w:t>
            </w:r>
          </w:p>
        </w:tc>
        <w:tc>
          <w:tcPr>
            <w:tcW w:w="4269"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禁止新建丝印染加工企业。</w:t>
            </w:r>
          </w:p>
        </w:tc>
        <w:tc>
          <w:tcPr>
            <w:tcW w:w="2029" w:type="dxa"/>
            <w:vMerge w:val="continue"/>
            <w:noWrap w:val="0"/>
            <w:vAlign w:val="center"/>
          </w:tcPr>
          <w:p>
            <w:pPr>
              <w:widowControl/>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670" w:hRule="atLeast"/>
          <w:jc w:val="center"/>
        </w:trPr>
        <w:tc>
          <w:tcPr>
            <w:tcW w:w="841" w:type="dxa"/>
            <w:vMerge w:val="continue"/>
            <w:noWrap w:val="0"/>
            <w:vAlign w:val="center"/>
          </w:tcPr>
          <w:p>
            <w:pPr>
              <w:widowControl/>
              <w:jc w:val="center"/>
              <w:rPr>
                <w:rFonts w:ascii="宋体" w:hAnsi="宋体" w:cs="宋体"/>
                <w:color w:val="auto"/>
                <w:kern w:val="0"/>
                <w:sz w:val="18"/>
                <w:szCs w:val="18"/>
              </w:rPr>
            </w:pPr>
          </w:p>
        </w:tc>
        <w:tc>
          <w:tcPr>
            <w:tcW w:w="1532" w:type="dxa"/>
            <w:gridSpan w:val="2"/>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26化学原料和化学制品制造业</w:t>
            </w:r>
          </w:p>
        </w:tc>
        <w:tc>
          <w:tcPr>
            <w:tcW w:w="1524" w:type="dxa"/>
            <w:gridSpan w:val="2"/>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261基础化学原料制造</w:t>
            </w:r>
          </w:p>
        </w:tc>
        <w:tc>
          <w:tcPr>
            <w:tcW w:w="2231"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2614有机化学原料制造</w:t>
            </w:r>
          </w:p>
        </w:tc>
        <w:tc>
          <w:tcPr>
            <w:tcW w:w="1254"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现有一般产业</w:t>
            </w:r>
          </w:p>
        </w:tc>
        <w:tc>
          <w:tcPr>
            <w:tcW w:w="4269"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禁止新建、扩建化学原料和化学制品制造业，现有企业在2018年12月31日前全部关停。</w:t>
            </w:r>
          </w:p>
        </w:tc>
        <w:tc>
          <w:tcPr>
            <w:tcW w:w="202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《丹江口库区及上游水污染防治和水土保持“十三五”规划》</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15" w:type="dxa"/>
            <w:left w:w="15" w:type="dxa"/>
            <w:bottom w:w="15" w:type="dxa"/>
            <w:right w:w="15" w:type="dxa"/>
          </w:tblCellMar>
        </w:tblPrEx>
        <w:trPr>
          <w:trHeight w:val="495" w:hRule="atLeast"/>
          <w:jc w:val="center"/>
        </w:trPr>
        <w:tc>
          <w:tcPr>
            <w:tcW w:w="841" w:type="dxa"/>
            <w:vMerge w:val="continue"/>
            <w:noWrap w:val="0"/>
            <w:vAlign w:val="center"/>
          </w:tcPr>
          <w:p>
            <w:pPr>
              <w:jc w:val="center"/>
              <w:rPr>
                <w:rFonts w:ascii="宋体" w:hAnsi="宋体" w:cs="宋体"/>
                <w:color w:val="auto"/>
                <w:kern w:val="0"/>
                <w:sz w:val="18"/>
                <w:szCs w:val="18"/>
              </w:rPr>
            </w:pPr>
          </w:p>
        </w:tc>
        <w:tc>
          <w:tcPr>
            <w:tcW w:w="1532" w:type="dxa"/>
            <w:gridSpan w:val="2"/>
            <w:noWrap w:val="0"/>
            <w:vAlign w:val="center"/>
          </w:tcPr>
          <w:p>
            <w:pPr>
              <w:jc w:val="center"/>
              <w:rPr>
                <w:rFonts w:ascii="宋体" w:hAnsi="宋体" w:cs="宋体"/>
                <w:color w:val="auto"/>
                <w:kern w:val="0"/>
                <w:sz w:val="18"/>
                <w:szCs w:val="18"/>
              </w:rPr>
            </w:pPr>
            <w:r>
              <w:rPr>
                <w:rFonts w:ascii="宋体" w:hAnsi="宋体" w:cs="宋体"/>
                <w:color w:val="auto"/>
                <w:kern w:val="0"/>
                <w:sz w:val="18"/>
                <w:szCs w:val="18"/>
              </w:rPr>
              <w:t>27</w:t>
            </w:r>
            <w:r>
              <w:rPr>
                <w:rFonts w:hint="eastAsia" w:ascii="宋体" w:hAnsi="宋体" w:cs="宋体"/>
                <w:color w:val="auto"/>
                <w:kern w:val="0"/>
                <w:sz w:val="18"/>
                <w:szCs w:val="18"/>
              </w:rPr>
              <w:t>医药制造业</w:t>
            </w:r>
          </w:p>
        </w:tc>
        <w:tc>
          <w:tcPr>
            <w:tcW w:w="1524" w:type="dxa"/>
            <w:gridSpan w:val="2"/>
            <w:noWrap w:val="0"/>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271化学药品原料药制造</w:t>
            </w:r>
          </w:p>
        </w:tc>
        <w:tc>
          <w:tcPr>
            <w:tcW w:w="2231"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2710化学药品原料药制造</w:t>
            </w:r>
          </w:p>
        </w:tc>
        <w:tc>
          <w:tcPr>
            <w:tcW w:w="1254"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规划发展产业</w:t>
            </w:r>
          </w:p>
        </w:tc>
        <w:tc>
          <w:tcPr>
            <w:tcW w:w="4269" w:type="dxa"/>
            <w:noWrap w:val="0"/>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禁止新建化学药品原料药制造。</w:t>
            </w:r>
          </w:p>
        </w:tc>
        <w:tc>
          <w:tcPr>
            <w:tcW w:w="202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《陕西省秦岭生态环境保护总体规划》禁止</w:t>
            </w:r>
          </w:p>
        </w:tc>
      </w:tr>
    </w:tbl>
    <w:p>
      <w:pPr>
        <w:tabs>
          <w:tab w:val="left" w:pos="5990"/>
        </w:tabs>
        <w:autoSpaceDE w:val="0"/>
        <w:autoSpaceDN w:val="0"/>
        <w:adjustRightInd w:val="0"/>
        <w:jc w:val="both"/>
        <w:rPr>
          <w:rFonts w:hint="eastAsia" w:asciiTheme="minorEastAsia" w:hAnsiTheme="minorEastAsia" w:eastAsiaTheme="minorEastAsia" w:cstheme="minorEastAsia"/>
          <w:color w:val="auto"/>
          <w:kern w:val="0"/>
          <w:sz w:val="28"/>
          <w:szCs w:val="28"/>
          <w:lang w:val="en-US" w:eastAsia="zh-CN"/>
        </w:rPr>
        <w:sectPr>
          <w:pgSz w:w="16838" w:h="11906" w:orient="landscape"/>
          <w:pgMar w:top="1474" w:right="2098" w:bottom="1588" w:left="1985" w:header="851" w:footer="1644" w:gutter="0"/>
          <w:cols w:space="720" w:num="1"/>
          <w:docGrid w:type="lines" w:linePitch="312" w:charSpace="0"/>
        </w:sectPr>
      </w:pPr>
      <w:r>
        <w:rPr>
          <w:rFonts w:hint="eastAsia" w:asciiTheme="minorEastAsia" w:hAnsiTheme="minorEastAsia" w:eastAsiaTheme="minorEastAsia" w:cstheme="minorEastAsia"/>
          <w:color w:val="auto"/>
          <w:kern w:val="0"/>
          <w:sz w:val="28"/>
          <w:szCs w:val="28"/>
          <w:lang w:val="en-US" w:eastAsia="zh-CN"/>
        </w:rPr>
        <w:t>说明：“《指导目录》”指</w:t>
      </w:r>
      <w:r>
        <w:rPr>
          <w:rFonts w:hint="eastAsia" w:asciiTheme="minorEastAsia" w:hAnsiTheme="minorEastAsia" w:eastAsiaTheme="minorEastAsia" w:cstheme="minorEastAsia"/>
          <w:color w:val="auto"/>
          <w:sz w:val="28"/>
          <w:szCs w:val="28"/>
        </w:rPr>
        <w:t>《产业结构调整指导目录(2011年本)》(2013年修正)</w:t>
      </w:r>
      <w:r>
        <w:rPr>
          <w:rFonts w:hint="eastAsia" w:asciiTheme="minorEastAsia" w:hAnsiTheme="minorEastAsia" w:eastAsiaTheme="minorEastAsia" w:cstheme="minorEastAsia"/>
          <w:color w:val="auto"/>
          <w:sz w:val="28"/>
          <w:szCs w:val="28"/>
          <w:lang w:eastAsia="zh-CN"/>
        </w:rPr>
        <w:t>。</w:t>
      </w:r>
    </w:p>
    <w:p>
      <w:pPr>
        <w:pStyle w:val="2"/>
        <w:rPr>
          <w:rFonts w:hint="eastAsia" w:ascii="Times New Roman"/>
          <w:b/>
          <w:color w:val="auto"/>
        </w:rPr>
      </w:pPr>
      <w:r>
        <w:rPr>
          <w:rFonts w:hint="eastAsia" w:ascii="Times New Roman"/>
          <w:b/>
          <w:color w:val="auto"/>
        </w:rPr>
        <w:t>附件3：</w:t>
      </w:r>
    </w:p>
    <w:p>
      <w:pPr>
        <w:pStyle w:val="2"/>
        <w:rPr>
          <w:rFonts w:hint="eastAsia" w:ascii="Times New Roman"/>
          <w:b/>
          <w:color w:val="auto"/>
        </w:rPr>
      </w:pPr>
    </w:p>
    <w:p>
      <w:pPr>
        <w:spacing w:line="480" w:lineRule="auto"/>
        <w:jc w:val="center"/>
        <w:rPr>
          <w:rFonts w:hint="eastAsia" w:ascii="黑体" w:eastAsia="黑体"/>
          <w:color w:val="auto"/>
          <w:w w:val="94"/>
          <w:sz w:val="44"/>
          <w:szCs w:val="44"/>
        </w:rPr>
      </w:pPr>
      <w:r>
        <w:rPr>
          <w:rFonts w:hint="eastAsia" w:ascii="方正小标宋简体" w:hAnsi="方正小标宋简体" w:eastAsia="方正小标宋简体" w:cs="方正小标宋简体"/>
          <w:color w:val="auto"/>
          <w:w w:val="94"/>
          <w:sz w:val="44"/>
          <w:szCs w:val="44"/>
        </w:rPr>
        <w:t>项目名称</w:t>
      </w:r>
    </w:p>
    <w:p>
      <w:pPr>
        <w:jc w:val="center"/>
        <w:rPr>
          <w:rFonts w:hint="eastAsia" w:ascii="黑体" w:eastAsia="黑体"/>
          <w:color w:val="auto"/>
          <w:w w:val="94"/>
          <w:sz w:val="15"/>
          <w:szCs w:val="15"/>
        </w:rPr>
      </w:pPr>
    </w:p>
    <w:p>
      <w:pPr>
        <w:ind w:firstLine="640" w:firstLineChars="200"/>
        <w:rPr>
          <w:rFonts w:hint="eastAsia" w:ascii="黑体" w:hAnsi="黑体" w:eastAsia="黑体" w:cs="黑体"/>
          <w:bCs/>
          <w:color w:val="auto"/>
          <w:sz w:val="32"/>
        </w:rPr>
      </w:pPr>
      <w:r>
        <w:rPr>
          <w:rFonts w:hint="eastAsia" w:ascii="黑体" w:hAnsi="黑体" w:eastAsia="黑体" w:cs="黑体"/>
          <w:bCs/>
          <w:color w:val="auto"/>
          <w:sz w:val="32"/>
        </w:rPr>
        <w:t>一、项目名称：</w:t>
      </w:r>
    </w:p>
    <w:p>
      <w:pPr>
        <w:ind w:firstLine="640" w:firstLineChars="200"/>
        <w:rPr>
          <w:rFonts w:hint="eastAsia" w:ascii="黑体" w:hAnsi="黑体" w:eastAsia="黑体" w:cs="黑体"/>
          <w:bCs/>
          <w:color w:val="auto"/>
          <w:sz w:val="32"/>
        </w:rPr>
      </w:pPr>
      <w:r>
        <w:rPr>
          <w:rFonts w:hint="eastAsia" w:ascii="黑体" w:hAnsi="黑体" w:eastAsia="黑体" w:cs="黑体"/>
          <w:bCs/>
          <w:color w:val="auto"/>
          <w:sz w:val="32"/>
        </w:rPr>
        <w:t>二、项目投资单位：</w:t>
      </w:r>
    </w:p>
    <w:p>
      <w:pPr>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rPr>
        <w:t>三、建设意义：</w:t>
      </w:r>
    </w:p>
    <w:p>
      <w:pPr>
        <w:spacing w:line="520" w:lineRule="exact"/>
        <w:ind w:firstLine="640" w:firstLineChars="200"/>
        <w:rPr>
          <w:rFonts w:hint="eastAsia" w:ascii="黑体" w:hAnsi="黑体" w:eastAsia="黑体" w:cs="黑体"/>
          <w:bCs/>
          <w:color w:val="auto"/>
          <w:sz w:val="32"/>
        </w:rPr>
      </w:pPr>
      <w:r>
        <w:rPr>
          <w:rFonts w:hint="eastAsia" w:ascii="黑体" w:hAnsi="黑体" w:eastAsia="黑体" w:cs="黑体"/>
          <w:bCs/>
          <w:color w:val="auto"/>
          <w:sz w:val="32"/>
        </w:rPr>
        <w:t>四、建设规模及内容：</w:t>
      </w:r>
    </w:p>
    <w:p>
      <w:pPr>
        <w:ind w:firstLine="640" w:firstLineChars="200"/>
        <w:rPr>
          <w:rFonts w:hint="eastAsia" w:ascii="黑体" w:hAnsi="黑体" w:eastAsia="黑体" w:cs="黑体"/>
          <w:bCs/>
          <w:color w:val="auto"/>
          <w:sz w:val="32"/>
        </w:rPr>
      </w:pPr>
      <w:r>
        <w:rPr>
          <w:rFonts w:hint="eastAsia" w:ascii="黑体" w:hAnsi="黑体" w:eastAsia="黑体" w:cs="黑体"/>
          <w:bCs/>
          <w:color w:val="auto"/>
          <w:sz w:val="32"/>
        </w:rPr>
        <w:t>五、工艺流程及生产设备：</w:t>
      </w:r>
    </w:p>
    <w:p>
      <w:pPr>
        <w:ind w:firstLine="640" w:firstLineChars="200"/>
        <w:rPr>
          <w:rFonts w:hint="eastAsia" w:ascii="黑体" w:hAnsi="黑体" w:eastAsia="黑体" w:cs="黑体"/>
          <w:bCs/>
          <w:color w:val="auto"/>
          <w:sz w:val="32"/>
        </w:rPr>
      </w:pPr>
      <w:r>
        <w:rPr>
          <w:rFonts w:hint="eastAsia" w:ascii="黑体" w:hAnsi="黑体" w:eastAsia="黑体" w:cs="黑体"/>
          <w:bCs/>
          <w:color w:val="auto"/>
          <w:sz w:val="32"/>
        </w:rPr>
        <w:t>六、环境影响及防治措施：</w:t>
      </w:r>
    </w:p>
    <w:p>
      <w:pPr>
        <w:ind w:firstLine="640" w:firstLineChars="200"/>
        <w:rPr>
          <w:rFonts w:hint="eastAsia" w:ascii="黑体" w:hAnsi="黑体" w:eastAsia="黑体" w:cs="黑体"/>
          <w:bCs/>
          <w:color w:val="auto"/>
          <w:sz w:val="32"/>
        </w:rPr>
      </w:pPr>
      <w:r>
        <w:rPr>
          <w:rFonts w:hint="eastAsia" w:ascii="黑体" w:hAnsi="黑体" w:eastAsia="黑体" w:cs="黑体"/>
          <w:bCs/>
          <w:color w:val="auto"/>
          <w:sz w:val="32"/>
        </w:rPr>
        <w:t>七、投资估算：</w:t>
      </w:r>
    </w:p>
    <w:p>
      <w:pPr>
        <w:ind w:firstLine="640" w:firstLineChars="200"/>
        <w:rPr>
          <w:rFonts w:ascii="仿宋_GB2312" w:eastAsia="仿宋_GB2312"/>
          <w:bCs/>
          <w:color w:val="auto"/>
          <w:sz w:val="32"/>
        </w:rPr>
      </w:pPr>
      <w:r>
        <w:rPr>
          <w:rFonts w:hint="eastAsia" w:ascii="黑体" w:hAnsi="黑体" w:eastAsia="黑体" w:cs="黑体"/>
          <w:bCs/>
          <w:color w:val="auto"/>
          <w:sz w:val="32"/>
        </w:rPr>
        <w:t>八、效益分析（经济效益、社会效益）：</w:t>
      </w:r>
      <w:r>
        <w:rPr>
          <w:rFonts w:hint="eastAsia" w:ascii="仿宋_GB2312" w:eastAsia="仿宋_GB2312"/>
          <w:bCs/>
          <w:color w:val="auto"/>
          <w:sz w:val="32"/>
        </w:rPr>
        <w:t>年产值、年纳税、吸纳就业人数等。</w:t>
      </w:r>
    </w:p>
    <w:p>
      <w:pPr>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rPr>
        <w:t>九、进展情况：</w:t>
      </w:r>
    </w:p>
    <w:p>
      <w:pPr>
        <w:ind w:firstLine="640" w:firstLineChars="200"/>
        <w:rPr>
          <w:rFonts w:hint="eastAsia" w:ascii="黑体" w:hAnsi="黑体" w:eastAsia="黑体" w:cs="黑体"/>
          <w:bCs/>
          <w:color w:val="auto"/>
          <w:sz w:val="32"/>
        </w:rPr>
      </w:pPr>
      <w:r>
        <w:rPr>
          <w:rFonts w:hint="eastAsia" w:ascii="黑体" w:hAnsi="黑体" w:eastAsia="黑体" w:cs="黑体"/>
          <w:bCs/>
          <w:color w:val="auto"/>
          <w:sz w:val="32"/>
        </w:rPr>
        <w:t>十、合作方式：</w:t>
      </w:r>
    </w:p>
    <w:p>
      <w:pPr>
        <w:ind w:firstLine="640" w:firstLineChars="200"/>
        <w:rPr>
          <w:rFonts w:hint="eastAsia" w:ascii="黑体" w:hAnsi="黑体" w:eastAsia="黑体" w:cs="黑体"/>
          <w:bCs/>
          <w:color w:val="auto"/>
          <w:sz w:val="32"/>
        </w:rPr>
      </w:pPr>
      <w:r>
        <w:rPr>
          <w:rFonts w:hint="eastAsia" w:ascii="黑体" w:hAnsi="黑体" w:eastAsia="黑体" w:cs="黑体"/>
          <w:bCs/>
          <w:color w:val="auto"/>
          <w:sz w:val="32"/>
        </w:rPr>
        <w:t>十一、投资负责人及联系方式：</w:t>
      </w:r>
    </w:p>
    <w:p>
      <w:pPr>
        <w:ind w:firstLine="640" w:firstLineChars="200"/>
        <w:rPr>
          <w:rFonts w:hint="eastAsia" w:ascii="黑体" w:hAnsi="黑体" w:eastAsia="黑体" w:cs="黑体"/>
          <w:bCs/>
          <w:color w:val="auto"/>
          <w:sz w:val="32"/>
        </w:rPr>
      </w:pPr>
      <w:r>
        <w:rPr>
          <w:rFonts w:hint="eastAsia" w:ascii="黑体" w:hAnsi="黑体" w:eastAsia="黑体" w:cs="黑体"/>
          <w:bCs/>
          <w:color w:val="auto"/>
          <w:sz w:val="32"/>
        </w:rPr>
        <w:t>十二、现有项目、公司情况：</w:t>
      </w:r>
    </w:p>
    <w:p>
      <w:pPr>
        <w:pStyle w:val="2"/>
        <w:rPr>
          <w:color w:val="auto"/>
        </w:rPr>
        <w:sectPr>
          <w:pgSz w:w="11906" w:h="16838"/>
          <w:pgMar w:top="2098" w:right="1588" w:bottom="1985" w:left="1474" w:header="851" w:footer="1644" w:gutter="0"/>
          <w:cols w:space="720" w:num="1"/>
          <w:docGrid w:type="lines" w:linePitch="312" w:charSpace="0"/>
        </w:sectPr>
      </w:pPr>
    </w:p>
    <w:p>
      <w:pPr>
        <w:spacing w:line="560" w:lineRule="exact"/>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附件4：</w:t>
      </w:r>
    </w:p>
    <w:p>
      <w:pPr>
        <w:spacing w:line="560" w:lineRule="exact"/>
        <w:jc w:val="center"/>
        <w:rPr>
          <w:rFonts w:hint="eastAsia" w:ascii="方正小标宋简体" w:hAnsi="宋体" w:eastAsia="方正小标宋简体" w:cs="宋体"/>
          <w:color w:val="auto"/>
          <w:kern w:val="0"/>
          <w:sz w:val="44"/>
          <w:szCs w:val="44"/>
        </w:rPr>
      </w:pPr>
      <w:r>
        <w:rPr>
          <w:rFonts w:hint="eastAsia" w:ascii="方正小标宋简体" w:hAnsi="宋体" w:eastAsia="方正小标宋简体" w:cs="宋体"/>
          <w:color w:val="auto"/>
          <w:kern w:val="0"/>
          <w:sz w:val="44"/>
          <w:szCs w:val="44"/>
        </w:rPr>
        <w:t>陕西石泉经济技术开发区建设项目固定资产投资完成情况月报表</w:t>
      </w:r>
    </w:p>
    <w:p>
      <w:pPr>
        <w:spacing w:line="560" w:lineRule="exact"/>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填报单位（盖章）：                    填报时间：   年  月  日                     填报人：</w:t>
      </w:r>
    </w:p>
    <w:tbl>
      <w:tblPr>
        <w:tblStyle w:val="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842"/>
        <w:gridCol w:w="1333"/>
        <w:gridCol w:w="1808"/>
        <w:gridCol w:w="1209"/>
        <w:gridCol w:w="1681"/>
        <w:gridCol w:w="1083"/>
        <w:gridCol w:w="1584"/>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28" w:type="dxa"/>
            <w:vAlign w:val="center"/>
          </w:tcPr>
          <w:p>
            <w:pPr>
              <w:spacing w:line="300" w:lineRule="exact"/>
              <w:jc w:val="center"/>
              <w:rPr>
                <w:rFonts w:hint="eastAsia"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项目名称</w:t>
            </w:r>
          </w:p>
        </w:tc>
        <w:tc>
          <w:tcPr>
            <w:tcW w:w="893" w:type="dxa"/>
            <w:vAlign w:val="center"/>
          </w:tcPr>
          <w:p>
            <w:pPr>
              <w:spacing w:line="300" w:lineRule="exact"/>
              <w:jc w:val="center"/>
              <w:rPr>
                <w:rFonts w:hint="eastAsia"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建设期限</w:t>
            </w:r>
          </w:p>
        </w:tc>
        <w:tc>
          <w:tcPr>
            <w:tcW w:w="1417" w:type="dxa"/>
            <w:vAlign w:val="center"/>
          </w:tcPr>
          <w:p>
            <w:pPr>
              <w:spacing w:line="300" w:lineRule="exact"/>
              <w:jc w:val="center"/>
              <w:rPr>
                <w:rFonts w:hint="eastAsia"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计划总投资（万元）</w:t>
            </w:r>
          </w:p>
        </w:tc>
        <w:tc>
          <w:tcPr>
            <w:tcW w:w="1985" w:type="dxa"/>
            <w:vAlign w:val="center"/>
          </w:tcPr>
          <w:p>
            <w:pPr>
              <w:spacing w:line="300" w:lineRule="exact"/>
              <w:jc w:val="center"/>
              <w:rPr>
                <w:rFonts w:hint="eastAsia"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主要建设内容</w:t>
            </w:r>
          </w:p>
        </w:tc>
        <w:tc>
          <w:tcPr>
            <w:tcW w:w="1276" w:type="dxa"/>
            <w:vAlign w:val="center"/>
          </w:tcPr>
          <w:p>
            <w:pPr>
              <w:spacing w:line="300" w:lineRule="exact"/>
              <w:jc w:val="center"/>
              <w:rPr>
                <w:rFonts w:hint="eastAsia"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当年计划完成投资（万元）</w:t>
            </w:r>
          </w:p>
        </w:tc>
        <w:tc>
          <w:tcPr>
            <w:tcW w:w="1842" w:type="dxa"/>
            <w:vAlign w:val="center"/>
          </w:tcPr>
          <w:p>
            <w:pPr>
              <w:spacing w:line="300" w:lineRule="exact"/>
              <w:jc w:val="center"/>
              <w:rPr>
                <w:rFonts w:hint="eastAsia"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当年建设内容</w:t>
            </w:r>
          </w:p>
        </w:tc>
        <w:tc>
          <w:tcPr>
            <w:tcW w:w="1134" w:type="dxa"/>
            <w:vAlign w:val="center"/>
          </w:tcPr>
          <w:p>
            <w:pPr>
              <w:spacing w:line="300" w:lineRule="exact"/>
              <w:jc w:val="center"/>
              <w:rPr>
                <w:rFonts w:hint="eastAsia"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当月完成投资额（万元）</w:t>
            </w:r>
          </w:p>
        </w:tc>
        <w:tc>
          <w:tcPr>
            <w:tcW w:w="1701" w:type="dxa"/>
            <w:vAlign w:val="center"/>
          </w:tcPr>
          <w:p>
            <w:pPr>
              <w:spacing w:line="300" w:lineRule="exact"/>
              <w:jc w:val="center"/>
              <w:rPr>
                <w:rFonts w:hint="eastAsia"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自开始建设累计完成投资额（万元）</w:t>
            </w:r>
          </w:p>
        </w:tc>
        <w:tc>
          <w:tcPr>
            <w:tcW w:w="2552" w:type="dxa"/>
            <w:vAlign w:val="center"/>
          </w:tcPr>
          <w:p>
            <w:pPr>
              <w:spacing w:line="300" w:lineRule="exact"/>
              <w:jc w:val="center"/>
              <w:rPr>
                <w:rFonts w:hint="eastAsia"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项目建设形象进度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1128" w:type="dxa"/>
            <w:vAlign w:val="center"/>
          </w:tcPr>
          <w:p>
            <w:pPr>
              <w:spacing w:line="300" w:lineRule="exact"/>
              <w:jc w:val="center"/>
              <w:rPr>
                <w:rFonts w:hint="eastAsia" w:ascii="仿宋_GB2312" w:hAnsi="Calibri" w:eastAsia="仿宋_GB2312" w:cs="Times New Roman"/>
                <w:color w:val="auto"/>
                <w:sz w:val="24"/>
                <w:szCs w:val="24"/>
              </w:rPr>
            </w:pPr>
          </w:p>
        </w:tc>
        <w:tc>
          <w:tcPr>
            <w:tcW w:w="893" w:type="dxa"/>
            <w:vAlign w:val="center"/>
          </w:tcPr>
          <w:p>
            <w:pPr>
              <w:spacing w:line="300" w:lineRule="exact"/>
              <w:jc w:val="center"/>
              <w:rPr>
                <w:rFonts w:hint="eastAsia" w:ascii="仿宋_GB2312" w:hAnsi="Calibri" w:eastAsia="仿宋_GB2312" w:cs="Times New Roman"/>
                <w:color w:val="auto"/>
                <w:sz w:val="24"/>
                <w:szCs w:val="24"/>
              </w:rPr>
            </w:pPr>
          </w:p>
        </w:tc>
        <w:tc>
          <w:tcPr>
            <w:tcW w:w="1417" w:type="dxa"/>
            <w:vAlign w:val="center"/>
          </w:tcPr>
          <w:p>
            <w:pPr>
              <w:spacing w:line="300" w:lineRule="exact"/>
              <w:jc w:val="center"/>
              <w:rPr>
                <w:rFonts w:hint="eastAsia" w:ascii="仿宋_GB2312" w:hAnsi="Calibri" w:eastAsia="仿宋_GB2312" w:cs="Times New Roman"/>
                <w:color w:val="auto"/>
                <w:sz w:val="24"/>
                <w:szCs w:val="24"/>
              </w:rPr>
            </w:pPr>
          </w:p>
        </w:tc>
        <w:tc>
          <w:tcPr>
            <w:tcW w:w="1985" w:type="dxa"/>
            <w:vAlign w:val="center"/>
          </w:tcPr>
          <w:p>
            <w:pPr>
              <w:spacing w:line="300" w:lineRule="exact"/>
              <w:jc w:val="center"/>
              <w:rPr>
                <w:rFonts w:hint="eastAsia" w:ascii="仿宋_GB2312" w:hAnsi="Calibri" w:eastAsia="仿宋_GB2312" w:cs="Times New Roman"/>
                <w:color w:val="auto"/>
                <w:sz w:val="24"/>
                <w:szCs w:val="24"/>
              </w:rPr>
            </w:pPr>
          </w:p>
        </w:tc>
        <w:tc>
          <w:tcPr>
            <w:tcW w:w="1276" w:type="dxa"/>
            <w:vAlign w:val="center"/>
          </w:tcPr>
          <w:p>
            <w:pPr>
              <w:spacing w:line="300" w:lineRule="exact"/>
              <w:jc w:val="center"/>
              <w:rPr>
                <w:rFonts w:hint="eastAsia" w:ascii="仿宋_GB2312" w:hAnsi="Calibri" w:eastAsia="仿宋_GB2312" w:cs="Times New Roman"/>
                <w:color w:val="auto"/>
                <w:sz w:val="24"/>
                <w:szCs w:val="24"/>
              </w:rPr>
            </w:pPr>
          </w:p>
        </w:tc>
        <w:tc>
          <w:tcPr>
            <w:tcW w:w="1842" w:type="dxa"/>
            <w:vAlign w:val="center"/>
          </w:tcPr>
          <w:p>
            <w:pPr>
              <w:spacing w:line="300" w:lineRule="exact"/>
              <w:jc w:val="center"/>
              <w:rPr>
                <w:rFonts w:hint="eastAsia" w:ascii="仿宋_GB2312" w:hAnsi="Calibri" w:eastAsia="仿宋_GB2312" w:cs="Times New Roman"/>
                <w:color w:val="auto"/>
                <w:sz w:val="24"/>
                <w:szCs w:val="24"/>
              </w:rPr>
            </w:pPr>
          </w:p>
        </w:tc>
        <w:tc>
          <w:tcPr>
            <w:tcW w:w="1134" w:type="dxa"/>
            <w:vAlign w:val="center"/>
          </w:tcPr>
          <w:p>
            <w:pPr>
              <w:spacing w:line="300" w:lineRule="exact"/>
              <w:jc w:val="center"/>
              <w:rPr>
                <w:rFonts w:hint="eastAsia" w:ascii="仿宋_GB2312" w:hAnsi="Calibri" w:eastAsia="仿宋_GB2312" w:cs="Times New Roman"/>
                <w:color w:val="auto"/>
                <w:sz w:val="24"/>
                <w:szCs w:val="24"/>
              </w:rPr>
            </w:pPr>
          </w:p>
        </w:tc>
        <w:tc>
          <w:tcPr>
            <w:tcW w:w="1701" w:type="dxa"/>
            <w:vAlign w:val="center"/>
          </w:tcPr>
          <w:p>
            <w:pPr>
              <w:spacing w:line="300" w:lineRule="exact"/>
              <w:jc w:val="center"/>
              <w:rPr>
                <w:rFonts w:hint="eastAsia" w:ascii="仿宋_GB2312" w:hAnsi="Calibri" w:eastAsia="仿宋_GB2312" w:cs="Times New Roman"/>
                <w:color w:val="auto"/>
                <w:sz w:val="24"/>
                <w:szCs w:val="24"/>
              </w:rPr>
            </w:pPr>
          </w:p>
        </w:tc>
        <w:tc>
          <w:tcPr>
            <w:tcW w:w="2552" w:type="dxa"/>
            <w:vAlign w:val="center"/>
          </w:tcPr>
          <w:p>
            <w:pPr>
              <w:spacing w:line="300" w:lineRule="exact"/>
              <w:jc w:val="center"/>
              <w:rPr>
                <w:rFonts w:hint="eastAsia" w:ascii="仿宋_GB2312" w:hAnsi="Calibri"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1128" w:type="dxa"/>
            <w:vAlign w:val="center"/>
          </w:tcPr>
          <w:p>
            <w:pPr>
              <w:spacing w:line="300" w:lineRule="exact"/>
              <w:jc w:val="center"/>
              <w:rPr>
                <w:rFonts w:hint="eastAsia" w:ascii="仿宋_GB2312" w:hAnsi="Calibri" w:eastAsia="仿宋_GB2312" w:cs="Times New Roman"/>
                <w:color w:val="auto"/>
                <w:sz w:val="24"/>
                <w:szCs w:val="24"/>
              </w:rPr>
            </w:pPr>
          </w:p>
        </w:tc>
        <w:tc>
          <w:tcPr>
            <w:tcW w:w="893" w:type="dxa"/>
            <w:vAlign w:val="center"/>
          </w:tcPr>
          <w:p>
            <w:pPr>
              <w:spacing w:line="300" w:lineRule="exact"/>
              <w:jc w:val="center"/>
              <w:rPr>
                <w:rFonts w:hint="eastAsia" w:ascii="仿宋_GB2312" w:hAnsi="Calibri" w:eastAsia="仿宋_GB2312" w:cs="Times New Roman"/>
                <w:color w:val="auto"/>
                <w:sz w:val="24"/>
                <w:szCs w:val="24"/>
              </w:rPr>
            </w:pPr>
          </w:p>
        </w:tc>
        <w:tc>
          <w:tcPr>
            <w:tcW w:w="1417" w:type="dxa"/>
            <w:vAlign w:val="center"/>
          </w:tcPr>
          <w:p>
            <w:pPr>
              <w:spacing w:line="300" w:lineRule="exact"/>
              <w:jc w:val="center"/>
              <w:rPr>
                <w:rFonts w:hint="eastAsia" w:ascii="仿宋_GB2312" w:hAnsi="Calibri" w:eastAsia="仿宋_GB2312" w:cs="Times New Roman"/>
                <w:color w:val="auto"/>
                <w:sz w:val="24"/>
                <w:szCs w:val="24"/>
              </w:rPr>
            </w:pPr>
          </w:p>
        </w:tc>
        <w:tc>
          <w:tcPr>
            <w:tcW w:w="1985" w:type="dxa"/>
            <w:vAlign w:val="center"/>
          </w:tcPr>
          <w:p>
            <w:pPr>
              <w:spacing w:line="300" w:lineRule="exact"/>
              <w:jc w:val="center"/>
              <w:rPr>
                <w:rFonts w:hint="eastAsia" w:ascii="仿宋_GB2312" w:hAnsi="Calibri" w:eastAsia="仿宋_GB2312" w:cs="Times New Roman"/>
                <w:color w:val="auto"/>
                <w:sz w:val="24"/>
                <w:szCs w:val="24"/>
              </w:rPr>
            </w:pPr>
          </w:p>
        </w:tc>
        <w:tc>
          <w:tcPr>
            <w:tcW w:w="1276" w:type="dxa"/>
            <w:vAlign w:val="center"/>
          </w:tcPr>
          <w:p>
            <w:pPr>
              <w:spacing w:line="300" w:lineRule="exact"/>
              <w:jc w:val="center"/>
              <w:rPr>
                <w:rFonts w:hint="eastAsia" w:ascii="仿宋_GB2312" w:hAnsi="Calibri" w:eastAsia="仿宋_GB2312" w:cs="Times New Roman"/>
                <w:color w:val="auto"/>
                <w:sz w:val="24"/>
                <w:szCs w:val="24"/>
              </w:rPr>
            </w:pPr>
          </w:p>
        </w:tc>
        <w:tc>
          <w:tcPr>
            <w:tcW w:w="1842" w:type="dxa"/>
            <w:vAlign w:val="center"/>
          </w:tcPr>
          <w:p>
            <w:pPr>
              <w:spacing w:line="300" w:lineRule="exact"/>
              <w:jc w:val="center"/>
              <w:rPr>
                <w:rFonts w:hint="eastAsia" w:ascii="仿宋_GB2312" w:hAnsi="Calibri" w:eastAsia="仿宋_GB2312" w:cs="Times New Roman"/>
                <w:color w:val="auto"/>
                <w:sz w:val="24"/>
                <w:szCs w:val="24"/>
              </w:rPr>
            </w:pPr>
          </w:p>
        </w:tc>
        <w:tc>
          <w:tcPr>
            <w:tcW w:w="1134" w:type="dxa"/>
            <w:vAlign w:val="center"/>
          </w:tcPr>
          <w:p>
            <w:pPr>
              <w:spacing w:line="300" w:lineRule="exact"/>
              <w:jc w:val="center"/>
              <w:rPr>
                <w:rFonts w:hint="eastAsia" w:ascii="仿宋_GB2312" w:hAnsi="Calibri" w:eastAsia="仿宋_GB2312" w:cs="Times New Roman"/>
                <w:color w:val="auto"/>
                <w:sz w:val="24"/>
                <w:szCs w:val="24"/>
              </w:rPr>
            </w:pPr>
          </w:p>
        </w:tc>
        <w:tc>
          <w:tcPr>
            <w:tcW w:w="1701" w:type="dxa"/>
            <w:vAlign w:val="center"/>
          </w:tcPr>
          <w:p>
            <w:pPr>
              <w:spacing w:line="300" w:lineRule="exact"/>
              <w:jc w:val="center"/>
              <w:rPr>
                <w:rFonts w:hint="eastAsia" w:ascii="仿宋_GB2312" w:hAnsi="Calibri" w:eastAsia="仿宋_GB2312" w:cs="Times New Roman"/>
                <w:color w:val="auto"/>
                <w:sz w:val="24"/>
                <w:szCs w:val="24"/>
              </w:rPr>
            </w:pPr>
          </w:p>
        </w:tc>
        <w:tc>
          <w:tcPr>
            <w:tcW w:w="2552" w:type="dxa"/>
            <w:vAlign w:val="center"/>
          </w:tcPr>
          <w:p>
            <w:pPr>
              <w:spacing w:line="300" w:lineRule="exact"/>
              <w:jc w:val="center"/>
              <w:rPr>
                <w:rFonts w:hint="eastAsia" w:ascii="仿宋_GB2312" w:hAnsi="Calibri" w:eastAsia="仿宋_GB2312" w:cs="Times New Roman"/>
                <w:color w:val="auto"/>
                <w:sz w:val="24"/>
                <w:szCs w:val="24"/>
              </w:rPr>
            </w:pPr>
          </w:p>
        </w:tc>
      </w:tr>
    </w:tbl>
    <w:p>
      <w:pPr>
        <w:spacing w:line="560" w:lineRule="exact"/>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24"/>
          <w:szCs w:val="24"/>
        </w:rPr>
        <w:t>说明：本表格每月25日前报管委会。</w:t>
      </w:r>
    </w:p>
    <w:p>
      <w:pPr>
        <w:spacing w:line="560" w:lineRule="exact"/>
        <w:rPr>
          <w:rFonts w:hint="eastAsia" w:ascii="仿宋_GB2312" w:hAnsi="Calibri" w:eastAsia="仿宋_GB2312" w:cs="Times New Roman"/>
          <w:color w:val="auto"/>
          <w:sz w:val="32"/>
          <w:szCs w:val="32"/>
        </w:rPr>
      </w:pPr>
    </w:p>
    <w:p>
      <w:pPr>
        <w:spacing w:line="560" w:lineRule="exact"/>
        <w:rPr>
          <w:rFonts w:hint="eastAsia" w:ascii="仿宋_GB2312" w:hAnsi="Calibri" w:eastAsia="仿宋_GB2312" w:cs="Times New Roman"/>
          <w:color w:val="auto"/>
          <w:sz w:val="32"/>
          <w:szCs w:val="32"/>
        </w:rPr>
      </w:pPr>
    </w:p>
    <w:p>
      <w:pPr>
        <w:pStyle w:val="2"/>
        <w:rPr>
          <w:color w:val="auto"/>
        </w:rPr>
        <w:sectPr>
          <w:pgSz w:w="16838" w:h="11906" w:orient="landscape"/>
          <w:pgMar w:top="1474" w:right="2098" w:bottom="1588" w:left="1985" w:header="851" w:footer="1644" w:gutter="0"/>
          <w:cols w:space="720" w:num="1"/>
          <w:docGrid w:type="lines" w:linePitch="312" w:charSpace="0"/>
        </w:sectPr>
      </w:pPr>
    </w:p>
    <w:p>
      <w:pPr>
        <w:spacing w:line="560" w:lineRule="exact"/>
        <w:rPr>
          <w:rFonts w:hint="eastAsia"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附件5：</w:t>
      </w:r>
    </w:p>
    <w:tbl>
      <w:tblPr>
        <w:tblStyle w:val="8"/>
        <w:tblW w:w="13762" w:type="dxa"/>
        <w:tblInd w:w="96" w:type="dxa"/>
        <w:tblLayout w:type="fixed"/>
        <w:tblCellMar>
          <w:top w:w="0" w:type="dxa"/>
          <w:left w:w="108" w:type="dxa"/>
          <w:bottom w:w="0" w:type="dxa"/>
          <w:right w:w="108" w:type="dxa"/>
        </w:tblCellMar>
      </w:tblPr>
      <w:tblGrid>
        <w:gridCol w:w="440"/>
        <w:gridCol w:w="1599"/>
        <w:gridCol w:w="498"/>
        <w:gridCol w:w="1109"/>
        <w:gridCol w:w="416"/>
        <w:gridCol w:w="416"/>
        <w:gridCol w:w="416"/>
        <w:gridCol w:w="416"/>
        <w:gridCol w:w="416"/>
        <w:gridCol w:w="416"/>
        <w:gridCol w:w="107"/>
        <w:gridCol w:w="309"/>
        <w:gridCol w:w="416"/>
        <w:gridCol w:w="416"/>
        <w:gridCol w:w="1553"/>
        <w:gridCol w:w="2123"/>
        <w:gridCol w:w="1920"/>
        <w:gridCol w:w="776"/>
      </w:tblGrid>
      <w:tr>
        <w:tblPrEx>
          <w:tblCellMar>
            <w:top w:w="0" w:type="dxa"/>
            <w:left w:w="108" w:type="dxa"/>
            <w:bottom w:w="0" w:type="dxa"/>
            <w:right w:w="108" w:type="dxa"/>
          </w:tblCellMar>
        </w:tblPrEx>
        <w:trPr>
          <w:trHeight w:val="681" w:hRule="atLeast"/>
        </w:trPr>
        <w:tc>
          <w:tcPr>
            <w:tcW w:w="13762" w:type="dxa"/>
            <w:gridSpan w:val="18"/>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auto"/>
                <w:kern w:val="0"/>
                <w:sz w:val="44"/>
                <w:szCs w:val="44"/>
              </w:rPr>
            </w:pPr>
            <w:r>
              <w:rPr>
                <w:rFonts w:hint="eastAsia" w:ascii="方正小标宋简体" w:hAnsi="宋体" w:eastAsia="方正小标宋简体" w:cs="宋体"/>
                <w:color w:val="auto"/>
                <w:kern w:val="0"/>
                <w:sz w:val="44"/>
                <w:szCs w:val="44"/>
              </w:rPr>
              <w:t>陕西石泉经济技术开发区在建项目工程形象进度月报表</w:t>
            </w:r>
          </w:p>
        </w:tc>
      </w:tr>
      <w:tr>
        <w:tblPrEx>
          <w:tblCellMar>
            <w:top w:w="0" w:type="dxa"/>
            <w:left w:w="108" w:type="dxa"/>
            <w:bottom w:w="0" w:type="dxa"/>
            <w:right w:w="108" w:type="dxa"/>
          </w:tblCellMar>
        </w:tblPrEx>
        <w:trPr>
          <w:trHeight w:val="480" w:hRule="atLeast"/>
        </w:trPr>
        <w:tc>
          <w:tcPr>
            <w:tcW w:w="5726" w:type="dxa"/>
            <w:gridSpan w:val="9"/>
            <w:tcBorders>
              <w:top w:val="nil"/>
              <w:left w:val="nil"/>
              <w:bottom w:val="single" w:color="auto" w:sz="4" w:space="0"/>
              <w:right w:val="nil"/>
            </w:tcBorders>
            <w:shd w:val="clear" w:color="auto" w:fill="auto"/>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填报单位（盖章）： </w:t>
            </w:r>
          </w:p>
        </w:tc>
        <w:tc>
          <w:tcPr>
            <w:tcW w:w="523" w:type="dxa"/>
            <w:gridSpan w:val="2"/>
            <w:tcBorders>
              <w:top w:val="nil"/>
              <w:left w:val="nil"/>
              <w:bottom w:val="nil"/>
              <w:right w:val="nil"/>
            </w:tcBorders>
            <w:shd w:val="clear" w:color="auto" w:fill="auto"/>
            <w:vAlign w:val="center"/>
          </w:tcPr>
          <w:p>
            <w:pPr>
              <w:widowControl/>
              <w:jc w:val="center"/>
              <w:rPr>
                <w:rFonts w:hint="eastAsia" w:ascii="仿宋_GB2312" w:hAnsi="宋体" w:eastAsia="仿宋_GB2312" w:cs="宋体"/>
                <w:color w:val="auto"/>
                <w:kern w:val="0"/>
                <w:sz w:val="24"/>
                <w:szCs w:val="24"/>
              </w:rPr>
            </w:pPr>
          </w:p>
        </w:tc>
        <w:tc>
          <w:tcPr>
            <w:tcW w:w="4817" w:type="dxa"/>
            <w:gridSpan w:val="5"/>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填报人：</w:t>
            </w:r>
          </w:p>
        </w:tc>
        <w:tc>
          <w:tcPr>
            <w:tcW w:w="2696" w:type="dxa"/>
            <w:gridSpan w:val="2"/>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填报时间：  年  月 日</w:t>
            </w:r>
          </w:p>
        </w:tc>
      </w:tr>
      <w:tr>
        <w:tblPrEx>
          <w:tblCellMar>
            <w:top w:w="0" w:type="dxa"/>
            <w:left w:w="108" w:type="dxa"/>
            <w:bottom w:w="0" w:type="dxa"/>
            <w:right w:w="108" w:type="dxa"/>
          </w:tblCellMar>
        </w:tblPrEx>
        <w:trPr>
          <w:trHeight w:val="525"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序号</w:t>
            </w:r>
          </w:p>
        </w:tc>
        <w:tc>
          <w:tcPr>
            <w:tcW w:w="15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项目名称</w:t>
            </w:r>
          </w:p>
        </w:tc>
        <w:tc>
          <w:tcPr>
            <w:tcW w:w="4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是否</w:t>
            </w:r>
            <w:r>
              <w:rPr>
                <w:rFonts w:hint="eastAsia" w:ascii="黑体" w:hAnsi="黑体" w:eastAsia="黑体" w:cs="宋体"/>
                <w:color w:val="auto"/>
                <w:kern w:val="0"/>
                <w:sz w:val="20"/>
                <w:szCs w:val="20"/>
              </w:rPr>
              <w:br w:type="textWrapping"/>
            </w:r>
            <w:r>
              <w:rPr>
                <w:rFonts w:hint="eastAsia" w:ascii="黑体" w:hAnsi="黑体" w:eastAsia="黑体" w:cs="宋体"/>
                <w:color w:val="auto"/>
                <w:kern w:val="0"/>
                <w:sz w:val="20"/>
                <w:szCs w:val="20"/>
              </w:rPr>
              <w:t>开工</w:t>
            </w:r>
          </w:p>
        </w:tc>
        <w:tc>
          <w:tcPr>
            <w:tcW w:w="11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开工</w:t>
            </w:r>
            <w:r>
              <w:rPr>
                <w:rFonts w:hint="eastAsia" w:ascii="黑体" w:hAnsi="黑体" w:eastAsia="黑体" w:cs="宋体"/>
                <w:color w:val="auto"/>
                <w:kern w:val="0"/>
                <w:sz w:val="20"/>
                <w:szCs w:val="20"/>
              </w:rPr>
              <w:br w:type="textWrapping"/>
            </w:r>
            <w:r>
              <w:rPr>
                <w:rFonts w:hint="eastAsia" w:ascii="黑体" w:hAnsi="黑体" w:eastAsia="黑体" w:cs="宋体"/>
                <w:color w:val="auto"/>
                <w:kern w:val="0"/>
                <w:sz w:val="20"/>
                <w:szCs w:val="20"/>
              </w:rPr>
              <w:t>时间</w:t>
            </w:r>
          </w:p>
        </w:tc>
        <w:tc>
          <w:tcPr>
            <w:tcW w:w="3744"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项目前期手续办理情况</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0"/>
                <w:szCs w:val="20"/>
              </w:rPr>
            </w:pPr>
            <w:r>
              <w:rPr>
                <w:rFonts w:ascii="黑体" w:hAnsi="黑体" w:eastAsia="黑体" w:cs="宋体"/>
                <w:color w:val="auto"/>
                <w:kern w:val="0"/>
                <w:sz w:val="20"/>
                <w:szCs w:val="20"/>
              </w:rPr>
              <w:t>本月</w:t>
            </w:r>
            <w:r>
              <w:rPr>
                <w:rFonts w:hint="eastAsia" w:ascii="黑体" w:hAnsi="黑体" w:eastAsia="黑体" w:cs="宋体"/>
                <w:color w:val="auto"/>
                <w:kern w:val="0"/>
                <w:sz w:val="20"/>
                <w:szCs w:val="20"/>
              </w:rPr>
              <w:t>形象进度</w:t>
            </w:r>
          </w:p>
        </w:tc>
        <w:tc>
          <w:tcPr>
            <w:tcW w:w="2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0"/>
                <w:szCs w:val="20"/>
              </w:rPr>
            </w:pPr>
            <w:r>
              <w:rPr>
                <w:rFonts w:ascii="黑体" w:hAnsi="黑体" w:eastAsia="黑体" w:cs="宋体"/>
                <w:color w:val="auto"/>
                <w:kern w:val="0"/>
                <w:sz w:val="20"/>
                <w:szCs w:val="20"/>
              </w:rPr>
              <w:t>累计形象进度</w:t>
            </w:r>
          </w:p>
        </w:tc>
        <w:tc>
          <w:tcPr>
            <w:tcW w:w="192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存在问题</w:t>
            </w:r>
          </w:p>
        </w:tc>
        <w:tc>
          <w:tcPr>
            <w:tcW w:w="7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备注</w:t>
            </w:r>
          </w:p>
        </w:tc>
      </w:tr>
      <w:tr>
        <w:tblPrEx>
          <w:tblCellMar>
            <w:top w:w="0" w:type="dxa"/>
            <w:left w:w="108" w:type="dxa"/>
            <w:bottom w:w="0" w:type="dxa"/>
            <w:right w:w="108" w:type="dxa"/>
          </w:tblCellMar>
        </w:tblPrEx>
        <w:trPr>
          <w:trHeight w:val="1584"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auto"/>
                <w:kern w:val="0"/>
                <w:sz w:val="20"/>
                <w:szCs w:val="20"/>
              </w:rPr>
            </w:pPr>
          </w:p>
        </w:tc>
        <w:tc>
          <w:tcPr>
            <w:tcW w:w="1599"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auto"/>
                <w:kern w:val="0"/>
                <w:sz w:val="20"/>
                <w:szCs w:val="20"/>
              </w:rPr>
            </w:pPr>
          </w:p>
        </w:tc>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auto"/>
                <w:kern w:val="0"/>
                <w:sz w:val="20"/>
                <w:szCs w:val="20"/>
              </w:rPr>
            </w:pPr>
          </w:p>
        </w:tc>
        <w:tc>
          <w:tcPr>
            <w:tcW w:w="1109"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auto"/>
                <w:kern w:val="0"/>
                <w:sz w:val="20"/>
                <w:szCs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立项</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规划选址</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用地批准</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施工图审</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最高限价备案</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招标手续</w:t>
            </w:r>
          </w:p>
        </w:tc>
        <w:tc>
          <w:tcPr>
            <w:tcW w:w="416"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环评意见</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施工</w:t>
            </w:r>
            <w:r>
              <w:rPr>
                <w:rFonts w:hint="eastAsia" w:ascii="黑体" w:hAnsi="黑体" w:eastAsia="黑体" w:cs="宋体"/>
                <w:color w:val="auto"/>
                <w:kern w:val="0"/>
                <w:sz w:val="20"/>
                <w:szCs w:val="20"/>
              </w:rPr>
              <w:br w:type="textWrapping"/>
            </w:r>
            <w:r>
              <w:rPr>
                <w:rFonts w:hint="eastAsia" w:ascii="黑体" w:hAnsi="黑体" w:eastAsia="黑体" w:cs="宋体"/>
                <w:color w:val="auto"/>
                <w:kern w:val="0"/>
                <w:sz w:val="20"/>
                <w:szCs w:val="20"/>
              </w:rPr>
              <w:t>许可</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其他</w:t>
            </w:r>
            <w:r>
              <w:rPr>
                <w:rFonts w:hint="eastAsia" w:ascii="黑体" w:hAnsi="黑体" w:eastAsia="黑体" w:cs="宋体"/>
                <w:color w:val="auto"/>
                <w:kern w:val="0"/>
                <w:sz w:val="20"/>
                <w:szCs w:val="20"/>
              </w:rPr>
              <w:br w:type="textWrapping"/>
            </w:r>
            <w:r>
              <w:rPr>
                <w:rFonts w:hint="eastAsia" w:ascii="黑体" w:hAnsi="黑体" w:eastAsia="黑体" w:cs="宋体"/>
                <w:color w:val="auto"/>
                <w:kern w:val="0"/>
                <w:sz w:val="20"/>
                <w:szCs w:val="20"/>
              </w:rPr>
              <w:t>手续</w:t>
            </w:r>
          </w:p>
        </w:tc>
        <w:tc>
          <w:tcPr>
            <w:tcW w:w="15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auto"/>
                <w:kern w:val="0"/>
                <w:sz w:val="20"/>
                <w:szCs w:val="20"/>
              </w:rPr>
            </w:pPr>
          </w:p>
        </w:tc>
        <w:tc>
          <w:tcPr>
            <w:tcW w:w="21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auto"/>
                <w:kern w:val="0"/>
                <w:sz w:val="20"/>
                <w:szCs w:val="20"/>
              </w:rPr>
            </w:pPr>
          </w:p>
        </w:tc>
        <w:tc>
          <w:tcPr>
            <w:tcW w:w="1920" w:type="dxa"/>
            <w:vMerge w:val="continue"/>
            <w:tcBorders>
              <w:left w:val="single" w:color="auto" w:sz="4" w:space="0"/>
              <w:bottom w:val="single" w:color="auto" w:sz="4" w:space="0"/>
              <w:right w:val="single" w:color="auto" w:sz="4" w:space="0"/>
            </w:tcBorders>
            <w:vAlign w:val="center"/>
          </w:tcPr>
          <w:p>
            <w:pPr>
              <w:widowControl/>
              <w:jc w:val="left"/>
              <w:rPr>
                <w:rFonts w:ascii="黑体" w:hAnsi="黑体" w:eastAsia="黑体" w:cs="宋体"/>
                <w:color w:val="auto"/>
                <w:kern w:val="0"/>
                <w:sz w:val="20"/>
                <w:szCs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auto"/>
                <w:kern w:val="0"/>
                <w:sz w:val="20"/>
                <w:szCs w:val="20"/>
              </w:rPr>
            </w:pPr>
          </w:p>
        </w:tc>
      </w:tr>
      <w:tr>
        <w:tblPrEx>
          <w:tblCellMar>
            <w:top w:w="0" w:type="dxa"/>
            <w:left w:w="108" w:type="dxa"/>
            <w:bottom w:w="0" w:type="dxa"/>
            <w:right w:w="108" w:type="dxa"/>
          </w:tblCellMar>
        </w:tblPrEx>
        <w:trPr>
          <w:trHeight w:val="1536" w:hRule="atLeast"/>
        </w:trPr>
        <w:tc>
          <w:tcPr>
            <w:tcW w:w="440" w:type="dxa"/>
            <w:tcBorders>
              <w:top w:val="nil"/>
              <w:left w:val="single" w:color="auto" w:sz="4" w:space="0"/>
              <w:bottom w:val="nil"/>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1599" w:type="dxa"/>
            <w:tcBorders>
              <w:top w:val="nil"/>
              <w:left w:val="nil"/>
              <w:bottom w:val="nil"/>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98" w:type="dxa"/>
            <w:tcBorders>
              <w:top w:val="nil"/>
              <w:left w:val="nil"/>
              <w:bottom w:val="nil"/>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1109" w:type="dxa"/>
            <w:tcBorders>
              <w:top w:val="nil"/>
              <w:left w:val="nil"/>
              <w:bottom w:val="nil"/>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tcBorders>
              <w:top w:val="nil"/>
              <w:left w:val="nil"/>
              <w:bottom w:val="nil"/>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tcBorders>
              <w:top w:val="nil"/>
              <w:left w:val="single" w:color="auto" w:sz="4" w:space="0"/>
              <w:bottom w:val="nil"/>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tcBorders>
              <w:top w:val="nil"/>
              <w:left w:val="single" w:color="auto" w:sz="4" w:space="0"/>
              <w:bottom w:val="nil"/>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tcBorders>
              <w:top w:val="nil"/>
              <w:left w:val="single" w:color="auto" w:sz="4" w:space="0"/>
              <w:bottom w:val="nil"/>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tcBorders>
              <w:top w:val="nil"/>
              <w:left w:val="single" w:color="auto" w:sz="4" w:space="0"/>
              <w:bottom w:val="nil"/>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tcBorders>
              <w:top w:val="nil"/>
              <w:left w:val="single" w:color="auto" w:sz="4" w:space="0"/>
              <w:bottom w:val="nil"/>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gridSpan w:val="2"/>
            <w:tcBorders>
              <w:top w:val="nil"/>
              <w:left w:val="single" w:color="auto" w:sz="4" w:space="0"/>
              <w:bottom w:val="nil"/>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tcBorders>
              <w:top w:val="nil"/>
              <w:left w:val="single" w:color="auto" w:sz="4" w:space="0"/>
              <w:bottom w:val="nil"/>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tcBorders>
              <w:top w:val="nil"/>
              <w:left w:val="single" w:color="auto" w:sz="4" w:space="0"/>
              <w:bottom w:val="nil"/>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1553" w:type="dxa"/>
            <w:tcBorders>
              <w:top w:val="nil"/>
              <w:left w:val="nil"/>
              <w:bottom w:val="nil"/>
              <w:right w:val="single" w:color="auto" w:sz="4" w:space="0"/>
            </w:tcBorders>
            <w:shd w:val="clear" w:color="000000" w:fill="FFFFFF"/>
            <w:vAlign w:val="center"/>
          </w:tcPr>
          <w:p>
            <w:pPr>
              <w:widowControl/>
              <w:jc w:val="left"/>
              <w:rPr>
                <w:rFonts w:ascii="仿宋_GB2312" w:hAnsi="宋体" w:eastAsia="仿宋_GB2312" w:cs="宋体"/>
                <w:color w:val="auto"/>
                <w:kern w:val="0"/>
                <w:sz w:val="20"/>
                <w:szCs w:val="20"/>
              </w:rPr>
            </w:pPr>
          </w:p>
        </w:tc>
        <w:tc>
          <w:tcPr>
            <w:tcW w:w="2123" w:type="dxa"/>
            <w:tcBorders>
              <w:top w:val="nil"/>
              <w:left w:val="nil"/>
              <w:bottom w:val="nil"/>
              <w:right w:val="single" w:color="auto" w:sz="4" w:space="0"/>
            </w:tcBorders>
            <w:shd w:val="clear" w:color="000000" w:fill="FFFFFF"/>
            <w:vAlign w:val="center"/>
          </w:tcPr>
          <w:p>
            <w:pPr>
              <w:widowControl/>
              <w:jc w:val="left"/>
              <w:rPr>
                <w:rFonts w:ascii="仿宋_GB2312" w:hAnsi="宋体" w:eastAsia="仿宋_GB2312" w:cs="宋体"/>
                <w:color w:val="auto"/>
                <w:kern w:val="0"/>
                <w:sz w:val="20"/>
                <w:szCs w:val="20"/>
              </w:rPr>
            </w:pPr>
          </w:p>
        </w:tc>
        <w:tc>
          <w:tcPr>
            <w:tcW w:w="1920" w:type="dxa"/>
            <w:tcBorders>
              <w:top w:val="nil"/>
              <w:left w:val="nil"/>
              <w:bottom w:val="nil"/>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776" w:type="dxa"/>
            <w:tcBorders>
              <w:top w:val="nil"/>
              <w:left w:val="nil"/>
              <w:bottom w:val="nil"/>
              <w:right w:val="single" w:color="auto" w:sz="4" w:space="0"/>
            </w:tcBorders>
            <w:shd w:val="clear" w:color="000000" w:fill="FFFFFF"/>
            <w:vAlign w:val="center"/>
          </w:tcPr>
          <w:p>
            <w:pPr>
              <w:widowControl/>
              <w:jc w:val="left"/>
              <w:rPr>
                <w:rFonts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288" w:hRule="atLeast"/>
        </w:trPr>
        <w:tc>
          <w:tcPr>
            <w:tcW w:w="440" w:type="dxa"/>
            <w:tcBorders>
              <w:top w:val="nil"/>
              <w:left w:val="single" w:color="auto" w:sz="4" w:space="0"/>
              <w:bottom w:val="single" w:color="auto" w:sz="4" w:space="0"/>
              <w:right w:val="single" w:color="auto" w:sz="4" w:space="0"/>
            </w:tcBorders>
            <w:shd w:val="clear" w:color="000000" w:fill="FFFFFF"/>
            <w:vAlign w:val="center"/>
          </w:tcPr>
          <w:p>
            <w:pPr>
              <w:widowControl/>
              <w:rPr>
                <w:rFonts w:hint="eastAsia" w:ascii="仿宋_GB2312" w:hAnsi="宋体" w:eastAsia="仿宋_GB2312" w:cs="宋体"/>
                <w:color w:val="auto"/>
                <w:kern w:val="0"/>
                <w:sz w:val="20"/>
                <w:szCs w:val="20"/>
              </w:rPr>
            </w:pPr>
          </w:p>
        </w:tc>
        <w:tc>
          <w:tcPr>
            <w:tcW w:w="159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宋体" w:eastAsia="仿宋_GB2312" w:cs="宋体"/>
                <w:color w:val="auto"/>
                <w:kern w:val="0"/>
                <w:sz w:val="20"/>
                <w:szCs w:val="20"/>
              </w:rPr>
            </w:pPr>
          </w:p>
        </w:tc>
        <w:tc>
          <w:tcPr>
            <w:tcW w:w="11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宋体" w:eastAsia="仿宋_GB2312" w:cs="宋体"/>
                <w:color w:val="auto"/>
                <w:kern w:val="0"/>
                <w:sz w:val="20"/>
                <w:szCs w:val="20"/>
              </w:rPr>
            </w:pPr>
          </w:p>
        </w:tc>
        <w:tc>
          <w:tcPr>
            <w:tcW w:w="41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宋体" w:eastAsia="仿宋_GB2312" w:cs="宋体"/>
                <w:color w:val="auto"/>
                <w:kern w:val="0"/>
                <w:sz w:val="20"/>
                <w:szCs w:val="20"/>
              </w:rPr>
            </w:pPr>
          </w:p>
        </w:tc>
        <w:tc>
          <w:tcPr>
            <w:tcW w:w="1553"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宋体" w:eastAsia="仿宋_GB2312" w:cs="宋体"/>
                <w:color w:val="auto"/>
                <w:kern w:val="0"/>
                <w:sz w:val="20"/>
                <w:szCs w:val="20"/>
              </w:rPr>
            </w:pPr>
          </w:p>
        </w:tc>
        <w:tc>
          <w:tcPr>
            <w:tcW w:w="2123"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宋体" w:eastAsia="仿宋_GB2312" w:cs="宋体"/>
                <w:color w:val="auto"/>
                <w:kern w:val="0"/>
                <w:sz w:val="20"/>
                <w:szCs w:val="20"/>
              </w:rPr>
            </w:pP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776"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1236"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hint="eastAsia" w:ascii="仿宋_GB2312" w:hAnsi="宋体" w:eastAsia="仿宋_GB2312" w:cs="宋体"/>
                <w:color w:val="auto"/>
                <w:kern w:val="0"/>
                <w:sz w:val="20"/>
                <w:szCs w:val="20"/>
              </w:rPr>
            </w:pPr>
          </w:p>
        </w:tc>
        <w:tc>
          <w:tcPr>
            <w:tcW w:w="159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9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宋体" w:eastAsia="仿宋_GB2312" w:cs="宋体"/>
                <w:color w:val="auto"/>
                <w:kern w:val="0"/>
                <w:sz w:val="20"/>
                <w:szCs w:val="20"/>
              </w:rPr>
            </w:pPr>
          </w:p>
        </w:tc>
        <w:tc>
          <w:tcPr>
            <w:tcW w:w="11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宋体" w:eastAsia="仿宋_GB2312" w:cs="宋体"/>
                <w:color w:val="auto"/>
                <w:kern w:val="0"/>
                <w:sz w:val="20"/>
                <w:szCs w:val="20"/>
              </w:rPr>
            </w:pPr>
          </w:p>
        </w:tc>
        <w:tc>
          <w:tcPr>
            <w:tcW w:w="4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宋体" w:eastAsia="仿宋_GB2312" w:cs="宋体"/>
                <w:color w:val="auto"/>
                <w:kern w:val="0"/>
                <w:sz w:val="20"/>
                <w:szCs w:val="20"/>
              </w:rPr>
            </w:pPr>
          </w:p>
        </w:tc>
        <w:tc>
          <w:tcPr>
            <w:tcW w:w="15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仿宋_GB2312" w:hAnsi="宋体" w:eastAsia="仿宋_GB2312" w:cs="宋体"/>
                <w:color w:val="auto"/>
                <w:kern w:val="0"/>
                <w:sz w:val="20"/>
                <w:szCs w:val="20"/>
              </w:rPr>
            </w:pPr>
          </w:p>
        </w:tc>
        <w:tc>
          <w:tcPr>
            <w:tcW w:w="212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仿宋_GB2312" w:hAnsi="宋体" w:eastAsia="仿宋_GB2312" w:cs="宋体"/>
                <w:color w:val="auto"/>
                <w:kern w:val="0"/>
                <w:sz w:val="20"/>
                <w:szCs w:val="20"/>
              </w:rPr>
            </w:pPr>
          </w:p>
        </w:tc>
        <w:tc>
          <w:tcPr>
            <w:tcW w:w="19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auto"/>
                <w:kern w:val="0"/>
                <w:sz w:val="20"/>
                <w:szCs w:val="20"/>
              </w:rPr>
            </w:pPr>
          </w:p>
        </w:tc>
        <w:tc>
          <w:tcPr>
            <w:tcW w:w="77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color w:val="auto"/>
                <w:kern w:val="0"/>
                <w:sz w:val="20"/>
                <w:szCs w:val="20"/>
              </w:rPr>
            </w:pPr>
          </w:p>
        </w:tc>
      </w:tr>
    </w:tbl>
    <w:p>
      <w:pPr>
        <w:spacing w:line="560" w:lineRule="exact"/>
        <w:rPr>
          <w:rFonts w:hint="eastAsia"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说明：本表格每月25日前报管委会，并附项目进度照片3张。</w:t>
      </w:r>
    </w:p>
    <w:p>
      <w:pPr>
        <w:pStyle w:val="2"/>
        <w:rPr>
          <w:rFonts w:hint="eastAsia" w:ascii="Times New Roman"/>
          <w:b/>
          <w:color w:val="auto"/>
        </w:rPr>
      </w:pPr>
      <w:r>
        <w:rPr>
          <w:rFonts w:hint="eastAsia" w:hAnsi="宋体"/>
          <w:color w:val="auto"/>
          <w:sz w:val="28"/>
          <w:szCs w:val="28"/>
        </w:rPr>
        <w:br w:type="page"/>
      </w:r>
      <w:r>
        <w:rPr>
          <w:rFonts w:hint="eastAsia" w:ascii="Times New Roman"/>
          <w:b/>
          <w:color w:val="auto"/>
        </w:rPr>
        <w:t>附件6：</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宋体" w:eastAsia="方正小标宋简体" w:cs="宋体"/>
          <w:color w:val="auto"/>
          <w:kern w:val="0"/>
          <w:sz w:val="44"/>
          <w:szCs w:val="44"/>
        </w:rPr>
        <w:t>陕西石泉经济技术开发区</w:t>
      </w:r>
      <w:r>
        <w:rPr>
          <w:rFonts w:hint="eastAsia" w:ascii="方正小标宋简体" w:hAnsi="方正小标宋简体" w:eastAsia="方正小标宋简体" w:cs="方正小标宋简体"/>
          <w:color w:val="auto"/>
          <w:sz w:val="44"/>
          <w:szCs w:val="44"/>
          <w:u w:val="single"/>
        </w:rPr>
        <w:t xml:space="preserve">        </w:t>
      </w:r>
      <w:r>
        <w:rPr>
          <w:rFonts w:hint="eastAsia" w:ascii="方正小标宋简体" w:hAnsi="方正小标宋简体" w:eastAsia="方正小标宋简体" w:cs="方正小标宋简体"/>
          <w:color w:val="auto"/>
          <w:sz w:val="44"/>
          <w:szCs w:val="44"/>
        </w:rPr>
        <w:t>项目工程计划进度月报表</w:t>
      </w:r>
    </w:p>
    <w:tbl>
      <w:tblPr>
        <w:tblStyle w:val="8"/>
        <w:tblW w:w="0" w:type="auto"/>
        <w:tblInd w:w="0" w:type="dxa"/>
        <w:tblLayout w:type="fixed"/>
        <w:tblCellMar>
          <w:top w:w="0" w:type="dxa"/>
          <w:left w:w="0" w:type="dxa"/>
          <w:bottom w:w="0" w:type="dxa"/>
          <w:right w:w="0" w:type="dxa"/>
        </w:tblCellMar>
      </w:tblPr>
      <w:tblGrid>
        <w:gridCol w:w="915"/>
        <w:gridCol w:w="2433"/>
        <w:gridCol w:w="1663"/>
        <w:gridCol w:w="2233"/>
        <w:gridCol w:w="2583"/>
        <w:gridCol w:w="2626"/>
        <w:gridCol w:w="1607"/>
      </w:tblGrid>
      <w:tr>
        <w:tblPrEx>
          <w:tblCellMar>
            <w:top w:w="0" w:type="dxa"/>
            <w:left w:w="0" w:type="dxa"/>
            <w:bottom w:w="0" w:type="dxa"/>
            <w:right w:w="0" w:type="dxa"/>
          </w:tblCellMar>
        </w:tblPrEx>
        <w:trPr>
          <w:trHeight w:val="1196" w:hRule="atLeast"/>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 w:val="28"/>
                <w:szCs w:val="28"/>
              </w:rPr>
            </w:pPr>
            <w:r>
              <w:rPr>
                <w:rFonts w:hint="eastAsia" w:ascii="宋体" w:hAnsi="宋体" w:cs="宋体"/>
                <w:b/>
                <w:color w:val="auto"/>
                <w:kern w:val="0"/>
                <w:sz w:val="28"/>
                <w:szCs w:val="28"/>
                <w:lang w:bidi="ar"/>
              </w:rPr>
              <w:t>序号</w:t>
            </w:r>
          </w:p>
        </w:tc>
        <w:tc>
          <w:tcPr>
            <w:tcW w:w="2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 w:val="28"/>
                <w:szCs w:val="28"/>
              </w:rPr>
            </w:pPr>
            <w:r>
              <w:rPr>
                <w:rFonts w:hint="eastAsia" w:ascii="宋体" w:hAnsi="宋体" w:cs="宋体"/>
                <w:b/>
                <w:color w:val="auto"/>
                <w:kern w:val="0"/>
                <w:sz w:val="28"/>
                <w:szCs w:val="28"/>
                <w:lang w:bidi="ar"/>
              </w:rPr>
              <w:t>主要工程内容</w:t>
            </w:r>
          </w:p>
        </w:tc>
        <w:tc>
          <w:tcPr>
            <w:tcW w:w="1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 w:val="28"/>
                <w:szCs w:val="28"/>
              </w:rPr>
            </w:pPr>
            <w:r>
              <w:rPr>
                <w:rFonts w:hint="eastAsia" w:ascii="宋体" w:hAnsi="宋体" w:cs="宋体"/>
                <w:b/>
                <w:color w:val="auto"/>
                <w:kern w:val="0"/>
                <w:sz w:val="28"/>
                <w:szCs w:val="28"/>
                <w:lang w:bidi="ar"/>
              </w:rPr>
              <w:t>计量单位</w:t>
            </w:r>
          </w:p>
        </w:tc>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 w:val="28"/>
                <w:szCs w:val="28"/>
              </w:rPr>
            </w:pPr>
            <w:r>
              <w:rPr>
                <w:rFonts w:hint="eastAsia" w:ascii="宋体" w:hAnsi="宋体" w:cs="宋体"/>
                <w:b/>
                <w:color w:val="auto"/>
                <w:kern w:val="0"/>
                <w:sz w:val="28"/>
                <w:szCs w:val="28"/>
                <w:lang w:bidi="ar"/>
              </w:rPr>
              <w:t>设计总量</w:t>
            </w:r>
          </w:p>
        </w:tc>
        <w:tc>
          <w:tcPr>
            <w:tcW w:w="2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auto"/>
                <w:sz w:val="28"/>
                <w:szCs w:val="28"/>
              </w:rPr>
            </w:pPr>
            <w:r>
              <w:rPr>
                <w:rFonts w:hint="eastAsia" w:ascii="宋体" w:hAnsi="宋体" w:cs="宋体"/>
                <w:b/>
                <w:color w:val="auto"/>
                <w:kern w:val="0"/>
                <w:sz w:val="28"/>
                <w:szCs w:val="28"/>
                <w:lang w:bidi="ar"/>
              </w:rPr>
              <w:t>起止时间</w:t>
            </w:r>
          </w:p>
        </w:tc>
        <w:tc>
          <w:tcPr>
            <w:tcW w:w="2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 w:val="28"/>
                <w:szCs w:val="28"/>
              </w:rPr>
            </w:pPr>
            <w:r>
              <w:rPr>
                <w:rFonts w:hint="eastAsia" w:ascii="宋体" w:hAnsi="宋体" w:cs="宋体"/>
                <w:b/>
                <w:color w:val="auto"/>
                <w:sz w:val="28"/>
                <w:szCs w:val="28"/>
              </w:rPr>
              <w:t>责任人</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 w:val="28"/>
                <w:szCs w:val="28"/>
              </w:rPr>
            </w:pPr>
            <w:r>
              <w:rPr>
                <w:rFonts w:hint="eastAsia" w:ascii="宋体" w:hAnsi="宋体" w:cs="宋体"/>
                <w:b/>
                <w:color w:val="auto"/>
                <w:kern w:val="0"/>
                <w:sz w:val="28"/>
                <w:szCs w:val="28"/>
                <w:lang w:bidi="ar"/>
              </w:rPr>
              <w:t>备注</w:t>
            </w:r>
          </w:p>
        </w:tc>
      </w:tr>
      <w:tr>
        <w:tblPrEx>
          <w:tblCellMar>
            <w:top w:w="0" w:type="dxa"/>
            <w:left w:w="0" w:type="dxa"/>
            <w:bottom w:w="0" w:type="dxa"/>
            <w:right w:w="0" w:type="dxa"/>
          </w:tblCellMar>
        </w:tblPrEx>
        <w:trPr>
          <w:trHeight w:val="621" w:hRule="atLeast"/>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1</w:t>
            </w:r>
          </w:p>
        </w:tc>
        <w:tc>
          <w:tcPr>
            <w:tcW w:w="2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1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2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2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621" w:hRule="atLeast"/>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2</w:t>
            </w:r>
          </w:p>
        </w:tc>
        <w:tc>
          <w:tcPr>
            <w:tcW w:w="2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1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2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2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621" w:hRule="atLeast"/>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w:t>
            </w:r>
          </w:p>
        </w:tc>
        <w:tc>
          <w:tcPr>
            <w:tcW w:w="2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1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2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2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621" w:hRule="atLeast"/>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4</w:t>
            </w:r>
          </w:p>
        </w:tc>
        <w:tc>
          <w:tcPr>
            <w:tcW w:w="2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1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2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2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621" w:hRule="atLeast"/>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5</w:t>
            </w:r>
          </w:p>
        </w:tc>
        <w:tc>
          <w:tcPr>
            <w:tcW w:w="2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1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2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2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621" w:hRule="atLeast"/>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6</w:t>
            </w:r>
          </w:p>
        </w:tc>
        <w:tc>
          <w:tcPr>
            <w:tcW w:w="2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1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2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2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621" w:hRule="atLeast"/>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w:t>
            </w:r>
          </w:p>
        </w:tc>
        <w:tc>
          <w:tcPr>
            <w:tcW w:w="2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1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2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2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rPr>
            </w:pPr>
          </w:p>
        </w:tc>
      </w:tr>
    </w:tbl>
    <w:p>
      <w:pPr>
        <w:rPr>
          <w:rFonts w:hint="eastAsia" w:ascii="宋体" w:hAnsi="宋体" w:cs="宋体"/>
          <w:color w:val="auto"/>
          <w:sz w:val="28"/>
          <w:szCs w:val="28"/>
        </w:rPr>
      </w:pPr>
      <w:r>
        <w:rPr>
          <w:rFonts w:hint="eastAsia" w:ascii="宋体" w:hAnsi="宋体" w:cs="宋体"/>
          <w:color w:val="auto"/>
          <w:sz w:val="28"/>
          <w:szCs w:val="28"/>
        </w:rPr>
        <w:t>说明：后附项目进度照片3张。</w:t>
      </w:r>
    </w:p>
    <w:p>
      <w:pPr>
        <w:rPr>
          <w:color w:val="auto"/>
        </w:rPr>
      </w:pPr>
      <w:r>
        <w:rPr>
          <w:rFonts w:hint="eastAsia" w:ascii="宋体" w:hAnsi="宋体" w:cs="宋体"/>
          <w:color w:val="auto"/>
          <w:sz w:val="28"/>
          <w:szCs w:val="28"/>
        </w:rPr>
        <w:t>填表人：                                填表日期：                                  审核人：</w:t>
      </w:r>
    </w:p>
    <w:sectPr>
      <w:pgSz w:w="16838" w:h="11906" w:orient="landscape"/>
      <w:pgMar w:top="1474" w:right="2098" w:bottom="1588" w:left="1985" w:header="851"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22" w:firstLineChars="115"/>
      <w:rPr>
        <w:rFonts w:hint="eastAsia"/>
      </w:rPr>
    </w:pPr>
    <w:r>
      <w:rPr>
        <w:rStyle w:val="10"/>
        <w:rFonts w:hint="eastAsia" w:ascii="宋体" w:hAnsi="宋体"/>
        <w:sz w:val="28"/>
        <w:szCs w:val="28"/>
      </w:rPr>
      <w:t>—</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3</w:t>
    </w:r>
    <w:r>
      <w:rPr>
        <w:rFonts w:ascii="宋体" w:hAnsi="宋体"/>
        <w:sz w:val="28"/>
        <w:szCs w:val="28"/>
      </w:rPr>
      <w:fldChar w:fldCharType="end"/>
    </w:r>
    <w:r>
      <w:rPr>
        <w:rStyle w:val="10"/>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04" w:rightChars="145"/>
      <w:jc w:val="right"/>
      <w:rPr>
        <w:rFonts w:hint="eastAsia"/>
      </w:rPr>
    </w:pPr>
    <w:r>
      <w:rPr>
        <w:rStyle w:val="10"/>
        <w:rFonts w:hint="eastAsia" w:ascii="宋体" w:hAnsi="宋体"/>
        <w:sz w:val="28"/>
        <w:szCs w:val="28"/>
      </w:rPr>
      <w:t>—</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4</w:t>
    </w:r>
    <w:r>
      <w:rPr>
        <w:rFonts w:ascii="宋体" w:hAnsi="宋体"/>
        <w:sz w:val="28"/>
        <w:szCs w:val="28"/>
      </w:rPr>
      <w:fldChar w:fldCharType="end"/>
    </w:r>
    <w:r>
      <w:rPr>
        <w:rStyle w:val="10"/>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B5982"/>
    <w:rsid w:val="004251FC"/>
    <w:rsid w:val="006564D9"/>
    <w:rsid w:val="008F3573"/>
    <w:rsid w:val="0A056D40"/>
    <w:rsid w:val="0A0B7EA8"/>
    <w:rsid w:val="0A177020"/>
    <w:rsid w:val="0B884259"/>
    <w:rsid w:val="0C895F75"/>
    <w:rsid w:val="0EAC2D6A"/>
    <w:rsid w:val="0F50169F"/>
    <w:rsid w:val="0FD63DC9"/>
    <w:rsid w:val="108B69BF"/>
    <w:rsid w:val="11597CE7"/>
    <w:rsid w:val="12790B40"/>
    <w:rsid w:val="132A03EB"/>
    <w:rsid w:val="15625507"/>
    <w:rsid w:val="17672258"/>
    <w:rsid w:val="1EF745EF"/>
    <w:rsid w:val="28EC4676"/>
    <w:rsid w:val="2AF54440"/>
    <w:rsid w:val="2EBB3B12"/>
    <w:rsid w:val="30FB721A"/>
    <w:rsid w:val="31402984"/>
    <w:rsid w:val="34E3799F"/>
    <w:rsid w:val="35692EEC"/>
    <w:rsid w:val="3AA309B7"/>
    <w:rsid w:val="3BF9373A"/>
    <w:rsid w:val="3D063CCD"/>
    <w:rsid w:val="3F9F4018"/>
    <w:rsid w:val="40514424"/>
    <w:rsid w:val="40DC3E5B"/>
    <w:rsid w:val="412A4425"/>
    <w:rsid w:val="431F51AC"/>
    <w:rsid w:val="473C429A"/>
    <w:rsid w:val="47BE173F"/>
    <w:rsid w:val="48CE6BCC"/>
    <w:rsid w:val="49043253"/>
    <w:rsid w:val="4C673E22"/>
    <w:rsid w:val="4D282C61"/>
    <w:rsid w:val="4E0A3E1E"/>
    <w:rsid w:val="4E9E0D28"/>
    <w:rsid w:val="4F1D72A9"/>
    <w:rsid w:val="4FA51D9C"/>
    <w:rsid w:val="515950A8"/>
    <w:rsid w:val="52642962"/>
    <w:rsid w:val="5369544E"/>
    <w:rsid w:val="56A342F8"/>
    <w:rsid w:val="56D55C68"/>
    <w:rsid w:val="5C1136D5"/>
    <w:rsid w:val="5D486FDE"/>
    <w:rsid w:val="5ED14BC5"/>
    <w:rsid w:val="6001571A"/>
    <w:rsid w:val="611D3720"/>
    <w:rsid w:val="6203075A"/>
    <w:rsid w:val="6AAA7500"/>
    <w:rsid w:val="7000064C"/>
    <w:rsid w:val="70342D8D"/>
    <w:rsid w:val="707B0E5C"/>
    <w:rsid w:val="710C5595"/>
    <w:rsid w:val="73B54576"/>
    <w:rsid w:val="76EA0C06"/>
    <w:rsid w:val="79485E5C"/>
    <w:rsid w:val="7A051F6D"/>
    <w:rsid w:val="7A20540B"/>
    <w:rsid w:val="7B3E35B3"/>
    <w:rsid w:val="7F805ECC"/>
    <w:rsid w:val="7F8A1D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annotation text"/>
    <w:basedOn w:val="1"/>
    <w:qFormat/>
    <w:uiPriority w:val="0"/>
    <w:pPr>
      <w:jc w:val="left"/>
    </w:p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 Char"/>
    <w:basedOn w:val="1"/>
    <w:qFormat/>
    <w:uiPriority w:val="0"/>
  </w:style>
  <w:style w:type="character" w:customStyle="1" w:styleId="12">
    <w:name w:val="font01"/>
    <w:basedOn w:val="9"/>
    <w:qFormat/>
    <w:uiPriority w:val="0"/>
    <w:rPr>
      <w:rFonts w:hint="eastAsia" w:ascii="宋体" w:hAnsi="宋体" w:eastAsia="宋体" w:cs="宋体"/>
      <w:b/>
      <w:color w:val="000000"/>
      <w:sz w:val="24"/>
      <w:szCs w:val="24"/>
      <w:u w:val="none"/>
    </w:rPr>
  </w:style>
  <w:style w:type="character" w:customStyle="1" w:styleId="13">
    <w:name w:val="font11"/>
    <w:basedOn w:val="9"/>
    <w:qFormat/>
    <w:uiPriority w:val="0"/>
    <w:rPr>
      <w:rFonts w:hint="eastAsia" w:ascii="宋体" w:hAnsi="宋体" w:eastAsia="宋体" w:cs="宋体"/>
      <w:b/>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935</Words>
  <Characters>5335</Characters>
  <Lines>44</Lines>
  <Paragraphs>12</Paragraphs>
  <TotalTime>34</TotalTime>
  <ScaleCrop>false</ScaleCrop>
  <LinksUpToDate>false</LinksUpToDate>
  <CharactersWithSpaces>6258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2014-01-03T03:52:00Z</dcterms:created>
  <dc:creator>微软用户</dc:creator>
  <cp:lastModifiedBy>lyj</cp:lastModifiedBy>
  <cp:lastPrinted>2020-12-03T01:19:00Z</cp:lastPrinted>
  <dcterms:modified xsi:type="dcterms:W3CDTF">2020-12-14T03:20:12Z</dcterms:modified>
  <dc:title>石政办</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