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D3" w:rsidRPr="00184E35" w:rsidRDefault="006113D3" w:rsidP="006113D3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184E3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石泉县熨斗镇中河村脱贫攻坚工作实施方案</w:t>
      </w:r>
    </w:p>
    <w:p w:rsidR="006113D3" w:rsidRPr="00184E35" w:rsidRDefault="006113D3" w:rsidP="006113D3">
      <w:pPr>
        <w:pStyle w:val="a6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113D3" w:rsidRPr="00184E35" w:rsidRDefault="006113D3" w:rsidP="006113D3">
      <w:pPr>
        <w:pStyle w:val="a6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>为全面贯彻省、市关于加快推进深度贫困地区脱贫攻坚工作的实施意见，坚决打赢脱贫攻坚战，确保如期完成脱贫攻坚目标任务，结合实际，制定本方案。</w:t>
      </w:r>
    </w:p>
    <w:p w:rsidR="006113D3" w:rsidRPr="00184E35" w:rsidRDefault="006113D3" w:rsidP="006113D3">
      <w:pPr>
        <w:pStyle w:val="a6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 w:rsidRPr="00184E35"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6113D3" w:rsidRPr="00184E35" w:rsidRDefault="006113D3" w:rsidP="006113D3">
      <w:pPr>
        <w:pStyle w:val="a6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>中河村位于熨斗集镇西北部11.5公里，干沟河上游，西部与西乡县接壤，辖7个村民小组、188户685人。其中贫困人口114户343人，贫困发生率50.07%，一般贫困户86户300人，低保户12户24人，五保户16户19人，计划产业脱贫39户119人，劳务输出81户96人，生态补偿脱贫86户220人，易地搬迁脱贫63户183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ab/>
        <w:t>人，危房改造45户85人，医疗脱贫12户12人，教育脱贫30户41人，兜底脱贫32户36人。全村地形为“两山夹一沟”，山大人稀，石多地少，土地贫瘠，自然条件极为恶劣，经济基础相当薄弱，贫困程度深，脱贫难度大。</w:t>
      </w:r>
    </w:p>
    <w:p w:rsidR="006113D3" w:rsidRPr="00184E35" w:rsidRDefault="006113D3" w:rsidP="006113D3">
      <w:pPr>
        <w:spacing w:line="576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184E35">
        <w:rPr>
          <w:rFonts w:ascii="黑体" w:eastAsia="黑体" w:hAnsi="黑体" w:cs="黑体" w:hint="eastAsia"/>
          <w:bCs/>
          <w:sz w:val="32"/>
          <w:szCs w:val="32"/>
        </w:rPr>
        <w:t>二、总体要求</w:t>
      </w:r>
    </w:p>
    <w:p w:rsidR="006113D3" w:rsidRPr="00184E35" w:rsidRDefault="006113D3" w:rsidP="006113D3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>以党的十九大精神为指导，认真贯彻落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平总书记在深度贫困地区脱贫攻坚座谈会上的讲话精神，深入实施精准扶贫精准脱贫方略，紧扣“两不愁、三保障”目标，聚焦脱贫退出标准，按照“核心是精准、关键在落实、确保可持续”的工作方针，着力实施脱贫攻坚各项重点工程，完善帮扶机制，倾斜资金投入，强化政策保障，夯实工作基础，确保全村人居环境明显改善，社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会事业全面进步，稳定实现“两不愁、三保障”，贫困人口人均可支配收入达到4000元以上，脱贫攻坚工作成效明显提升，经得起实践和历史检验，全面完成整村脱贫攻坚任务。</w:t>
      </w:r>
    </w:p>
    <w:p w:rsidR="006113D3" w:rsidRPr="00184E35" w:rsidRDefault="006113D3" w:rsidP="006113D3">
      <w:pPr>
        <w:spacing w:line="576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184E35">
        <w:rPr>
          <w:rFonts w:ascii="黑体" w:eastAsia="黑体" w:hAnsi="黑体" w:cs="黑体" w:hint="eastAsia"/>
          <w:bCs/>
          <w:sz w:val="32"/>
          <w:szCs w:val="32"/>
        </w:rPr>
        <w:t>二、重点任务</w:t>
      </w:r>
    </w:p>
    <w:p w:rsidR="006113D3" w:rsidRPr="00184E35" w:rsidRDefault="006113D3" w:rsidP="006113D3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（一）完善基础设施配套。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把完善基础设施和公共服务配套放在首要位置，确保电力入户、宽带进村、移动通讯信号全覆盖，“两室一场”和基础设施建设全面达标，彻底改善贫困群众生产、生活条件。改造村级道路13公里，新建产业路2.6公里；新修便民桥3座；新建河堤300米、灌溉水渠2公里；新建沼气1口；实施农网改造升级3.5公里；改造村委会活动室1个，硬化公共活动场所300</w:t>
      </w:r>
      <w:r w:rsidRPr="00184E35">
        <w:rPr>
          <w:rFonts w:ascii="宋体" w:hAnsi="宋体" w:cs="宋体" w:hint="eastAsia"/>
          <w:sz w:val="32"/>
          <w:szCs w:val="32"/>
        </w:rPr>
        <w:t>㎡；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新建村级卫生室1个，添置健身器材3套。</w:t>
      </w:r>
    </w:p>
    <w:p w:rsidR="006113D3" w:rsidRPr="00184E35" w:rsidRDefault="006113D3" w:rsidP="006113D3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（二）抓实“三业”增收。</w:t>
      </w:r>
      <w:r w:rsidRPr="00184E35">
        <w:rPr>
          <w:rFonts w:eastAsia="仿宋_GB2312"/>
          <w:sz w:val="32"/>
          <w:szCs w:val="32"/>
        </w:rPr>
        <w:t>坚持把产业脱贫作为贫困户稳定增收和防止返贫的重要支撑，</w:t>
      </w:r>
      <w:r w:rsidRPr="00184E35">
        <w:rPr>
          <w:rFonts w:eastAsia="仿宋_GB2312"/>
          <w:kern w:val="0"/>
          <w:sz w:val="32"/>
          <w:szCs w:val="32"/>
          <w:lang w:val="zh-CN"/>
        </w:rPr>
        <w:t>明晰产业脱贫路径，</w:t>
      </w:r>
      <w:r w:rsidRPr="00184E35">
        <w:rPr>
          <w:rFonts w:eastAsia="仿宋_GB2312"/>
          <w:sz w:val="32"/>
          <w:szCs w:val="32"/>
        </w:rPr>
        <w:t>补齐产业发展短板，进一步提升贫困户产业脱贫能力</w:t>
      </w:r>
      <w:r w:rsidRPr="00184E35">
        <w:rPr>
          <w:rFonts w:eastAsia="仿宋_GB2312"/>
          <w:kern w:val="0"/>
          <w:sz w:val="32"/>
          <w:szCs w:val="32"/>
          <w:lang w:val="zh-CN"/>
        </w:rPr>
        <w:t>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因地制宜发展黄花、烤烟、蚕桑、辣椒、高山土豆、魔芋、燕麦、拐枣、核桃、茶园、李子、猕猴桃以及畜禽养殖等特色种养和山林经济；发展光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伏项目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100亩；完成贫困户实用技术培训600人；完成就业技能培训60人，培育能人大户6人，转移就业90人，特设公益性岗位安置就业2人，实现贫困群众创业就业增收。</w:t>
      </w:r>
    </w:p>
    <w:p w:rsidR="006113D3" w:rsidRPr="00184E35" w:rsidRDefault="006113D3" w:rsidP="006113D3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（三）保障住房安全。</w:t>
      </w:r>
      <w:proofErr w:type="gramStart"/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统筹抓好</w:t>
      </w:r>
      <w:proofErr w:type="gramEnd"/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移民搬迁和危房改造，坚持应</w:t>
      </w:r>
      <w:proofErr w:type="gramStart"/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搬尽搬</w:t>
      </w:r>
      <w:proofErr w:type="gramEnd"/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、应改尽改，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实现安全住房全覆盖，重点解决建档立卡贫困户、低保户、分散供养特困人员、贫困残疾人家庭的基本住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房安全问题。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在保证安全、质量的前提下，精心组织施工，加快建设进度，确保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2018年底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移民搬迁户按期入住、危房改造户按期完工，全面解决贫困人口的住房保障问题。实施“先业后搬”，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确保贫困户搬得出、稳得住、逐步能致富。</w:t>
      </w:r>
    </w:p>
    <w:p w:rsidR="006113D3" w:rsidRPr="00184E35" w:rsidRDefault="006113D3" w:rsidP="006113D3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（四）</w:t>
      </w:r>
      <w:r w:rsidRPr="00184E35">
        <w:rPr>
          <w:rFonts w:ascii="楷体" w:eastAsia="楷体" w:hAnsi="楷体" w:cs="楷体" w:hint="eastAsia"/>
          <w:b/>
          <w:sz w:val="32"/>
          <w:szCs w:val="32"/>
        </w:rPr>
        <w:t>实施健康脱贫。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全面开展健康扶贫疾病预防控制“八大行动”，加大健康知识普及宣传，做好个性化健康教育；认真落实年度贫困群众体检工作制度，大力实施“三查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送”健康促进行动；建立贫困人口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“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基本医疗保险、大病保险、民政医疗救助和财政兜底保障“四重保障”制度，实行贫困人口“零押金住院、先诊疗后结算、一站式报销、慢性病免费供药”政策，实施大病集中救治一批、慢病签约管理一批、住院兜底保障一批，提升贫困群众健康水平。</w:t>
      </w:r>
    </w:p>
    <w:p w:rsidR="006113D3" w:rsidRPr="00184E35" w:rsidRDefault="006113D3" w:rsidP="006113D3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（五）落实生态脱贫政策。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抢抓国家生态扶贫契机，认真落实新一轮退耕还林政策，25度以上坡耕地逐步退耕还林。比照国家生态策补偿标准，把生态公益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林全部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纳入补偿范围。积极推进村级护林员转化生态护林员工作，促进贫困户就近就地就业。大力支持贫困户发展中药材、食用菌、干杂果、特色养殖等林业经济，拓宽贫困户增收渠道。</w:t>
      </w:r>
    </w:p>
    <w:p w:rsidR="006113D3" w:rsidRPr="00184E35" w:rsidRDefault="006113D3" w:rsidP="006113D3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（六）实施教育兜底脱贫。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全面落实教育扶贫政策，为贫困学生争取更多资助，不让一个贫困学生因贫辍学，全面解决贫困家庭因学致贫问题。认真贯彻中、省兜底脱贫政策，积极整合社会救助资源，足额落实社保兜底补助资金，健全特困人员救助供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养制度，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做好低保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制度与扶贫政策有效衔接，切实做到应保尽保、应救尽救、应养尽养，确保特殊困难群体得到基本保障，实现稳定脱贫。</w:t>
      </w:r>
    </w:p>
    <w:p w:rsidR="006113D3" w:rsidRPr="00184E35" w:rsidRDefault="006113D3" w:rsidP="006113D3">
      <w:pPr>
        <w:spacing w:line="576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（七）加强新民风建设。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全面推行村务公开，进一步加强基层组织建设、党风廉政、民主法治、乡村治理和精神文明建设，完善基层便民服务体系，切实提高村“两委”的办事效率。大力倡导“诚、孝、俭、勤、和” 等优良美德，狠杀农村铺张浪费、奢靡攀比之风，整治失信、失德、失志和农村封建迷信活动，遏制违法犯罪行为，系统推进新民风建设和基层民主法治建设，全面提升群众民主法制意识、村民自治能力和脱贫致富的内生动力。</w:t>
      </w:r>
    </w:p>
    <w:p w:rsidR="006113D3" w:rsidRPr="00184E35" w:rsidRDefault="006113D3" w:rsidP="006113D3">
      <w:pPr>
        <w:spacing w:line="576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184E35">
        <w:rPr>
          <w:rFonts w:ascii="黑体" w:eastAsia="黑体" w:hAnsi="黑体" w:cs="黑体" w:hint="eastAsia"/>
          <w:bCs/>
          <w:sz w:val="32"/>
          <w:szCs w:val="32"/>
        </w:rPr>
        <w:t>四、保障措施</w:t>
      </w:r>
    </w:p>
    <w:p w:rsidR="006113D3" w:rsidRPr="00184E35" w:rsidRDefault="006113D3" w:rsidP="006113D3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（一）强化组织领导。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明确由县委副书记为县级包抓领导，县检察院检察长为责任县级领导，负责做好统筹部署、项目落地、督促检查、解剖麻雀、发现问题、解决问题等，镇党委、政府和驻村工作队长负责进度安排、资金使用、人力调配、推进实施等工作，切实做到认识到位、措施有力、责任明确、效果明显；积极整合“四支队伍”，调动一切力量，激发工作活力，形成强大工作合力。</w:t>
      </w:r>
    </w:p>
    <w:p w:rsidR="006113D3" w:rsidRPr="00184E35" w:rsidRDefault="006113D3" w:rsidP="006113D3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（二）加大资金投入。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加大专项资金争取力度，在中省对深度贫困地区扶贫专项资金安排增幅的基础上再提高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20%资金投入，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从多方面安排和保障项目资金不低于1000万元；同时，争取金融扶贫资金优先投放，帮扶单位结余的公用经费优先用于帮扶工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作，着力解决资金短期、投入不足问题，强化攻坚期内脱贫攻坚项目财力保障。</w:t>
      </w:r>
    </w:p>
    <w:p w:rsidR="006113D3" w:rsidRPr="00184E35" w:rsidRDefault="006113D3" w:rsidP="006113D3">
      <w:pPr>
        <w:spacing w:line="576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84E35">
        <w:rPr>
          <w:rFonts w:ascii="楷体_GB2312" w:eastAsia="楷体_GB2312" w:hint="eastAsia"/>
          <w:b/>
          <w:sz w:val="32"/>
          <w:szCs w:val="32"/>
        </w:rPr>
        <w:t>（三）加强督促检查。</w:t>
      </w:r>
      <w:r w:rsidRPr="00184E35">
        <w:rPr>
          <w:rFonts w:ascii="仿宋_GB2312" w:eastAsia="仿宋_GB2312" w:hint="eastAsia"/>
          <w:sz w:val="32"/>
          <w:szCs w:val="32"/>
        </w:rPr>
        <w:t>严格落实脱贫攻坚督查制度，实施最严格的考核评估，对不严不实、弄虚作假的严肃问责，对挪用、贪污扶贫款项的严肃处理，坚持做到脱贫计划不脱离实际随意提前，扶贫标准不随意降低，不搞数字脱贫、虚假脱贫，确保扶贫工作务实、脱贫过程扎实、脱贫结果真实。</w:t>
      </w:r>
    </w:p>
    <w:p w:rsidR="006113D3" w:rsidRPr="00184E35" w:rsidRDefault="006113D3" w:rsidP="006113D3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113D3" w:rsidRPr="00184E35" w:rsidRDefault="006113D3" w:rsidP="006113D3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4E35">
        <w:rPr>
          <w:rFonts w:ascii="仿宋_GB2312" w:eastAsia="仿宋_GB2312" w:hint="eastAsia"/>
          <w:sz w:val="32"/>
          <w:szCs w:val="32"/>
        </w:rPr>
        <w:t>附件：1</w:t>
      </w:r>
      <w:r>
        <w:rPr>
          <w:rFonts w:ascii="仿宋_GB2312" w:eastAsia="仿宋_GB2312" w:hint="eastAsia"/>
          <w:sz w:val="32"/>
          <w:szCs w:val="32"/>
        </w:rPr>
        <w:t>．熨斗镇中河</w:t>
      </w:r>
      <w:r w:rsidRPr="00184E35">
        <w:rPr>
          <w:rFonts w:ascii="仿宋_GB2312" w:eastAsia="仿宋_GB2312" w:hint="eastAsia"/>
          <w:sz w:val="32"/>
          <w:szCs w:val="32"/>
        </w:rPr>
        <w:t>村2018—2019年度项目建设规划表</w:t>
      </w:r>
    </w:p>
    <w:p w:rsidR="006113D3" w:rsidRPr="00184E35" w:rsidRDefault="006113D3" w:rsidP="006113D3">
      <w:pPr>
        <w:spacing w:line="576" w:lineRule="exact"/>
        <w:ind w:leftChars="304" w:left="2078" w:hangingChars="450" w:hanging="1440"/>
        <w:rPr>
          <w:rFonts w:ascii="仿宋_GB2312" w:eastAsia="仿宋_GB2312" w:hint="eastAsia"/>
          <w:sz w:val="32"/>
          <w:szCs w:val="32"/>
        </w:rPr>
        <w:sectPr w:rsidR="006113D3" w:rsidRPr="00184E35" w:rsidSect="001F05ED">
          <w:footerReference w:type="default" r:id="rId4"/>
          <w:pgSz w:w="11906" w:h="16838" w:code="9"/>
          <w:pgMar w:top="2098" w:right="1361" w:bottom="1985" w:left="1701" w:header="851" w:footer="1588" w:gutter="0"/>
          <w:pgNumType w:fmt="numberInDash"/>
          <w:cols w:space="720"/>
          <w:docGrid w:type="lines" w:linePitch="312"/>
        </w:sectPr>
      </w:pPr>
      <w:r w:rsidRPr="00184E35">
        <w:rPr>
          <w:rFonts w:ascii="仿宋_GB2312" w:eastAsia="仿宋_GB2312" w:hint="eastAsia"/>
          <w:sz w:val="32"/>
          <w:szCs w:val="32"/>
        </w:rPr>
        <w:t xml:space="preserve">      2．</w:t>
      </w:r>
      <w:r w:rsidRPr="001F05ED">
        <w:rPr>
          <w:rFonts w:ascii="仿宋_GB2312" w:eastAsia="仿宋_GB2312" w:hint="eastAsia"/>
          <w:spacing w:val="2"/>
          <w:sz w:val="32"/>
          <w:szCs w:val="32"/>
        </w:rPr>
        <w:t>熨斗镇中河村2018—2019年度脱贫攻坚产业发展规划表</w:t>
      </w:r>
    </w:p>
    <w:p w:rsidR="006113D3" w:rsidRPr="00184E35" w:rsidRDefault="006113D3" w:rsidP="006113D3">
      <w:pPr>
        <w:snapToGrid w:val="0"/>
        <w:rPr>
          <w:rFonts w:ascii="黑体" w:eastAsia="黑体" w:hAnsi="宋体" w:cs="宋体" w:hint="eastAsia"/>
          <w:sz w:val="44"/>
          <w:szCs w:val="44"/>
        </w:rPr>
      </w:pPr>
      <w:r w:rsidRPr="00184E35">
        <w:rPr>
          <w:rFonts w:ascii="黑体" w:eastAsia="黑体" w:hAnsi="宋体" w:cs="宋体" w:hint="eastAsia"/>
          <w:sz w:val="32"/>
          <w:szCs w:val="32"/>
        </w:rPr>
        <w:lastRenderedPageBreak/>
        <w:t>附件1</w:t>
      </w:r>
    </w:p>
    <w:p w:rsidR="006113D3" w:rsidRPr="00184E35" w:rsidRDefault="006113D3" w:rsidP="006113D3">
      <w:pPr>
        <w:snapToGrid w:val="0"/>
        <w:jc w:val="center"/>
        <w:rPr>
          <w:rFonts w:ascii="黑体" w:eastAsia="黑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熨斗镇中河</w:t>
      </w:r>
      <w:r w:rsidRPr="00184E35">
        <w:rPr>
          <w:rFonts w:ascii="方正小标宋简体" w:eastAsia="方正小标宋简体" w:hAnsi="宋体" w:cs="宋体" w:hint="eastAsia"/>
          <w:sz w:val="44"/>
          <w:szCs w:val="44"/>
        </w:rPr>
        <w:t>村2018-2019年度项目建设规划表</w:t>
      </w:r>
    </w:p>
    <w:tbl>
      <w:tblPr>
        <w:tblW w:w="14833" w:type="dxa"/>
        <w:jc w:val="center"/>
        <w:tblLayout w:type="fixed"/>
        <w:tblLook w:val="0000"/>
      </w:tblPr>
      <w:tblGrid>
        <w:gridCol w:w="673"/>
        <w:gridCol w:w="634"/>
        <w:gridCol w:w="810"/>
        <w:gridCol w:w="521"/>
        <w:gridCol w:w="483"/>
        <w:gridCol w:w="369"/>
        <w:gridCol w:w="418"/>
        <w:gridCol w:w="421"/>
        <w:gridCol w:w="445"/>
        <w:gridCol w:w="435"/>
        <w:gridCol w:w="569"/>
        <w:gridCol w:w="430"/>
        <w:gridCol w:w="441"/>
        <w:gridCol w:w="414"/>
        <w:gridCol w:w="446"/>
        <w:gridCol w:w="441"/>
        <w:gridCol w:w="444"/>
        <w:gridCol w:w="508"/>
        <w:gridCol w:w="423"/>
        <w:gridCol w:w="425"/>
        <w:gridCol w:w="432"/>
        <w:gridCol w:w="420"/>
        <w:gridCol w:w="448"/>
        <w:gridCol w:w="481"/>
        <w:gridCol w:w="416"/>
        <w:gridCol w:w="688"/>
        <w:gridCol w:w="421"/>
        <w:gridCol w:w="487"/>
        <w:gridCol w:w="416"/>
        <w:gridCol w:w="462"/>
        <w:gridCol w:w="412"/>
      </w:tblGrid>
      <w:tr w:rsidR="006113D3" w:rsidRPr="00184E35" w:rsidTr="00C34733">
        <w:trPr>
          <w:trHeight w:val="338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实施</w:t>
            </w:r>
            <w:r w:rsidRPr="00184E35">
              <w:rPr>
                <w:rFonts w:ascii="黑体" w:eastAsia="黑体" w:hAnsi="宋体" w:cs="宋体"/>
                <w:bCs/>
                <w:w w:val="90"/>
                <w:sz w:val="24"/>
              </w:rPr>
              <w:br/>
            </w: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年度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资金小计</w:t>
            </w:r>
          </w:p>
        </w:tc>
        <w:tc>
          <w:tcPr>
            <w:tcW w:w="1352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项  目  类  别</w:t>
            </w:r>
          </w:p>
        </w:tc>
      </w:tr>
      <w:tr w:rsidR="006113D3" w:rsidRPr="00184E35" w:rsidTr="00C34733">
        <w:trPr>
          <w:trHeight w:val="342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97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基础设施</w:t>
            </w: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公共服务</w:t>
            </w:r>
          </w:p>
        </w:tc>
      </w:tr>
      <w:tr w:rsidR="006113D3" w:rsidRPr="00184E35" w:rsidTr="00C34733">
        <w:trPr>
          <w:trHeight w:val="35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道路硬化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桥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安全饮水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河堤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灌溉工程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沼气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危房改造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电力设施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通讯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活动室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活动场所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卫生室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体育器材</w:t>
            </w:r>
          </w:p>
        </w:tc>
      </w:tr>
      <w:tr w:rsidR="006113D3" w:rsidRPr="00184E35" w:rsidTr="006113D3">
        <w:trPr>
          <w:trHeight w:val="353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规模  </w:t>
            </w:r>
          </w:p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（座）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（处）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规模（米）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</w:t>
            </w:r>
          </w:p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资金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规模（口）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资金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数量（户）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电网改造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变压器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宽带（村）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电视（户）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移动</w:t>
            </w:r>
          </w:p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基站（座）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（套）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</w:tr>
      <w:tr w:rsidR="006113D3" w:rsidRPr="00184E35" w:rsidTr="006113D3">
        <w:trPr>
          <w:trHeight w:val="679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规模  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规模（台）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6113D3" w:rsidRPr="00184E35" w:rsidRDefault="006113D3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13D3" w:rsidRPr="00184E35" w:rsidRDefault="006113D3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</w:tr>
      <w:tr w:rsidR="006113D3" w:rsidRPr="00184E35" w:rsidTr="006113D3">
        <w:trPr>
          <w:trHeight w:val="167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2018年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932.7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仿宋_GB2312" w:hint="eastAsia"/>
                <w:sz w:val="20"/>
              </w:rPr>
              <w:t>改造村道13公里，硬化产业路2.6公里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仿宋_GB2312" w:hint="eastAsia"/>
                <w:sz w:val="20"/>
              </w:rPr>
              <w:t>850.2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3.5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17.5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改造１处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</w:tr>
      <w:tr w:rsidR="006113D3" w:rsidRPr="00184E35" w:rsidTr="006113D3">
        <w:trPr>
          <w:trHeight w:val="99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2019年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300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40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proofErr w:type="gramStart"/>
            <w:r w:rsidRPr="00184E35">
              <w:rPr>
                <w:rFonts w:ascii="宋体" w:hAnsi="宋体" w:cs="宋体" w:hint="eastAsia"/>
                <w:sz w:val="20"/>
              </w:rPr>
              <w:t>硬化院场</w:t>
            </w:r>
            <w:proofErr w:type="gramEnd"/>
            <w:r w:rsidRPr="00184E35">
              <w:rPr>
                <w:rFonts w:ascii="宋体" w:hAnsi="宋体" w:cs="宋体" w:hint="eastAsia"/>
                <w:sz w:val="20"/>
              </w:rPr>
              <w:t>300㎡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9</w:t>
            </w:r>
          </w:p>
        </w:tc>
      </w:tr>
      <w:tr w:rsidR="006113D3" w:rsidRPr="00184E35" w:rsidTr="006113D3">
        <w:trPr>
          <w:trHeight w:val="182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合计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1037.7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仿宋_GB2312" w:hint="eastAsia"/>
                <w:sz w:val="20"/>
              </w:rPr>
              <w:t>改造村道13公里，新修产业路2.6公里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仿宋_GB2312" w:hint="eastAsia"/>
                <w:sz w:val="20"/>
              </w:rPr>
              <w:t>850.2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300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40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3.5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17.5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改造１处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proofErr w:type="gramStart"/>
            <w:r w:rsidRPr="00184E35">
              <w:rPr>
                <w:rFonts w:ascii="宋体" w:hAnsi="宋体" w:cs="宋体" w:hint="eastAsia"/>
                <w:sz w:val="20"/>
              </w:rPr>
              <w:t>硬化院场</w:t>
            </w:r>
            <w:proofErr w:type="gramEnd"/>
            <w:r w:rsidRPr="00184E35">
              <w:rPr>
                <w:rFonts w:ascii="宋体" w:hAnsi="宋体" w:cs="宋体" w:hint="eastAsia"/>
                <w:sz w:val="20"/>
              </w:rPr>
              <w:t>300㎡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3D3" w:rsidRPr="00184E35" w:rsidRDefault="006113D3" w:rsidP="00C34733">
            <w:pPr>
              <w:jc w:val="center"/>
              <w:textAlignment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宋体" w:hAnsi="宋体" w:cs="宋体" w:hint="eastAsia"/>
                <w:sz w:val="20"/>
              </w:rPr>
              <w:t>9</w:t>
            </w:r>
          </w:p>
        </w:tc>
      </w:tr>
    </w:tbl>
    <w:p w:rsidR="006113D3" w:rsidRDefault="006113D3" w:rsidP="006113D3">
      <w:pPr>
        <w:snapToGrid w:val="0"/>
        <w:rPr>
          <w:rFonts w:ascii="黑体" w:eastAsia="黑体" w:hAnsi="宋体" w:cs="宋体" w:hint="eastAsia"/>
          <w:sz w:val="32"/>
          <w:szCs w:val="32"/>
        </w:rPr>
      </w:pPr>
    </w:p>
    <w:p w:rsidR="006113D3" w:rsidRPr="00184E35" w:rsidRDefault="006113D3" w:rsidP="006113D3">
      <w:pPr>
        <w:snapToGrid w:val="0"/>
        <w:rPr>
          <w:rFonts w:ascii="黑体" w:eastAsia="黑体" w:hAnsi="宋体" w:cs="宋体" w:hint="eastAsia"/>
          <w:sz w:val="44"/>
          <w:szCs w:val="44"/>
        </w:rPr>
      </w:pPr>
      <w:r w:rsidRPr="00184E35"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2</w:t>
      </w:r>
    </w:p>
    <w:p w:rsidR="006113D3" w:rsidRPr="00184E35" w:rsidRDefault="006113D3" w:rsidP="006113D3">
      <w:pPr>
        <w:widowControl/>
        <w:jc w:val="center"/>
        <w:textAlignment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184E35">
        <w:rPr>
          <w:rFonts w:ascii="方正小标宋简体" w:eastAsia="方正小标宋简体" w:hAnsi="宋体" w:cs="宋体" w:hint="eastAsia"/>
          <w:kern w:val="0"/>
          <w:sz w:val="44"/>
          <w:szCs w:val="44"/>
          <w:lang/>
        </w:rPr>
        <w:t>熨斗镇中河村</w:t>
      </w:r>
      <w:r w:rsidRPr="00184E35">
        <w:rPr>
          <w:rFonts w:ascii="方正小标宋简体" w:eastAsia="方正小标宋简体" w:hint="eastAsia"/>
          <w:kern w:val="0"/>
          <w:sz w:val="44"/>
          <w:szCs w:val="44"/>
          <w:lang/>
        </w:rPr>
        <w:t>2018-2019</w:t>
      </w:r>
      <w:r w:rsidRPr="00184E35">
        <w:rPr>
          <w:rFonts w:ascii="方正小标宋简体" w:eastAsia="方正小标宋简体" w:hAnsi="宋体" w:cs="宋体" w:hint="eastAsia"/>
          <w:kern w:val="0"/>
          <w:sz w:val="44"/>
          <w:szCs w:val="44"/>
          <w:lang/>
        </w:rPr>
        <w:t>年度脱贫攻坚产业发展规划表</w:t>
      </w:r>
    </w:p>
    <w:tbl>
      <w:tblPr>
        <w:tblW w:w="147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4"/>
        <w:gridCol w:w="1039"/>
        <w:gridCol w:w="1053"/>
        <w:gridCol w:w="1039"/>
        <w:gridCol w:w="1053"/>
        <w:gridCol w:w="630"/>
        <w:gridCol w:w="1046"/>
        <w:gridCol w:w="587"/>
        <w:gridCol w:w="813"/>
        <w:gridCol w:w="721"/>
        <w:gridCol w:w="898"/>
        <w:gridCol w:w="700"/>
        <w:gridCol w:w="955"/>
        <w:gridCol w:w="1011"/>
        <w:gridCol w:w="792"/>
        <w:gridCol w:w="771"/>
        <w:gridCol w:w="919"/>
      </w:tblGrid>
      <w:tr w:rsidR="006113D3" w:rsidRPr="00184E35" w:rsidTr="00C34733">
        <w:trPr>
          <w:trHeight w:val="600"/>
          <w:jc w:val="center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8"/>
                <w:szCs w:val="28"/>
                <w:lang/>
              </w:rPr>
              <w:t>实施</w:t>
            </w:r>
            <w:r w:rsidRPr="00184E35">
              <w:rPr>
                <w:rFonts w:ascii="黑体" w:eastAsia="黑体" w:hAnsi="黑体" w:cs="宋体"/>
                <w:kern w:val="0"/>
                <w:sz w:val="28"/>
                <w:szCs w:val="28"/>
                <w:lang/>
              </w:rPr>
              <w:br/>
            </w:r>
            <w:r w:rsidRPr="00184E35">
              <w:rPr>
                <w:rFonts w:ascii="黑体" w:eastAsia="黑体" w:hAnsi="黑体" w:cs="宋体" w:hint="eastAsia"/>
                <w:kern w:val="0"/>
                <w:sz w:val="28"/>
                <w:szCs w:val="28"/>
                <w:lang/>
              </w:rPr>
              <w:t>年度</w:t>
            </w:r>
          </w:p>
        </w:tc>
        <w:tc>
          <w:tcPr>
            <w:tcW w:w="5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8"/>
                <w:szCs w:val="28"/>
                <w:lang/>
              </w:rPr>
              <w:t>种植业</w:t>
            </w:r>
          </w:p>
        </w:tc>
        <w:tc>
          <w:tcPr>
            <w:tcW w:w="8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8"/>
                <w:szCs w:val="28"/>
                <w:lang/>
              </w:rPr>
              <w:t>养殖业</w:t>
            </w:r>
          </w:p>
        </w:tc>
      </w:tr>
      <w:tr w:rsidR="006113D3" w:rsidRPr="00184E35" w:rsidTr="00C34733">
        <w:trPr>
          <w:trHeight w:val="960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魔芋（亩）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黄花（亩）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桑园（亩）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蚕（张）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养猪（头）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牛（头）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羊（只）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鸡（只）</w:t>
            </w:r>
          </w:p>
        </w:tc>
      </w:tr>
      <w:tr w:rsidR="006113D3" w:rsidRPr="00184E35" w:rsidTr="00C34733">
        <w:trPr>
          <w:trHeight w:val="1477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</w:t>
            </w:r>
            <w:r w:rsidRPr="00184E35">
              <w:rPr>
                <w:rFonts w:ascii="宋体" w:hAnsi="宋体" w:cs="宋体"/>
                <w:b/>
                <w:kern w:val="0"/>
                <w:sz w:val="24"/>
                <w:lang/>
              </w:rPr>
              <w:br/>
            </w: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种植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</w:t>
            </w:r>
            <w:r w:rsidRPr="00184E35">
              <w:rPr>
                <w:rFonts w:ascii="宋体" w:hAnsi="宋体" w:cs="宋体"/>
                <w:b/>
                <w:kern w:val="0"/>
                <w:sz w:val="24"/>
                <w:lang/>
              </w:rPr>
              <w:br/>
            </w: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种植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</w:t>
            </w:r>
            <w:r w:rsidRPr="00184E35">
              <w:rPr>
                <w:rFonts w:ascii="宋体" w:hAnsi="宋体" w:cs="宋体"/>
                <w:b/>
                <w:kern w:val="0"/>
                <w:sz w:val="24"/>
                <w:lang/>
              </w:rPr>
              <w:br/>
            </w: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桑园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贫困户养蚕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贫困户养猪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贫困户养牛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贫困户养羊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lang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</w:t>
            </w:r>
          </w:p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养鸡</w:t>
            </w:r>
          </w:p>
        </w:tc>
      </w:tr>
      <w:tr w:rsidR="006113D3" w:rsidRPr="00184E35" w:rsidTr="00C34733">
        <w:trPr>
          <w:trHeight w:val="1254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54.5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91.5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45.5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135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387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136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</w:t>
            </w:r>
          </w:p>
        </w:tc>
      </w:tr>
      <w:tr w:rsidR="006113D3" w:rsidRPr="00184E35" w:rsidTr="006113D3">
        <w:trPr>
          <w:trHeight w:val="10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2019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600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</w:tr>
      <w:tr w:rsidR="006113D3" w:rsidRPr="00184E35" w:rsidTr="00C34733">
        <w:trPr>
          <w:trHeight w:val="125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合计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260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124.5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250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191.5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95.5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275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787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286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600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3D3" w:rsidRPr="00184E35" w:rsidRDefault="006113D3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130</w:t>
            </w:r>
          </w:p>
        </w:tc>
      </w:tr>
    </w:tbl>
    <w:p w:rsidR="006113D3" w:rsidRPr="00184E35" w:rsidRDefault="006113D3" w:rsidP="006113D3">
      <w:pPr>
        <w:spacing w:line="20" w:lineRule="exact"/>
        <w:rPr>
          <w:rFonts w:hint="eastAsia"/>
        </w:rPr>
      </w:pPr>
    </w:p>
    <w:p w:rsidR="00330941" w:rsidRDefault="00330941"/>
    <w:sectPr w:rsidR="00330941" w:rsidSect="0023109A">
      <w:footerReference w:type="default" r:id="rId5"/>
      <w:pgSz w:w="16838" w:h="11906" w:orient="landscape" w:code="9"/>
      <w:pgMar w:top="1701" w:right="1418" w:bottom="1701" w:left="1418" w:header="851" w:footer="1418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C5" w:rsidRDefault="006113D3" w:rsidP="005F0976">
    <w:pPr>
      <w:pStyle w:val="a5"/>
      <w:framePr w:wrap="around" w:vAnchor="text" w:hAnchor="margin" w:xAlign="outside" w:y="1"/>
      <w:ind w:leftChars="150" w:left="315" w:rightChars="150" w:right="315"/>
      <w:rPr>
        <w:rStyle w:val="a4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4"/>
        <w:rFonts w:ascii="宋体" w:hAnsi="宋体"/>
        <w:noProof/>
        <w:sz w:val="24"/>
        <w:szCs w:val="24"/>
      </w:rPr>
      <w:t>- 5 -</w:t>
    </w:r>
    <w:r>
      <w:rPr>
        <w:rFonts w:ascii="宋体" w:hAnsi="宋体"/>
        <w:sz w:val="24"/>
        <w:szCs w:val="24"/>
      </w:rPr>
      <w:fldChar w:fldCharType="end"/>
    </w:r>
  </w:p>
  <w:p w:rsidR="00B874C5" w:rsidRDefault="006113D3" w:rsidP="00C5691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C5" w:rsidRDefault="006113D3" w:rsidP="0023109A">
    <w:pPr>
      <w:pStyle w:val="a5"/>
      <w:framePr w:wrap="around" w:vAnchor="text" w:hAnchor="margin" w:xAlign="right" w:y="1"/>
      <w:ind w:leftChars="150" w:left="315" w:rightChars="150" w:right="315"/>
      <w:rPr>
        <w:rStyle w:val="a4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4"/>
        <w:rFonts w:ascii="宋体" w:hAnsi="宋体"/>
        <w:noProof/>
        <w:sz w:val="24"/>
        <w:szCs w:val="24"/>
      </w:rPr>
      <w:t>- 7 -</w:t>
    </w:r>
    <w:r>
      <w:rPr>
        <w:rFonts w:ascii="宋体" w:hAnsi="宋体"/>
        <w:sz w:val="24"/>
        <w:szCs w:val="24"/>
      </w:rPr>
      <w:fldChar w:fldCharType="end"/>
    </w:r>
  </w:p>
  <w:p w:rsidR="00B874C5" w:rsidRDefault="006113D3" w:rsidP="00C56919">
    <w:pPr>
      <w:pStyle w:val="a5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3D3"/>
    <w:rsid w:val="000251B4"/>
    <w:rsid w:val="001C1656"/>
    <w:rsid w:val="00330941"/>
    <w:rsid w:val="003A520D"/>
    <w:rsid w:val="003D0322"/>
    <w:rsid w:val="00507429"/>
    <w:rsid w:val="006113D3"/>
    <w:rsid w:val="00B54040"/>
    <w:rsid w:val="00CA1347"/>
    <w:rsid w:val="00DC7C32"/>
    <w:rsid w:val="00F116CE"/>
    <w:rsid w:val="00F17CF5"/>
    <w:rsid w:val="00F95E94"/>
    <w:rsid w:val="00FD4207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4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page number"/>
    <w:basedOn w:val="a0"/>
    <w:rsid w:val="006113D3"/>
  </w:style>
  <w:style w:type="paragraph" w:styleId="a5">
    <w:name w:val="footer"/>
    <w:basedOn w:val="a"/>
    <w:link w:val="Char"/>
    <w:rsid w:val="0061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113D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611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530</Words>
  <Characters>3024</Characters>
  <Application>Microsoft Office Word</Application>
  <DocSecurity>0</DocSecurity>
  <Lines>25</Lines>
  <Paragraphs>7</Paragraphs>
  <ScaleCrop>false</ScaleCrop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2019-11-21T10:27:00Z</dcterms:created>
  <dcterms:modified xsi:type="dcterms:W3CDTF">2019-11-21T10:28:00Z</dcterms:modified>
</cp:coreProperties>
</file>