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26" w:rsidRPr="00184E35" w:rsidRDefault="00F32026" w:rsidP="00F32026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184E35">
        <w:rPr>
          <w:rFonts w:ascii="方正小标宋简体" w:eastAsia="方正小标宋简体" w:hAnsi="方正小标宋简体" w:cs="方正小标宋简体" w:hint="eastAsia"/>
          <w:bCs/>
          <w:spacing w:val="-17"/>
          <w:sz w:val="44"/>
          <w:szCs w:val="44"/>
        </w:rPr>
        <w:t>石泉县熨斗镇板长村脱贫攻坚工作实施方</w:t>
      </w:r>
      <w:r w:rsidRPr="00184E3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案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32026" w:rsidRPr="00184E35" w:rsidRDefault="00F32026" w:rsidP="00F32026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为深入贯彻落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平总书记在深度贫困地区脱贫攻坚座谈会上的讲话精神和省、市关于加快推进深度贫困地区脱贫攻坚工作实施意见，切实解决整村脱贫攻坚深层次矛盾和问题，全面实现脱贫攻坚目标任务，结合村情实际，制定本方案。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板长村地处巴山北麓中高山地带，海拔500m～1530m之间，喀斯特地貌覆盖全村，地形呈“两山夹一沟”状。全村总面积11.02平方公里，辖 6个村民小组、282户844人、党员30人。现有在册贫困人口117户359人，贫困发生率42.54%，其中一般贫困户84户302人，低保户19户43人，五保户14户14人；现有劳动力489人，60岁以上210人；现有耕地面积2038亩，均为旱地，主要为红棕土壤，土层薄脊，受地形条件制约，水土流失严重。全村自然条件差，经济基础薄弱，经济收入以种养植、劳务经济为主，2016年全村人均纯收入3870元，贫困户人均纯收入2850元。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二、总体要求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贯彻落实省、市关于加快推进深度贫困地区脱贫攻坚工作的总体要求，按照中央精准扶贫、精准脱贫基本方略，坚持因地制宜，因人施策，突出问题导向，保持工作定力，增强必胜信心，扎实推进各项工作，在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难处发力，集中力量、集中投入、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集中攻坚，确保到2020年，全村水、电、路、网、讯等基础设施和“两室一场”全面达标，基本公共服务接近全省平均水平，贫困人口人均纯收入增长幅度高于全省平均水平，困难群体“两不愁、三保障”目标全面实现，坚决打赢脱贫攻坚战，确保所有贫困群众与全国人民一道同步够格进入全面小康社会。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三、重点任务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（一）加快基础设施改善。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围绕村民出行和产业发展，加快修复完善村级道路和产业路8.7公里，新建便民桥3座；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实施安全饮水工程2处，水窖100口，确保2019年安全饮水全面达标。实施新一轮农村电网改造2.5公里，实现全村具有动力电接入条件。新建沼气10口；新建村委会活动室1个、村级卫生室1个，硬化公共活动场所200</w:t>
      </w:r>
      <w:r w:rsidRPr="00184E35">
        <w:rPr>
          <w:rFonts w:ascii="宋体" w:hAnsi="宋体" w:cs="宋体" w:hint="eastAsia"/>
          <w:sz w:val="32"/>
          <w:szCs w:val="32"/>
        </w:rPr>
        <w:t>㎡；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新增体育健身器材3套。加大网络覆盖建设投入力度，</w:t>
      </w:r>
      <w:r w:rsidRPr="00184E35">
        <w:rPr>
          <w:rFonts w:eastAsia="仿宋_GB2312" w:hint="eastAsia"/>
          <w:sz w:val="32"/>
          <w:szCs w:val="32"/>
        </w:rPr>
        <w:t>新建通讯基站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座，架设宽带通讯线路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条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，确保2019 年实现光纤全覆盖。加大电商扶贫力度，拓宽农副产品销售渠道。认真落实基础项目长效管护责任，对因灾受损设施，及时组织修复。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（二）促进“三业”增收。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将发展产业作为长期稳定脱贫的治本之策。按照“短期保脱贫、中期保稳定、长期促致富”要求，加大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产业奖补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扶持力度，大力发展蚕桑、烤烟、辣椒、高山洋芋、魔芋、畜牧等特色种养，因地制宜发展拐枣、核桃、茶园、李子、竹笋、猕猴桃等山林经济，通过签订订单农业，保证贫困群众稳定增收；积极发展电子商务和光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伏扶贫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项目，拓宽贫困群众增收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渠道。加大专业技能培训和创业扶持力度，完成实用技术培训800人次，转移就业81人，特设公益性岗位安置就业3人，技能培训60余人，鼓励能人创业，促进贫困劳动力转移就业，到2019年，全村每户至少有1项中、长期致富产业、主要劳动力至少掌握1－2门实用技术和就业技能。积极推进“三变”改革工作，逐步实现集体资产保值增效和贫困群众入股增收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（三）保障住房安全。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加快实施易地扶贫搬迁、分散安置和危房改造项目，重点解决低保户、分散供养特困人员、贫困残疾人家庭的基本住房安全问题，做到应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搬尽搬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、应改尽改，实现安全住房全覆盖。加快安置点和危房改造建设进度，确保2018年底前所有搬迁户和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危改户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全部达到入住条件。同步开展安置点基础设施与公共服务配套、产业配套、就业安置、宅基地腾退复垦等工作，切实解决好搬迁群众发展问题，确保深度贫困户搬得出、稳得住、能致富。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（四）提升医疗服务水平。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 w:rsidRPr="00184E35">
        <w:rPr>
          <w:rFonts w:ascii="仿宋_GB2312" w:eastAsia="仿宋_GB2312" w:hint="eastAsia"/>
          <w:sz w:val="32"/>
          <w:szCs w:val="32"/>
        </w:rPr>
        <w:t>医疗救助、临时救助、慈善救助帮扶制度，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引导贫困群众全部参加新农合和养老保险；实施“天使扶贫”和责任医师团队签约服务行动，提升健康扶贫水平。加快村卫生室硬件建设，配齐医疗设备、常用药品和乡村医生，提升村医救治能力，解决村民“看病难、看病贵”以及“因病致贫”等问题。加强</w:t>
      </w:r>
      <w:r w:rsidRPr="00184E35">
        <w:rPr>
          <w:rFonts w:eastAsia="仿宋_GB2312" w:hint="eastAsia"/>
          <w:sz w:val="32"/>
          <w:szCs w:val="32"/>
        </w:rPr>
        <w:t>健康知识普及、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农村环境卫生整治、全民健身和爱国卫生运动，提升村民健康水平。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（五）斩断贫困代际传递。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全面落实教育扶贫政策，健全贫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困学生资助体系，加大贫困学生资助力度，落实贫困家庭学生从学前一年到大学全程资助政策，足额兑付各类教育扶贫补助资金；进一步完善教师与贫困学生结对帮扶机制，提高帮扶实效，不让一个贫困学生因贫困而辍学，全面解决贫困家庭“因学致贫”问题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（六）</w:t>
      </w: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关注特殊群体。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认真贯彻中、省兜底脱贫政策，争取社会救助资源，足额落实社保兜底补助资金；健全特困人员救助供养制度，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做好低保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制度与扶贫政策有效衔接，切实做到应保尽保、应救尽救、应养尽养，确保特殊困难群体得到基本保障和稳定脱贫。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（七）</w:t>
      </w:r>
      <w:r w:rsidRPr="00184E35">
        <w:rPr>
          <w:rFonts w:ascii="楷体" w:eastAsia="楷体" w:hAnsi="楷体" w:cs="楷体" w:hint="eastAsia"/>
          <w:b/>
          <w:sz w:val="32"/>
          <w:szCs w:val="32"/>
        </w:rPr>
        <w:t>激发内生动力。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坚持扶贫同扶智、扶志相结合，积极推进新民风建设，加大自力更生脱贫致富先进典型宣传力度，注重激发贫困群众脱贫致富的内生动力，提高贫困群众的自我发展能力。采用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产业奖补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、交通补助、以工代赈等机制，教育和引导贫困群众通过自己的辛勤劳动脱贫致富。</w:t>
      </w:r>
    </w:p>
    <w:p w:rsidR="00F32026" w:rsidRPr="00184E35" w:rsidRDefault="00F32026" w:rsidP="00F32026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宋体" w:cs="宋体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（一）完善帮扶机制。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建立完善县级领导包抓、帮扶单位包联、镇党委、政府主抓、驻村工作队组织实施的帮扶机制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明确由县政协主席负责包抓，县水利局（防汛办）负责包联，精准派驻过硬驻村工作队员，选优配强村“两委”班子，整合教师队伍、医师团队、企业社团以及高等院校等各方帮扶力量，深度整合“四支队伍”，形成工作合力，协调一致开展帮扶工作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，提升帮扶实</w:t>
      </w:r>
      <w:r w:rsidRPr="00184E35">
        <w:rPr>
          <w:rFonts w:ascii="仿宋_GB2312" w:eastAsia="仿宋_GB2312" w:hAnsi="宋体" w:cs="宋体" w:hint="eastAsia"/>
          <w:sz w:val="32"/>
          <w:szCs w:val="32"/>
        </w:rPr>
        <w:lastRenderedPageBreak/>
        <w:t>效。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（二）强化资金保障。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加大专项资金争取力度，确保金融政策扶贫贷款资金优先投放，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帮扶单位结余的公用经费优先用于帮扶工作。同时，积极争取、主动对接中、省、市各帮扶单位，加大帮扶资金投入，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保障项目资金支持，</w:t>
      </w:r>
      <w:proofErr w:type="gramStart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确保攻坚</w:t>
      </w:r>
      <w:proofErr w:type="gramEnd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期内涉农整合资金投入不低于800万元以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上，着力解决资金投入不足问题，全面完成脱贫攻坚目标任务。</w:t>
      </w:r>
    </w:p>
    <w:p w:rsidR="00F32026" w:rsidRPr="00184E35" w:rsidRDefault="00F32026" w:rsidP="00F32026">
      <w:pPr>
        <w:spacing w:line="576" w:lineRule="exact"/>
        <w:ind w:firstLineChars="200" w:firstLine="643"/>
        <w:rPr>
          <w:rFonts w:ascii="仿宋_GB2312" w:eastAsia="仿宋_GB2312" w:hAnsi="宋体" w:cs="宋体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（三）严格刚性问责。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充分发挥督查巡查制度的利剑作用，严格按照“三个必须”（即督查必须户户到，每月逐村进行通报；考核必须户户过，坚持从严从实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；问</w:t>
      </w:r>
      <w:proofErr w:type="gramStart"/>
      <w:r w:rsidRPr="00184E35">
        <w:rPr>
          <w:rFonts w:ascii="仿宋_GB2312" w:eastAsia="仿宋_GB2312" w:hAnsi="宋体" w:cs="宋体" w:hint="eastAsia"/>
          <w:sz w:val="32"/>
          <w:szCs w:val="32"/>
        </w:rPr>
        <w:t>责必须</w:t>
      </w:r>
      <w:proofErr w:type="gramEnd"/>
      <w:r w:rsidRPr="00184E35">
        <w:rPr>
          <w:rFonts w:ascii="仿宋_GB2312" w:eastAsia="仿宋_GB2312" w:hAnsi="宋体" w:cs="宋体" w:hint="eastAsia"/>
          <w:sz w:val="32"/>
          <w:szCs w:val="32"/>
        </w:rPr>
        <w:t>刚性过硬，不讲情面）的要求，强化深度脱贫村工作落实的督促检查，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对工作不严不实、弄虚作假或程序不明显的，一律刚性问责，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确保各项政策和措施不折不扣落实。</w:t>
      </w:r>
    </w:p>
    <w:p w:rsidR="00F32026" w:rsidRPr="00184E35" w:rsidRDefault="00F32026" w:rsidP="00F32026">
      <w:pPr>
        <w:spacing w:line="576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F32026" w:rsidRPr="00184E35" w:rsidRDefault="00F32026" w:rsidP="00F32026">
      <w:pPr>
        <w:spacing w:line="576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84E35">
        <w:rPr>
          <w:rFonts w:ascii="仿宋_GB2312" w:eastAsia="仿宋_GB2312" w:hAnsi="宋体" w:cs="宋体" w:hint="eastAsia"/>
          <w:sz w:val="32"/>
          <w:szCs w:val="32"/>
        </w:rPr>
        <w:t>附件：1．熨斗镇板长村2018—2019年度项目建设规划表</w:t>
      </w:r>
    </w:p>
    <w:p w:rsidR="00F32026" w:rsidRPr="00184E35" w:rsidRDefault="00F32026" w:rsidP="00F32026">
      <w:pPr>
        <w:spacing w:line="576" w:lineRule="exact"/>
        <w:ind w:leftChars="297" w:left="2064" w:hangingChars="450" w:hanging="1440"/>
        <w:rPr>
          <w:rFonts w:ascii="仿宋_GB2312" w:eastAsia="仿宋_GB2312" w:hAnsi="宋体" w:cs="宋体" w:hint="eastAsia"/>
          <w:sz w:val="32"/>
          <w:szCs w:val="32"/>
        </w:rPr>
      </w:pPr>
      <w:r w:rsidRPr="00184E35">
        <w:rPr>
          <w:rFonts w:ascii="仿宋_GB2312" w:eastAsia="仿宋_GB2312" w:hAnsi="宋体" w:cs="宋体" w:hint="eastAsia"/>
          <w:sz w:val="32"/>
          <w:szCs w:val="32"/>
        </w:rPr>
        <w:t xml:space="preserve">      2．</w:t>
      </w:r>
      <w:r w:rsidRPr="00FB73DD">
        <w:rPr>
          <w:rFonts w:ascii="仿宋_GB2312" w:eastAsia="仿宋_GB2312" w:hAnsi="宋体" w:cs="宋体" w:hint="eastAsia"/>
          <w:spacing w:val="2"/>
          <w:sz w:val="32"/>
          <w:szCs w:val="32"/>
        </w:rPr>
        <w:t>熨斗镇板长村2018—2019年度脱贫攻坚产业发展规划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表</w:t>
      </w:r>
    </w:p>
    <w:p w:rsidR="00F32026" w:rsidRPr="00184E35" w:rsidRDefault="00F32026" w:rsidP="00F32026">
      <w:pPr>
        <w:spacing w:line="52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F32026" w:rsidRPr="00184E35" w:rsidRDefault="00F32026" w:rsidP="00F32026">
      <w:pPr>
        <w:spacing w:line="52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  <w:sectPr w:rsidR="00F32026" w:rsidRPr="00184E35" w:rsidSect="00FB73DD">
          <w:footerReference w:type="default" r:id="rId4"/>
          <w:pgSz w:w="11906" w:h="16838" w:code="9"/>
          <w:pgMar w:top="2098" w:right="1361" w:bottom="1985" w:left="1701" w:header="851" w:footer="1588" w:gutter="0"/>
          <w:pgNumType w:fmt="numberInDash"/>
          <w:cols w:space="720"/>
          <w:docGrid w:type="lines" w:linePitch="312"/>
        </w:sectPr>
      </w:pPr>
    </w:p>
    <w:p w:rsidR="00F32026" w:rsidRPr="00184E35" w:rsidRDefault="00F32026" w:rsidP="00F32026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F32026" w:rsidRPr="00184E35" w:rsidRDefault="00F32026" w:rsidP="00F32026">
      <w:pPr>
        <w:snapToGrid w:val="0"/>
        <w:jc w:val="center"/>
        <w:rPr>
          <w:rFonts w:ascii="黑体" w:eastAsia="黑体" w:hAnsi="宋体" w:cs="宋体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熨斗镇板长村2018-2019年度项目建设规划表</w:t>
      </w:r>
    </w:p>
    <w:tbl>
      <w:tblPr>
        <w:tblW w:w="15346" w:type="dxa"/>
        <w:jc w:val="center"/>
        <w:tblLayout w:type="fixed"/>
        <w:tblLook w:val="0000"/>
      </w:tblPr>
      <w:tblGrid>
        <w:gridCol w:w="680"/>
        <w:gridCol w:w="582"/>
        <w:gridCol w:w="786"/>
        <w:gridCol w:w="592"/>
        <w:gridCol w:w="668"/>
        <w:gridCol w:w="373"/>
        <w:gridCol w:w="485"/>
        <w:gridCol w:w="426"/>
        <w:gridCol w:w="515"/>
        <w:gridCol w:w="442"/>
        <w:gridCol w:w="653"/>
        <w:gridCol w:w="435"/>
        <w:gridCol w:w="457"/>
        <w:gridCol w:w="419"/>
        <w:gridCol w:w="432"/>
        <w:gridCol w:w="447"/>
        <w:gridCol w:w="450"/>
        <w:gridCol w:w="515"/>
        <w:gridCol w:w="450"/>
        <w:gridCol w:w="430"/>
        <w:gridCol w:w="451"/>
        <w:gridCol w:w="434"/>
        <w:gridCol w:w="504"/>
        <w:gridCol w:w="453"/>
        <w:gridCol w:w="421"/>
        <w:gridCol w:w="696"/>
        <w:gridCol w:w="427"/>
        <w:gridCol w:w="454"/>
        <w:gridCol w:w="421"/>
        <w:gridCol w:w="427"/>
        <w:gridCol w:w="421"/>
      </w:tblGrid>
      <w:tr w:rsidR="00F32026" w:rsidRPr="00184E35" w:rsidTr="00C34733">
        <w:trPr>
          <w:trHeight w:val="64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实施</w:t>
            </w:r>
            <w:r w:rsidRPr="00184E35">
              <w:rPr>
                <w:rFonts w:ascii="黑体" w:eastAsia="黑体" w:hAnsi="宋体" w:cs="宋体"/>
                <w:bCs/>
                <w:w w:val="90"/>
                <w:sz w:val="24"/>
              </w:rPr>
              <w:br/>
            </w: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年度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资金小计</w:t>
            </w:r>
          </w:p>
        </w:tc>
        <w:tc>
          <w:tcPr>
            <w:tcW w:w="1408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项  目  类  别</w:t>
            </w:r>
          </w:p>
        </w:tc>
      </w:tr>
      <w:tr w:rsidR="00F32026" w:rsidRPr="00184E35" w:rsidTr="00C34733">
        <w:trPr>
          <w:trHeight w:val="64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03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基础设施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公共服务</w:t>
            </w:r>
          </w:p>
        </w:tc>
      </w:tr>
      <w:tr w:rsidR="00F32026" w:rsidRPr="00184E35" w:rsidTr="00C34733">
        <w:trPr>
          <w:trHeight w:val="64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道路硬化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桥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安全饮水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河堤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灌溉工程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沼气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危房改造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电力设施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通讯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活动室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活动场所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卫生室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体育器材</w:t>
            </w:r>
          </w:p>
        </w:tc>
      </w:tr>
      <w:tr w:rsidR="00F32026" w:rsidRPr="00184E35" w:rsidTr="00C34733">
        <w:trPr>
          <w:trHeight w:val="64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（座）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（处）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规模（米）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规模（口）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数量（户）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电网改造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变压器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宽带（村）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电视（户）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移动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基站（座）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（套）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</w:tr>
      <w:tr w:rsidR="00F32026" w:rsidRPr="00184E35" w:rsidTr="00C34733">
        <w:trPr>
          <w:trHeight w:val="9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规模（台）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F32026" w:rsidRPr="00184E35" w:rsidRDefault="00F32026" w:rsidP="00C34733">
            <w:pPr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</w:tr>
      <w:tr w:rsidR="00F32026" w:rsidRPr="00184E35" w:rsidTr="00C34733">
        <w:trPr>
          <w:trHeight w:val="12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2018年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820.7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硬化产业路6.5公里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253.5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便民桥3座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安全饮水工程2处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155.79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1000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水窖50口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2.5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12.5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新建1个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硬化200</w:t>
            </w:r>
            <w:r w:rsidRPr="00184E35">
              <w:rPr>
                <w:rFonts w:ascii="仿宋_GB2312" w:hAnsi="宋体" w:cs="宋体" w:hint="eastAsia"/>
                <w:w w:val="90"/>
                <w:sz w:val="20"/>
              </w:rPr>
              <w:t>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  <w:tr w:rsidR="00F32026" w:rsidRPr="00184E35" w:rsidTr="00F32026">
        <w:trPr>
          <w:trHeight w:val="9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2019年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251.4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硬化产业路2.2公里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59.4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500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水窖50口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</w:tr>
      <w:tr w:rsidR="00F32026" w:rsidRPr="00184E35" w:rsidTr="00C34733">
        <w:trPr>
          <w:trHeight w:val="12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合计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1072.1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新建产业路8.7公里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312.9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便民桥3座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安全饮水工程2处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155.79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1500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水窖100口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2.5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12.5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新建1个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硬化200</w:t>
            </w:r>
            <w:r w:rsidRPr="00184E35">
              <w:rPr>
                <w:rFonts w:ascii="仿宋_GB2312" w:hAnsi="宋体" w:cs="宋体" w:hint="eastAsia"/>
                <w:w w:val="90"/>
                <w:sz w:val="20"/>
              </w:rPr>
              <w:t>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026" w:rsidRPr="00184E35" w:rsidRDefault="00F32026" w:rsidP="00C34733">
            <w:pPr>
              <w:spacing w:line="220" w:lineRule="exact"/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</w:tbl>
    <w:p w:rsidR="00F32026" w:rsidRPr="00184E35" w:rsidRDefault="00F32026" w:rsidP="00F32026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F32026" w:rsidRPr="00184E35" w:rsidRDefault="00F32026" w:rsidP="00F32026">
      <w:pPr>
        <w:widowControl/>
        <w:jc w:val="center"/>
        <w:textAlignment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184E35">
        <w:rPr>
          <w:rFonts w:ascii="方正小标宋简体" w:eastAsia="方正小标宋简体" w:hAnsi="宋体" w:cs="宋体" w:hint="eastAsia"/>
          <w:kern w:val="0"/>
          <w:sz w:val="40"/>
          <w:szCs w:val="40"/>
          <w:lang/>
        </w:rPr>
        <w:t>熨斗镇板长村</w:t>
      </w:r>
      <w:r w:rsidRPr="00184E35">
        <w:rPr>
          <w:rFonts w:ascii="方正小标宋简体" w:eastAsia="方正小标宋简体" w:hint="eastAsia"/>
          <w:kern w:val="0"/>
          <w:sz w:val="40"/>
          <w:szCs w:val="40"/>
          <w:lang/>
        </w:rPr>
        <w:t>2018-2019</w:t>
      </w:r>
      <w:r w:rsidRPr="00184E35">
        <w:rPr>
          <w:rFonts w:ascii="方正小标宋简体" w:eastAsia="方正小标宋简体" w:hAnsi="宋体" w:cs="宋体" w:hint="eastAsia"/>
          <w:kern w:val="0"/>
          <w:sz w:val="40"/>
          <w:szCs w:val="40"/>
          <w:lang/>
        </w:rPr>
        <w:t>年度脱贫攻坚产业发展规划表</w:t>
      </w:r>
    </w:p>
    <w:tbl>
      <w:tblPr>
        <w:tblW w:w="144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1"/>
        <w:gridCol w:w="480"/>
        <w:gridCol w:w="477"/>
        <w:gridCol w:w="453"/>
        <w:gridCol w:w="466"/>
        <w:gridCol w:w="639"/>
        <w:gridCol w:w="623"/>
        <w:gridCol w:w="481"/>
        <w:gridCol w:w="481"/>
        <w:gridCol w:w="613"/>
        <w:gridCol w:w="678"/>
        <w:gridCol w:w="464"/>
        <w:gridCol w:w="565"/>
        <w:gridCol w:w="468"/>
        <w:gridCol w:w="612"/>
        <w:gridCol w:w="986"/>
        <w:gridCol w:w="986"/>
        <w:gridCol w:w="468"/>
        <w:gridCol w:w="561"/>
        <w:gridCol w:w="506"/>
        <w:gridCol w:w="597"/>
        <w:gridCol w:w="442"/>
        <w:gridCol w:w="584"/>
        <w:gridCol w:w="519"/>
        <w:gridCol w:w="558"/>
      </w:tblGrid>
      <w:tr w:rsidR="00F32026" w:rsidRPr="00184E35" w:rsidTr="00C34733">
        <w:trPr>
          <w:trHeight w:val="600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实施年度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种植业</w:t>
            </w:r>
          </w:p>
        </w:tc>
        <w:tc>
          <w:tcPr>
            <w:tcW w:w="4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养殖业</w:t>
            </w:r>
          </w:p>
        </w:tc>
        <w:tc>
          <w:tcPr>
            <w:tcW w:w="8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特色产业</w:t>
            </w:r>
          </w:p>
        </w:tc>
      </w:tr>
      <w:tr w:rsidR="00F32026" w:rsidRPr="00184E35" w:rsidTr="00C34733">
        <w:trPr>
          <w:trHeight w:val="960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辣椒（亩）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蚕（张）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养猪（头）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牛（头）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鸡（只）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桑园（亩）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核桃（亩）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茶叶（亩）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猕猴桃（亩）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中药材（亩）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养蜂（箱）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拐枣（亩）</w:t>
            </w:r>
          </w:p>
        </w:tc>
      </w:tr>
      <w:tr w:rsidR="00F32026" w:rsidRPr="00184E35" w:rsidTr="00C34733">
        <w:trPr>
          <w:trHeight w:val="1811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 困户 种植 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贫困户养蚕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 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贫困户养猪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贫困户养牛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 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贫困户养鸡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贫困户种植面积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贫困户种植面积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 困 户 种 植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 困 户 种 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 困 户 种 植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 困 户 养 </w:t>
            </w:r>
            <w:proofErr w:type="gramStart"/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殖</w:t>
            </w:r>
            <w:proofErr w:type="gram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 困 户 种 植</w:t>
            </w:r>
          </w:p>
        </w:tc>
      </w:tr>
      <w:tr w:rsidR="00F32026" w:rsidRPr="00184E35" w:rsidTr="00C34733">
        <w:trPr>
          <w:trHeight w:val="126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2600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237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1670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163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</w:tr>
      <w:tr w:rsidR="00F32026" w:rsidRPr="00184E35" w:rsidTr="00F32026">
        <w:trPr>
          <w:trHeight w:val="99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</w:tr>
      <w:tr w:rsidR="00F32026" w:rsidRPr="00184E35" w:rsidTr="00F32026">
        <w:trPr>
          <w:trHeight w:val="110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合计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5600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737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3670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260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350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363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375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26" w:rsidRPr="00184E35" w:rsidRDefault="00F32026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170</w:t>
            </w:r>
          </w:p>
        </w:tc>
      </w:tr>
    </w:tbl>
    <w:p w:rsidR="00330941" w:rsidRDefault="00330941"/>
    <w:sectPr w:rsidR="00330941" w:rsidSect="00F320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F32026" w:rsidP="00FB73DD">
    <w:pPr>
      <w:pStyle w:val="a5"/>
      <w:framePr w:wrap="around" w:vAnchor="text" w:hAnchor="margin" w:xAlign="outside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>PAG</w:instrText>
    </w:r>
    <w:r>
      <w:rPr>
        <w:rStyle w:val="a4"/>
        <w:rFonts w:ascii="宋体" w:hAnsi="宋体"/>
        <w:sz w:val="24"/>
        <w:szCs w:val="24"/>
      </w:rPr>
      <w:instrText xml:space="preserve">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7</w:t>
    </w:r>
    <w:r>
      <w:rPr>
        <w:rFonts w:ascii="宋体" w:hAnsi="宋体"/>
        <w:sz w:val="24"/>
        <w:szCs w:val="24"/>
      </w:rPr>
      <w:fldChar w:fldCharType="end"/>
    </w:r>
  </w:p>
  <w:p w:rsidR="00B874C5" w:rsidRDefault="00F32026" w:rsidP="00C56919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026"/>
    <w:rsid w:val="000251B4"/>
    <w:rsid w:val="001C1656"/>
    <w:rsid w:val="00330941"/>
    <w:rsid w:val="003A520D"/>
    <w:rsid w:val="003D0322"/>
    <w:rsid w:val="00507429"/>
    <w:rsid w:val="00B54040"/>
    <w:rsid w:val="00CA1347"/>
    <w:rsid w:val="00DC7C32"/>
    <w:rsid w:val="00F116CE"/>
    <w:rsid w:val="00F17CF5"/>
    <w:rsid w:val="00F32026"/>
    <w:rsid w:val="00F95E94"/>
    <w:rsid w:val="00FD4207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F32026"/>
  </w:style>
  <w:style w:type="paragraph" w:styleId="a5">
    <w:name w:val="footer"/>
    <w:basedOn w:val="a"/>
    <w:link w:val="Char"/>
    <w:rsid w:val="00F3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32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2019-11-21T10:24:00Z</dcterms:created>
  <dcterms:modified xsi:type="dcterms:W3CDTF">2019-11-21T10:25:00Z</dcterms:modified>
</cp:coreProperties>
</file>