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4"/>
        <w:ind w:left="698"/>
      </w:pPr>
      <w:r>
        <w:rPr>
          <w:spacing w:val="-27"/>
        </w:rPr>
        <w:t>附件</w:t>
      </w:r>
      <w:r>
        <w:t>1</w:t>
      </w:r>
    </w:p>
    <w:p>
      <w:pPr>
        <w:pStyle w:val="3"/>
        <w:spacing w:before="2"/>
        <w:rPr>
          <w:sz w:val="42"/>
        </w:rPr>
      </w:pPr>
      <w:r>
        <w:br w:type="column"/>
      </w:r>
    </w:p>
    <w:p>
      <w:pPr>
        <w:spacing w:before="1"/>
        <w:ind w:left="698"/>
        <w:rPr>
          <w:rFonts w:hint="eastAsia" w:ascii="方正小标宋简体" w:hAnsi="方正小标宋简体" w:eastAsia="方正小标宋简体"/>
          <w:sz w:val="40"/>
        </w:rPr>
      </w:pPr>
      <w:r>
        <w:rPr>
          <w:rFonts w:hint="eastAsia" w:ascii="方正小标宋简体" w:hAnsi="方正小标宋简体" w:eastAsia="方正小标宋简体"/>
          <w:sz w:val="40"/>
        </w:rPr>
        <w:t>石泉县农村人居环境整治“八清一改一绿化”工作任务清单</w:t>
      </w:r>
    </w:p>
    <w:p>
      <w:pPr>
        <w:rPr>
          <w:rFonts w:hint="eastAsia" w:ascii="方正小标宋简体" w:hAnsi="方正小标宋简体" w:eastAsia="方正小标宋简体"/>
          <w:sz w:val="40"/>
        </w:rPr>
        <w:sectPr>
          <w:pgSz w:w="16840" w:h="11900" w:orient="landscape"/>
          <w:pgMar w:top="1600" w:right="720" w:bottom="280" w:left="720" w:header="720" w:footer="720" w:gutter="0"/>
          <w:cols w:equalWidth="0" w:num="2">
            <w:col w:w="1621" w:space="179"/>
            <w:col w:w="13600"/>
          </w:cols>
        </w:sectPr>
      </w:pPr>
    </w:p>
    <w:tbl>
      <w:tblPr>
        <w:tblStyle w:val="4"/>
        <w:tblW w:w="15162"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6"/>
        <w:gridCol w:w="891"/>
        <w:gridCol w:w="1419"/>
        <w:gridCol w:w="9472"/>
        <w:gridCol w:w="2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646" w:type="dxa"/>
            <w:vAlign w:val="top"/>
          </w:tcPr>
          <w:p>
            <w:pPr>
              <w:pStyle w:val="6"/>
              <w:keepNext w:val="0"/>
              <w:keepLines w:val="0"/>
              <w:pageBreakBefore w:val="0"/>
              <w:widowControl w:val="0"/>
              <w:kinsoku/>
              <w:wordWrap/>
              <w:overflowPunct/>
              <w:topLinePunct w:val="0"/>
              <w:autoSpaceDE w:val="0"/>
              <w:autoSpaceDN w:val="0"/>
              <w:bidi w:val="0"/>
              <w:adjustRightInd/>
              <w:snapToGrid/>
              <w:spacing w:before="117" w:line="560" w:lineRule="exact"/>
              <w:ind w:left="4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310" w:type="dxa"/>
            <w:gridSpan w:val="2"/>
            <w:vAlign w:val="top"/>
          </w:tcPr>
          <w:p>
            <w:pPr>
              <w:pStyle w:val="6"/>
              <w:keepNext w:val="0"/>
              <w:keepLines w:val="0"/>
              <w:pageBreakBefore w:val="0"/>
              <w:widowControl w:val="0"/>
              <w:kinsoku/>
              <w:wordWrap/>
              <w:overflowPunct/>
              <w:topLinePunct w:val="0"/>
              <w:autoSpaceDE w:val="0"/>
              <w:autoSpaceDN w:val="0"/>
              <w:bidi w:val="0"/>
              <w:adjustRightInd/>
              <w:snapToGrid/>
              <w:spacing w:before="89" w:line="560" w:lineRule="exact"/>
              <w:ind w:left="512"/>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重点任务</w:t>
            </w:r>
          </w:p>
        </w:tc>
        <w:tc>
          <w:tcPr>
            <w:tcW w:w="9472" w:type="dxa"/>
            <w:vAlign w:val="top"/>
          </w:tcPr>
          <w:p>
            <w:pPr>
              <w:pStyle w:val="6"/>
              <w:keepNext w:val="0"/>
              <w:keepLines w:val="0"/>
              <w:pageBreakBefore w:val="0"/>
              <w:widowControl w:val="0"/>
              <w:kinsoku/>
              <w:wordWrap/>
              <w:overflowPunct/>
              <w:topLinePunct w:val="0"/>
              <w:autoSpaceDE w:val="0"/>
              <w:autoSpaceDN w:val="0"/>
              <w:bidi w:val="0"/>
              <w:adjustRightInd/>
              <w:snapToGrid/>
              <w:spacing w:before="89" w:line="560" w:lineRule="exact"/>
              <w:ind w:left="4031" w:right="4024"/>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工作内容</w:t>
            </w:r>
          </w:p>
        </w:tc>
        <w:tc>
          <w:tcPr>
            <w:tcW w:w="2734" w:type="dxa"/>
            <w:vAlign w:val="top"/>
          </w:tcPr>
          <w:p>
            <w:pPr>
              <w:pStyle w:val="6"/>
              <w:keepNext w:val="0"/>
              <w:keepLines w:val="0"/>
              <w:pageBreakBefore w:val="0"/>
              <w:widowControl w:val="0"/>
              <w:kinsoku/>
              <w:wordWrap/>
              <w:overflowPunct/>
              <w:topLinePunct w:val="0"/>
              <w:autoSpaceDE w:val="0"/>
              <w:autoSpaceDN w:val="0"/>
              <w:bidi w:val="0"/>
              <w:adjustRightInd/>
              <w:snapToGrid/>
              <w:spacing w:before="89" w:line="560" w:lineRule="exact"/>
              <w:ind w:left="767"/>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4" w:hRule="atLeast"/>
        </w:trPr>
        <w:tc>
          <w:tcPr>
            <w:tcW w:w="646" w:type="dxa"/>
            <w:vMerge w:val="restart"/>
            <w:vAlign w:val="top"/>
          </w:tcPr>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1"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ind w:left="6"/>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91" w:type="dxa"/>
            <w:vMerge w:val="restart"/>
            <w:vAlign w:val="top"/>
          </w:tcPr>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10"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ind w:left="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八清</w:t>
            </w:r>
          </w:p>
        </w:tc>
        <w:tc>
          <w:tcPr>
            <w:tcW w:w="1419" w:type="dxa"/>
            <w:vAlign w:val="top"/>
          </w:tcPr>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11"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1" w:line="400" w:lineRule="exact"/>
              <w:ind w:left="226" w:right="22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清理农村生活垃圾</w:t>
            </w:r>
          </w:p>
        </w:tc>
        <w:tc>
          <w:tcPr>
            <w:tcW w:w="9472" w:type="dxa"/>
            <w:vAlign w:val="top"/>
          </w:tcPr>
          <w:p>
            <w:pPr>
              <w:pStyle w:val="6"/>
              <w:keepNext w:val="0"/>
              <w:keepLines w:val="0"/>
              <w:pageBreakBefore w:val="0"/>
              <w:widowControl w:val="0"/>
              <w:kinsoku/>
              <w:wordWrap/>
              <w:overflowPunct/>
              <w:topLinePunct w:val="0"/>
              <w:autoSpaceDE w:val="0"/>
              <w:autoSpaceDN w:val="0"/>
              <w:bidi w:val="0"/>
              <w:adjustRightInd/>
              <w:snapToGrid/>
              <w:spacing w:before="1" w:line="400" w:lineRule="exact"/>
              <w:ind w:left="14" w:right="-29"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以村委会周边、集中安置社区、村组公路及人口密集公共区域为重点，集中开展“垃圾山、垃圾围村、垃圾围坝、工业污染、上山下乡”等整治行动，基本清除非正规垃圾堆放点、工业固体废物、农业生产废弃物等；健全完善城乡环卫一体化体系，探索垃圾分类方法，建立资源回收利用体系，实现垃圾处</w:t>
            </w:r>
            <w:r>
              <w:rPr>
                <w:rFonts w:hint="eastAsia" w:ascii="仿宋_GB2312" w:hAnsi="仿宋_GB2312" w:eastAsia="仿宋_GB2312" w:cs="仿宋_GB2312"/>
                <w:spacing w:val="-8"/>
                <w:sz w:val="24"/>
                <w:szCs w:val="24"/>
              </w:rPr>
              <w:t>理</w:t>
            </w:r>
            <w:r>
              <w:rPr>
                <w:rFonts w:hint="eastAsia" w:ascii="仿宋_GB2312" w:hAnsi="仿宋_GB2312" w:eastAsia="仿宋_GB2312" w:cs="仿宋_GB2312"/>
                <w:sz w:val="24"/>
                <w:szCs w:val="24"/>
              </w:rPr>
              <w:t>“户分类</w:t>
            </w:r>
            <w:r>
              <w:rPr>
                <w:rFonts w:hint="eastAsia" w:ascii="仿宋_GB2312" w:hAnsi="仿宋_GB2312" w:eastAsia="仿宋_GB2312" w:cs="仿宋_GB2312"/>
                <w:spacing w:val="-8"/>
                <w:sz w:val="24"/>
                <w:szCs w:val="24"/>
              </w:rPr>
              <w:t>、</w:t>
            </w:r>
            <w:r>
              <w:rPr>
                <w:rFonts w:hint="eastAsia" w:ascii="仿宋_GB2312" w:hAnsi="仿宋_GB2312" w:eastAsia="仿宋_GB2312" w:cs="仿宋_GB2312"/>
                <w:sz w:val="24"/>
                <w:szCs w:val="24"/>
              </w:rPr>
              <w:t>村收集</w:t>
            </w:r>
            <w:r>
              <w:rPr>
                <w:rFonts w:hint="eastAsia" w:ascii="仿宋_GB2312" w:hAnsi="仿宋_GB2312" w:eastAsia="仿宋_GB2312" w:cs="仿宋_GB2312"/>
                <w:spacing w:val="-8"/>
                <w:sz w:val="24"/>
                <w:szCs w:val="24"/>
              </w:rPr>
              <w:t>、</w:t>
            </w:r>
            <w:r>
              <w:rPr>
                <w:rFonts w:hint="eastAsia" w:ascii="仿宋_GB2312" w:hAnsi="仿宋_GB2312" w:eastAsia="仿宋_GB2312" w:cs="仿宋_GB2312"/>
                <w:sz w:val="24"/>
                <w:szCs w:val="24"/>
              </w:rPr>
              <w:t>镇转运</w:t>
            </w:r>
            <w:r>
              <w:rPr>
                <w:rFonts w:hint="eastAsia" w:ascii="仿宋_GB2312" w:hAnsi="仿宋_GB2312" w:eastAsia="仿宋_GB2312" w:cs="仿宋_GB2312"/>
                <w:spacing w:val="-8"/>
                <w:sz w:val="24"/>
                <w:szCs w:val="24"/>
              </w:rPr>
              <w:t>、县</w:t>
            </w:r>
            <w:r>
              <w:rPr>
                <w:rFonts w:hint="eastAsia" w:ascii="仿宋_GB2312" w:hAnsi="仿宋_GB2312" w:eastAsia="仿宋_GB2312" w:cs="仿宋_GB2312"/>
                <w:sz w:val="24"/>
                <w:szCs w:val="24"/>
              </w:rPr>
              <w:t>处理</w:t>
            </w:r>
            <w:r>
              <w:rPr>
                <w:rFonts w:hint="eastAsia" w:ascii="仿宋_GB2312" w:hAnsi="仿宋_GB2312" w:eastAsia="仿宋_GB2312" w:cs="仿宋_GB2312"/>
                <w:spacing w:val="-8"/>
                <w:sz w:val="24"/>
                <w:szCs w:val="24"/>
              </w:rPr>
              <w:t>”，</w:t>
            </w:r>
            <w:r>
              <w:rPr>
                <w:rFonts w:hint="eastAsia" w:ascii="仿宋_GB2312" w:hAnsi="仿宋_GB2312" w:eastAsia="仿宋_GB2312" w:cs="仿宋_GB2312"/>
                <w:sz w:val="24"/>
                <w:szCs w:val="24"/>
              </w:rPr>
              <w:t>行政村生活垃圾处理率达到</w:t>
            </w:r>
            <w:r>
              <w:rPr>
                <w:rFonts w:hint="eastAsia" w:ascii="仿宋_GB2312" w:hAnsi="仿宋_GB2312" w:eastAsia="仿宋_GB2312" w:cs="仿宋_GB2312"/>
                <w:spacing w:val="-79"/>
                <w:sz w:val="24"/>
                <w:szCs w:val="24"/>
              </w:rPr>
              <w:t xml:space="preserve"> </w:t>
            </w:r>
            <w:r>
              <w:rPr>
                <w:rFonts w:hint="eastAsia" w:ascii="仿宋_GB2312" w:hAnsi="仿宋_GB2312" w:eastAsia="仿宋_GB2312" w:cs="仿宋_GB2312"/>
                <w:sz w:val="24"/>
                <w:szCs w:val="24"/>
              </w:rPr>
              <w:t>90</w:t>
            </w:r>
            <w:r>
              <w:rPr>
                <w:rFonts w:hint="eastAsia" w:ascii="仿宋_GB2312" w:hAnsi="仿宋_GB2312" w:eastAsia="仿宋_GB2312" w:cs="仿宋_GB2312"/>
                <w:spacing w:val="4"/>
                <w:sz w:val="24"/>
                <w:szCs w:val="24"/>
              </w:rPr>
              <w:drawing>
                <wp:inline distT="0" distB="0" distL="114300" distR="114300">
                  <wp:extent cx="66675" cy="117475"/>
                  <wp:effectExtent l="0" t="0" r="9525" b="1587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4"/>
                          <a:stretch>
                            <a:fillRect/>
                          </a:stretch>
                        </pic:blipFill>
                        <pic:spPr>
                          <a:xfrm>
                            <a:off x="0" y="0"/>
                            <a:ext cx="66675" cy="117475"/>
                          </a:xfrm>
                          <a:prstGeom prst="rect">
                            <a:avLst/>
                          </a:prstGeom>
                          <a:noFill/>
                          <a:ln>
                            <a:noFill/>
                          </a:ln>
                        </pic:spPr>
                      </pic:pic>
                    </a:graphicData>
                  </a:graphic>
                </wp:inline>
              </w:drawing>
            </w:r>
            <w:r>
              <w:rPr>
                <w:rFonts w:hint="eastAsia" w:ascii="仿宋_GB2312" w:hAnsi="仿宋_GB2312" w:eastAsia="仿宋_GB2312" w:cs="仿宋_GB2312"/>
                <w:spacing w:val="-8"/>
                <w:sz w:val="24"/>
                <w:szCs w:val="24"/>
              </w:rPr>
              <w:t>。</w:t>
            </w:r>
            <w:r>
              <w:rPr>
                <w:rFonts w:hint="eastAsia" w:ascii="仿宋_GB2312" w:hAnsi="仿宋_GB2312" w:eastAsia="仿宋_GB2312" w:cs="仿宋_GB2312"/>
                <w:sz w:val="24"/>
                <w:szCs w:val="24"/>
              </w:rPr>
              <w:t>同时</w:t>
            </w:r>
            <w:r>
              <w:rPr>
                <w:rFonts w:hint="eastAsia" w:ascii="仿宋_GB2312" w:hAnsi="仿宋_GB2312" w:eastAsia="仿宋_GB2312" w:cs="仿宋_GB2312"/>
                <w:spacing w:val="-94"/>
                <w:sz w:val="24"/>
                <w:szCs w:val="24"/>
              </w:rPr>
              <w:t xml:space="preserve">， </w:t>
            </w:r>
            <w:r>
              <w:rPr>
                <w:rFonts w:hint="eastAsia" w:ascii="仿宋_GB2312" w:hAnsi="仿宋_GB2312" w:eastAsia="仿宋_GB2312" w:cs="仿宋_GB2312"/>
                <w:sz w:val="24"/>
                <w:szCs w:val="24"/>
              </w:rPr>
              <w:t>积极创建农村生活垃圾分类和资源化利用示范县。</w:t>
            </w:r>
          </w:p>
        </w:tc>
        <w:tc>
          <w:tcPr>
            <w:tcW w:w="2734" w:type="dxa"/>
            <w:vAlign w:val="top"/>
          </w:tcPr>
          <w:p>
            <w:pPr>
              <w:pStyle w:val="6"/>
              <w:keepNext w:val="0"/>
              <w:keepLines w:val="0"/>
              <w:pageBreakBefore w:val="0"/>
              <w:widowControl w:val="0"/>
              <w:kinsoku/>
              <w:wordWrap/>
              <w:overflowPunct/>
              <w:topLinePunct w:val="0"/>
              <w:autoSpaceDE w:val="0"/>
              <w:autoSpaceDN w:val="0"/>
              <w:bidi w:val="0"/>
              <w:adjustRightInd/>
              <w:snapToGrid/>
              <w:spacing w:before="7"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ind w:left="1211" w:leftChars="5" w:hanging="1200" w:hanging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责任单位：镇农业综合服务站</w:t>
            </w:r>
          </w:p>
          <w:p>
            <w:pPr>
              <w:pStyle w:val="6"/>
              <w:keepNext w:val="0"/>
              <w:keepLines w:val="0"/>
              <w:pageBreakBefore w:val="0"/>
              <w:widowControl w:val="0"/>
              <w:kinsoku/>
              <w:wordWrap/>
              <w:overflowPunct/>
              <w:topLinePunct w:val="0"/>
              <w:autoSpaceDE w:val="0"/>
              <w:autoSpaceDN w:val="0"/>
              <w:bidi w:val="0"/>
              <w:adjustRightInd/>
              <w:snapToGrid/>
              <w:spacing w:line="400" w:lineRule="exact"/>
              <w:ind w:firstLine="1200" w:firstLine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各村村委会</w:t>
            </w:r>
          </w:p>
          <w:p>
            <w:pPr>
              <w:pStyle w:val="6"/>
              <w:keepNext w:val="0"/>
              <w:keepLines w:val="0"/>
              <w:pageBreakBefore w:val="0"/>
              <w:widowControl w:val="0"/>
              <w:kinsoku/>
              <w:wordWrap/>
              <w:overflowPunct/>
              <w:topLinePunct w:val="0"/>
              <w:autoSpaceDE w:val="0"/>
              <w:autoSpaceDN w:val="0"/>
              <w:bidi w:val="0"/>
              <w:adjustRightInd/>
              <w:snapToGrid/>
              <w:spacing w:before="1" w:line="400" w:lineRule="exact"/>
              <w:ind w:right="157"/>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646"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tc>
        <w:tc>
          <w:tcPr>
            <w:tcW w:w="891"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tc>
        <w:tc>
          <w:tcPr>
            <w:tcW w:w="1419" w:type="dxa"/>
            <w:vAlign w:val="top"/>
          </w:tcPr>
          <w:p>
            <w:pPr>
              <w:pStyle w:val="6"/>
              <w:keepNext w:val="0"/>
              <w:keepLines w:val="0"/>
              <w:pageBreakBefore w:val="0"/>
              <w:widowControl w:val="0"/>
              <w:kinsoku/>
              <w:wordWrap/>
              <w:overflowPunct/>
              <w:topLinePunct w:val="0"/>
              <w:autoSpaceDE w:val="0"/>
              <w:autoSpaceDN w:val="0"/>
              <w:bidi w:val="0"/>
              <w:adjustRightInd/>
              <w:snapToGrid/>
              <w:spacing w:before="162" w:line="400" w:lineRule="exact"/>
              <w:ind w:left="466" w:right="220" w:hanging="24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清理村内塘沟</w:t>
            </w:r>
          </w:p>
        </w:tc>
        <w:tc>
          <w:tcPr>
            <w:tcW w:w="9472" w:type="dxa"/>
            <w:vAlign w:val="top"/>
          </w:tcPr>
          <w:p>
            <w:pPr>
              <w:pStyle w:val="6"/>
              <w:keepNext w:val="0"/>
              <w:keepLines w:val="0"/>
              <w:pageBreakBefore w:val="0"/>
              <w:widowControl w:val="0"/>
              <w:kinsoku/>
              <w:wordWrap/>
              <w:overflowPunct/>
              <w:topLinePunct w:val="0"/>
              <w:autoSpaceDE w:val="0"/>
              <w:autoSpaceDN w:val="0"/>
              <w:bidi w:val="0"/>
              <w:adjustRightInd/>
              <w:snapToGrid/>
              <w:spacing w:before="3" w:line="400" w:lineRule="exact"/>
              <w:ind w:left="15" w:right="-15"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加强农村生活污水治理常识宣传，引导农户规范排放生活污水，重点抓好房前屋后河塘沟渠、排水沟等清理工作，逐步消除农村黑臭水体，恢复水生态。加快行政村安全饮水工程建设，实现农村安全饮水全覆盖。</w:t>
            </w:r>
          </w:p>
        </w:tc>
        <w:tc>
          <w:tcPr>
            <w:tcW w:w="2734" w:type="dxa"/>
            <w:vAlign w:val="top"/>
          </w:tcPr>
          <w:p>
            <w:pPr>
              <w:pStyle w:val="6"/>
              <w:keepNext w:val="0"/>
              <w:keepLines w:val="0"/>
              <w:pageBreakBefore w:val="0"/>
              <w:widowControl w:val="0"/>
              <w:kinsoku/>
              <w:wordWrap/>
              <w:overflowPunct/>
              <w:topLinePunct w:val="0"/>
              <w:autoSpaceDE w:val="0"/>
              <w:autoSpaceDN w:val="0"/>
              <w:bidi w:val="0"/>
              <w:adjustRightInd/>
              <w:snapToGrid/>
              <w:spacing w:before="53" w:line="400" w:lineRule="exact"/>
              <w:ind w:left="1211" w:leftChars="5" w:right="157" w:hanging="1200" w:hanging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责任单位：镇“河（湖）长”办公室</w:t>
            </w:r>
          </w:p>
          <w:p>
            <w:pPr>
              <w:pStyle w:val="6"/>
              <w:keepNext w:val="0"/>
              <w:keepLines w:val="0"/>
              <w:pageBreakBefore w:val="0"/>
              <w:widowControl w:val="0"/>
              <w:kinsoku/>
              <w:wordWrap/>
              <w:overflowPunct/>
              <w:topLinePunct w:val="0"/>
              <w:autoSpaceDE w:val="0"/>
              <w:autoSpaceDN w:val="0"/>
              <w:bidi w:val="0"/>
              <w:adjustRightInd/>
              <w:snapToGrid/>
              <w:spacing w:line="400" w:lineRule="exact"/>
              <w:ind w:firstLine="1200" w:firstLine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各村村委会</w:t>
            </w:r>
          </w:p>
          <w:p>
            <w:pPr>
              <w:pStyle w:val="6"/>
              <w:keepNext w:val="0"/>
              <w:keepLines w:val="0"/>
              <w:pageBreakBefore w:val="0"/>
              <w:widowControl w:val="0"/>
              <w:kinsoku/>
              <w:wordWrap/>
              <w:overflowPunct/>
              <w:topLinePunct w:val="0"/>
              <w:autoSpaceDE w:val="0"/>
              <w:autoSpaceDN w:val="0"/>
              <w:bidi w:val="0"/>
              <w:adjustRightInd/>
              <w:snapToGrid/>
              <w:spacing w:before="53" w:line="400" w:lineRule="exact"/>
              <w:ind w:left="11" w:right="157"/>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4" w:hRule="atLeast"/>
        </w:trPr>
        <w:tc>
          <w:tcPr>
            <w:tcW w:w="646"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tc>
        <w:tc>
          <w:tcPr>
            <w:tcW w:w="891"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tc>
        <w:tc>
          <w:tcPr>
            <w:tcW w:w="1419" w:type="dxa"/>
            <w:vAlign w:val="top"/>
          </w:tcPr>
          <w:p>
            <w:pPr>
              <w:pStyle w:val="6"/>
              <w:keepNext w:val="0"/>
              <w:keepLines w:val="0"/>
              <w:pageBreakBefore w:val="0"/>
              <w:widowControl w:val="0"/>
              <w:kinsoku/>
              <w:wordWrap/>
              <w:overflowPunct/>
              <w:topLinePunct w:val="0"/>
              <w:autoSpaceDE w:val="0"/>
              <w:autoSpaceDN w:val="0"/>
              <w:bidi w:val="0"/>
              <w:adjustRightInd/>
              <w:snapToGrid/>
              <w:spacing w:before="3"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ind w:left="226" w:right="100" w:hanging="12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清理农业生产废弃物</w:t>
            </w:r>
          </w:p>
        </w:tc>
        <w:tc>
          <w:tcPr>
            <w:tcW w:w="9472" w:type="dxa"/>
            <w:vAlign w:val="top"/>
          </w:tcPr>
          <w:p>
            <w:pPr>
              <w:pStyle w:val="6"/>
              <w:keepNext w:val="0"/>
              <w:keepLines w:val="0"/>
              <w:pageBreakBefore w:val="0"/>
              <w:widowControl w:val="0"/>
              <w:kinsoku/>
              <w:wordWrap/>
              <w:overflowPunct/>
              <w:topLinePunct w:val="0"/>
              <w:autoSpaceDE w:val="0"/>
              <w:autoSpaceDN w:val="0"/>
              <w:bidi w:val="0"/>
              <w:adjustRightInd/>
              <w:snapToGrid/>
              <w:spacing w:before="1" w:line="400" w:lineRule="exact"/>
              <w:ind w:left="15" w:right="-15"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理病死畜禽尸体，做好陕南病死畜禽无害化处理中心项目前期和环智生物改造提升及双樟牧业有机肥厂建设工作，促进畜牧业绿色发展示范县创建活动；推进禁养区规模养殖场拆除工作，规范限养区、适养区畜禽养殖行为；积极争取项目支持，推进废旧农膜、农作物秸秆等农业生产废弃物资源化利用。</w:t>
            </w:r>
          </w:p>
        </w:tc>
        <w:tc>
          <w:tcPr>
            <w:tcW w:w="2734" w:type="dxa"/>
            <w:vAlign w:val="top"/>
          </w:tcPr>
          <w:p>
            <w:pPr>
              <w:pStyle w:val="6"/>
              <w:keepNext w:val="0"/>
              <w:keepLines w:val="0"/>
              <w:pageBreakBefore w:val="0"/>
              <w:widowControl w:val="0"/>
              <w:kinsoku/>
              <w:wordWrap/>
              <w:overflowPunct/>
              <w:topLinePunct w:val="0"/>
              <w:autoSpaceDE w:val="0"/>
              <w:autoSpaceDN w:val="0"/>
              <w:bidi w:val="0"/>
              <w:adjustRightInd/>
              <w:snapToGrid/>
              <w:spacing w:line="400" w:lineRule="exact"/>
              <w:ind w:left="1201" w:leftChars="5" w:hanging="1190" w:hanging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责任单位：</w:t>
            </w:r>
            <w:r>
              <w:rPr>
                <w:rFonts w:hint="eastAsia" w:ascii="仿宋_GB2312" w:hAnsi="仿宋_GB2312" w:eastAsia="仿宋_GB2312" w:cs="仿宋_GB2312"/>
                <w:sz w:val="24"/>
                <w:szCs w:val="24"/>
              </w:rPr>
              <w:t>镇农业综合服务站</w:t>
            </w:r>
          </w:p>
          <w:p>
            <w:pPr>
              <w:pStyle w:val="6"/>
              <w:keepNext w:val="0"/>
              <w:keepLines w:val="0"/>
              <w:pageBreakBefore w:val="0"/>
              <w:widowControl w:val="0"/>
              <w:kinsoku/>
              <w:wordWrap/>
              <w:overflowPunct/>
              <w:topLinePunct w:val="0"/>
              <w:autoSpaceDE w:val="0"/>
              <w:autoSpaceDN w:val="0"/>
              <w:bidi w:val="0"/>
              <w:adjustRightInd/>
              <w:snapToGrid/>
              <w:spacing w:line="400" w:lineRule="exact"/>
              <w:ind w:firstLine="1200" w:firstLine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各村村委会</w:t>
            </w:r>
          </w:p>
          <w:p>
            <w:pPr>
              <w:pStyle w:val="6"/>
              <w:keepNext w:val="0"/>
              <w:keepLines w:val="0"/>
              <w:pageBreakBefore w:val="0"/>
              <w:widowControl w:val="0"/>
              <w:kinsoku/>
              <w:wordWrap/>
              <w:overflowPunct/>
              <w:topLinePunct w:val="0"/>
              <w:autoSpaceDE w:val="0"/>
              <w:autoSpaceDN w:val="0"/>
              <w:bidi w:val="0"/>
              <w:adjustRightInd/>
              <w:snapToGrid/>
              <w:spacing w:before="52" w:line="400" w:lineRule="exact"/>
              <w:ind w:left="11" w:right="157" w:firstLine="1200"/>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6" w:hRule="atLeast"/>
        </w:trPr>
        <w:tc>
          <w:tcPr>
            <w:tcW w:w="646"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tc>
        <w:tc>
          <w:tcPr>
            <w:tcW w:w="891"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tc>
        <w:tc>
          <w:tcPr>
            <w:tcW w:w="1419" w:type="dxa"/>
            <w:vAlign w:val="top"/>
          </w:tcPr>
          <w:p>
            <w:pPr>
              <w:pStyle w:val="6"/>
              <w:keepNext w:val="0"/>
              <w:keepLines w:val="0"/>
              <w:pageBreakBefore w:val="0"/>
              <w:widowControl w:val="0"/>
              <w:kinsoku/>
              <w:wordWrap/>
              <w:overflowPunct/>
              <w:topLinePunct w:val="0"/>
              <w:autoSpaceDE w:val="0"/>
              <w:autoSpaceDN w:val="0"/>
              <w:bidi w:val="0"/>
              <w:adjustRightInd/>
              <w:snapToGrid/>
              <w:spacing w:before="7"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ind w:left="466" w:right="100" w:hanging="36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清理室内外卫生</w:t>
            </w:r>
          </w:p>
        </w:tc>
        <w:tc>
          <w:tcPr>
            <w:tcW w:w="9472" w:type="dxa"/>
            <w:vAlign w:val="top"/>
          </w:tcPr>
          <w:p>
            <w:pPr>
              <w:pStyle w:val="6"/>
              <w:keepNext w:val="0"/>
              <w:keepLines w:val="0"/>
              <w:pageBreakBefore w:val="0"/>
              <w:widowControl w:val="0"/>
              <w:kinsoku/>
              <w:wordWrap/>
              <w:overflowPunct/>
              <w:topLinePunct w:val="0"/>
              <w:autoSpaceDE w:val="0"/>
              <w:autoSpaceDN w:val="0"/>
              <w:bidi w:val="0"/>
              <w:adjustRightInd/>
              <w:snapToGrid/>
              <w:spacing w:before="37" w:line="400" w:lineRule="exact"/>
              <w:ind w:left="15" w:right="7"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认真贯彻落实《全国城乡环境卫生整洁行动方案（2015-2020）》，大力推进卫生创</w:t>
            </w:r>
            <w:r>
              <w:rPr>
                <w:rFonts w:hint="eastAsia" w:ascii="仿宋_GB2312" w:hAnsi="仿宋_GB2312" w:eastAsia="仿宋_GB2312" w:cs="仿宋_GB2312"/>
                <w:spacing w:val="-10"/>
                <w:sz w:val="24"/>
                <w:szCs w:val="24"/>
              </w:rPr>
              <w:t>建活动。引导农户定时清扫院落内外卫生，做到庭院及隐蔽夹道无垃圾、无积水、无死角</w:t>
            </w:r>
            <w:r>
              <w:rPr>
                <w:rFonts w:hint="eastAsia" w:ascii="仿宋_GB2312" w:hAnsi="仿宋_GB2312" w:eastAsia="仿宋_GB2312" w:cs="仿宋_GB2312"/>
                <w:spacing w:val="-3"/>
                <w:sz w:val="24"/>
                <w:szCs w:val="24"/>
              </w:rPr>
              <w:t>鼓励农户开展墙面整修、庭院绿化等工作，做到庭院布局合理、院落干净整洁；</w:t>
            </w:r>
            <w:r>
              <w:rPr>
                <w:rFonts w:hint="eastAsia" w:ascii="仿宋_GB2312" w:hAnsi="仿宋_GB2312" w:eastAsia="仿宋_GB2312" w:cs="仿宋_GB2312"/>
                <w:spacing w:val="-6"/>
                <w:sz w:val="24"/>
                <w:szCs w:val="24"/>
              </w:rPr>
              <w:t xml:space="preserve">抓好“厕所革命”工作，完成年度 </w:t>
            </w:r>
            <w:r>
              <w:rPr>
                <w:rFonts w:hint="eastAsia" w:ascii="仿宋_GB2312" w:hAnsi="仿宋_GB2312" w:eastAsia="仿宋_GB2312" w:cs="仿宋_GB2312"/>
                <w:sz w:val="24"/>
                <w:szCs w:val="24"/>
              </w:rPr>
              <w:t>140</w:t>
            </w:r>
            <w:r>
              <w:rPr>
                <w:rFonts w:hint="eastAsia" w:ascii="仿宋_GB2312" w:hAnsi="仿宋_GB2312" w:eastAsia="仿宋_GB2312" w:cs="仿宋_GB2312"/>
                <w:spacing w:val="-9"/>
                <w:sz w:val="24"/>
                <w:szCs w:val="24"/>
              </w:rPr>
              <w:t>户农村无害化卫生厕所建</w:t>
            </w:r>
            <w:r>
              <w:rPr>
                <w:rFonts w:hint="eastAsia" w:ascii="仿宋_GB2312" w:hAnsi="仿宋_GB2312" w:eastAsia="仿宋_GB2312" w:cs="仿宋_GB2312"/>
                <w:sz w:val="24"/>
                <w:szCs w:val="24"/>
              </w:rPr>
              <w:t>设任务</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z w:val="24"/>
                <w:szCs w:val="24"/>
              </w:rPr>
              <w:t>示范村无害化卫生厕所普及率达到</w:t>
            </w:r>
            <w:r>
              <w:rPr>
                <w:rFonts w:hint="eastAsia" w:ascii="仿宋_GB2312" w:hAnsi="仿宋_GB2312" w:eastAsia="仿宋_GB2312" w:cs="仿宋_GB2312"/>
                <w:spacing w:val="-73"/>
                <w:sz w:val="24"/>
                <w:szCs w:val="24"/>
              </w:rPr>
              <w:t xml:space="preserve"> </w:t>
            </w:r>
            <w:r>
              <w:rPr>
                <w:rFonts w:hint="eastAsia" w:ascii="仿宋_GB2312" w:hAnsi="仿宋_GB2312" w:eastAsia="仿宋_GB2312" w:cs="仿宋_GB2312"/>
                <w:sz w:val="24"/>
                <w:szCs w:val="24"/>
              </w:rPr>
              <w:t>85</w:t>
            </w:r>
            <w:r>
              <w:rPr>
                <w:rFonts w:hint="eastAsia" w:ascii="仿宋_GB2312" w:hAnsi="仿宋_GB2312" w:eastAsia="仿宋_GB2312" w:cs="仿宋_GB2312"/>
                <w:spacing w:val="4"/>
                <w:sz w:val="24"/>
                <w:szCs w:val="24"/>
              </w:rPr>
              <w:drawing>
                <wp:inline distT="0" distB="0" distL="114300" distR="114300">
                  <wp:extent cx="66675" cy="117475"/>
                  <wp:effectExtent l="0" t="0" r="9525" b="1587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4"/>
                          <a:stretch>
                            <a:fillRect/>
                          </a:stretch>
                        </pic:blipFill>
                        <pic:spPr>
                          <a:xfrm>
                            <a:off x="0" y="0"/>
                            <a:ext cx="66675" cy="117475"/>
                          </a:xfrm>
                          <a:prstGeom prst="rect">
                            <a:avLst/>
                          </a:prstGeom>
                          <a:noFill/>
                          <a:ln>
                            <a:noFill/>
                          </a:ln>
                        </pic:spPr>
                      </pic:pic>
                    </a:graphicData>
                  </a:graphic>
                </wp:inline>
              </w:drawing>
            </w:r>
            <w:r>
              <w:rPr>
                <w:rFonts w:hint="eastAsia" w:ascii="仿宋_GB2312" w:hAnsi="仿宋_GB2312" w:eastAsia="仿宋_GB2312" w:cs="仿宋_GB2312"/>
                <w:sz w:val="24"/>
                <w:szCs w:val="24"/>
              </w:rPr>
              <w:t>以上</w:t>
            </w:r>
            <w:r>
              <w:rPr>
                <w:rFonts w:hint="eastAsia" w:ascii="仿宋_GB2312" w:hAnsi="仿宋_GB2312" w:eastAsia="仿宋_GB2312" w:cs="仿宋_GB2312"/>
                <w:spacing w:val="-5"/>
                <w:sz w:val="24"/>
                <w:szCs w:val="24"/>
              </w:rPr>
              <w:t>，</w:t>
            </w:r>
            <w:r>
              <w:rPr>
                <w:rFonts w:hint="eastAsia" w:ascii="仿宋_GB2312" w:hAnsi="仿宋_GB2312" w:eastAsia="仿宋_GB2312" w:cs="仿宋_GB2312"/>
                <w:sz w:val="24"/>
                <w:szCs w:val="24"/>
              </w:rPr>
              <w:t>推进农村厕所普及率达到</w:t>
            </w:r>
            <w:r>
              <w:rPr>
                <w:rFonts w:hint="eastAsia" w:ascii="仿宋_GB2312" w:hAnsi="仿宋_GB2312" w:eastAsia="仿宋_GB2312" w:cs="仿宋_GB2312"/>
                <w:spacing w:val="-68"/>
                <w:sz w:val="24"/>
                <w:szCs w:val="24"/>
              </w:rPr>
              <w:t xml:space="preserve"> </w:t>
            </w:r>
            <w:r>
              <w:rPr>
                <w:rFonts w:hint="eastAsia" w:ascii="仿宋_GB2312" w:hAnsi="仿宋_GB2312" w:eastAsia="仿宋_GB2312" w:cs="仿宋_GB2312"/>
                <w:sz w:val="24"/>
                <w:szCs w:val="24"/>
              </w:rPr>
              <w:t>85</w:t>
            </w:r>
            <w:r>
              <w:rPr>
                <w:rFonts w:hint="eastAsia" w:ascii="仿宋_GB2312" w:hAnsi="仿宋_GB2312" w:eastAsia="仿宋_GB2312" w:cs="仿宋_GB2312"/>
                <w:spacing w:val="4"/>
                <w:sz w:val="24"/>
                <w:szCs w:val="24"/>
              </w:rPr>
              <w:drawing>
                <wp:inline distT="0" distB="0" distL="114300" distR="114300">
                  <wp:extent cx="66675" cy="117475"/>
                  <wp:effectExtent l="0" t="0" r="9525" b="158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
                          <a:stretch>
                            <a:fillRect/>
                          </a:stretch>
                        </pic:blipFill>
                        <pic:spPr>
                          <a:xfrm>
                            <a:off x="0" y="0"/>
                            <a:ext cx="66675" cy="117475"/>
                          </a:xfrm>
                          <a:prstGeom prst="rect">
                            <a:avLst/>
                          </a:prstGeom>
                          <a:noFill/>
                          <a:ln>
                            <a:noFill/>
                          </a:ln>
                        </pic:spPr>
                      </pic:pic>
                    </a:graphicData>
                  </a:graphic>
                </wp:inline>
              </w:drawing>
            </w:r>
            <w:r>
              <w:rPr>
                <w:rFonts w:hint="eastAsia" w:ascii="仿宋_GB2312" w:hAnsi="仿宋_GB2312" w:eastAsia="仿宋_GB2312" w:cs="仿宋_GB2312"/>
                <w:spacing w:val="-1"/>
                <w:sz w:val="24"/>
                <w:szCs w:val="24"/>
              </w:rPr>
              <w:t>以</w:t>
            </w:r>
            <w:r>
              <w:rPr>
                <w:rFonts w:hint="eastAsia" w:ascii="仿宋_GB2312" w:hAnsi="仿宋_GB2312" w:eastAsia="仿宋_GB2312" w:cs="仿宋_GB2312"/>
                <w:sz w:val="24"/>
                <w:szCs w:val="24"/>
              </w:rPr>
              <w:t>上</w:t>
            </w:r>
          </w:p>
        </w:tc>
        <w:tc>
          <w:tcPr>
            <w:tcW w:w="2734" w:type="dxa"/>
            <w:vAlign w:val="top"/>
          </w:tcPr>
          <w:p>
            <w:pPr>
              <w:pStyle w:val="6"/>
              <w:keepNext w:val="0"/>
              <w:keepLines w:val="0"/>
              <w:pageBreakBefore w:val="0"/>
              <w:widowControl w:val="0"/>
              <w:kinsoku/>
              <w:wordWrap/>
              <w:overflowPunct/>
              <w:topLinePunct w:val="0"/>
              <w:autoSpaceDE w:val="0"/>
              <w:autoSpaceDN w:val="0"/>
              <w:bidi w:val="0"/>
              <w:adjustRightInd/>
              <w:snapToGrid/>
              <w:spacing w:line="400" w:lineRule="exact"/>
              <w:ind w:left="1201" w:leftChars="5" w:hanging="1190" w:hanging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责任单位：</w:t>
            </w:r>
            <w:r>
              <w:rPr>
                <w:rFonts w:hint="eastAsia" w:ascii="仿宋_GB2312" w:hAnsi="仿宋_GB2312" w:eastAsia="仿宋_GB2312" w:cs="仿宋_GB2312"/>
                <w:sz w:val="24"/>
                <w:szCs w:val="24"/>
              </w:rPr>
              <w:t>镇农业综合服务站</w:t>
            </w:r>
          </w:p>
          <w:p>
            <w:pPr>
              <w:pStyle w:val="6"/>
              <w:keepNext w:val="0"/>
              <w:keepLines w:val="0"/>
              <w:pageBreakBefore w:val="0"/>
              <w:widowControl w:val="0"/>
              <w:kinsoku/>
              <w:wordWrap/>
              <w:overflowPunct/>
              <w:topLinePunct w:val="0"/>
              <w:autoSpaceDE w:val="0"/>
              <w:autoSpaceDN w:val="0"/>
              <w:bidi w:val="0"/>
              <w:adjustRightInd/>
              <w:snapToGrid/>
              <w:spacing w:line="400" w:lineRule="exact"/>
              <w:ind w:firstLine="1200" w:firstLine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各村村委会</w:t>
            </w:r>
          </w:p>
          <w:p>
            <w:pPr>
              <w:pStyle w:val="6"/>
              <w:keepNext w:val="0"/>
              <w:keepLines w:val="0"/>
              <w:pageBreakBefore w:val="0"/>
              <w:widowControl w:val="0"/>
              <w:kinsoku/>
              <w:wordWrap/>
              <w:overflowPunct/>
              <w:topLinePunct w:val="0"/>
              <w:autoSpaceDE w:val="0"/>
              <w:autoSpaceDN w:val="0"/>
              <w:bidi w:val="0"/>
              <w:adjustRightInd/>
              <w:snapToGrid/>
              <w:spacing w:line="400" w:lineRule="exact"/>
              <w:ind w:firstLine="1200" w:firstLine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各驻村工作队</w:t>
            </w:r>
          </w:p>
          <w:p>
            <w:pPr>
              <w:pStyle w:val="6"/>
              <w:keepNext w:val="0"/>
              <w:keepLines w:val="0"/>
              <w:pageBreakBefore w:val="0"/>
              <w:widowControl w:val="0"/>
              <w:tabs>
                <w:tab w:val="left" w:pos="1211"/>
              </w:tabs>
              <w:kinsoku/>
              <w:wordWrap/>
              <w:overflowPunct/>
              <w:topLinePunct w:val="0"/>
              <w:autoSpaceDE w:val="0"/>
              <w:autoSpaceDN w:val="0"/>
              <w:bidi w:val="0"/>
              <w:adjustRightInd/>
              <w:snapToGrid/>
              <w:spacing w:line="400" w:lineRule="exact"/>
              <w:ind w:left="-140" w:right="157"/>
              <w:jc w:val="center"/>
              <w:textAlignment w:val="auto"/>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62" w:line="400" w:lineRule="exact"/>
        <w:ind w:right="1012"/>
        <w:jc w:val="center"/>
        <w:textAlignment w:val="auto"/>
        <w:rPr>
          <w:rFonts w:hint="eastAsia" w:ascii="仿宋_GB2312" w:hAnsi="仿宋_GB2312" w:eastAsia="仿宋_GB2312" w:cs="仿宋_GB2312"/>
          <w:sz w:val="24"/>
          <w:szCs w:val="24"/>
        </w:rPr>
        <w:sectPr>
          <w:type w:val="continuous"/>
          <w:pgSz w:w="16840" w:h="11900" w:orient="landscape"/>
          <w:pgMar w:top="1600" w:right="720" w:bottom="280" w:left="720" w:header="720" w:footer="720" w:gutter="0"/>
          <w:cols w:space="720" w:num="1"/>
        </w:sectPr>
      </w:pPr>
    </w:p>
    <w:tbl>
      <w:tblPr>
        <w:tblStyle w:val="4"/>
        <w:tblpPr w:leftFromText="180" w:rightFromText="180" w:vertAnchor="text" w:horzAnchor="page" w:tblpX="879" w:tblpY="249"/>
        <w:tblOverlap w:val="never"/>
        <w:tblW w:w="151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829"/>
        <w:gridCol w:w="1416"/>
        <w:gridCol w:w="9472"/>
        <w:gridCol w:w="2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 w:hRule="atLeast"/>
        </w:trPr>
        <w:tc>
          <w:tcPr>
            <w:tcW w:w="642" w:type="dxa"/>
            <w:vAlign w:val="top"/>
          </w:tcPr>
          <w:p>
            <w:pPr>
              <w:pStyle w:val="6"/>
              <w:keepNext w:val="0"/>
              <w:keepLines w:val="0"/>
              <w:pageBreakBefore w:val="0"/>
              <w:widowControl w:val="0"/>
              <w:kinsoku/>
              <w:wordWrap/>
              <w:overflowPunct/>
              <w:topLinePunct w:val="0"/>
              <w:autoSpaceDE w:val="0"/>
              <w:autoSpaceDN w:val="0"/>
              <w:bidi w:val="0"/>
              <w:adjustRightInd/>
              <w:snapToGrid/>
              <w:spacing w:before="154" w:line="400" w:lineRule="exact"/>
              <w:ind w:left="21" w:right="1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2245" w:type="dxa"/>
            <w:gridSpan w:val="2"/>
            <w:vAlign w:val="top"/>
          </w:tcPr>
          <w:p>
            <w:pPr>
              <w:pStyle w:val="6"/>
              <w:keepNext w:val="0"/>
              <w:keepLines w:val="0"/>
              <w:pageBreakBefore w:val="0"/>
              <w:widowControl w:val="0"/>
              <w:kinsoku/>
              <w:wordWrap/>
              <w:overflowPunct/>
              <w:topLinePunct w:val="0"/>
              <w:autoSpaceDE w:val="0"/>
              <w:autoSpaceDN w:val="0"/>
              <w:bidi w:val="0"/>
              <w:adjustRightInd/>
              <w:snapToGrid/>
              <w:spacing w:before="126" w:line="400" w:lineRule="exact"/>
              <w:ind w:left="512"/>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重点任务</w:t>
            </w:r>
          </w:p>
        </w:tc>
        <w:tc>
          <w:tcPr>
            <w:tcW w:w="9472" w:type="dxa"/>
            <w:vAlign w:val="top"/>
          </w:tcPr>
          <w:p>
            <w:pPr>
              <w:pStyle w:val="6"/>
              <w:keepNext w:val="0"/>
              <w:keepLines w:val="0"/>
              <w:pageBreakBefore w:val="0"/>
              <w:widowControl w:val="0"/>
              <w:kinsoku/>
              <w:wordWrap/>
              <w:overflowPunct/>
              <w:topLinePunct w:val="0"/>
              <w:autoSpaceDE w:val="0"/>
              <w:autoSpaceDN w:val="0"/>
              <w:bidi w:val="0"/>
              <w:adjustRightInd/>
              <w:snapToGrid/>
              <w:spacing w:before="126" w:line="400" w:lineRule="exact"/>
              <w:ind w:left="4031" w:right="4024"/>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工作内容</w:t>
            </w:r>
          </w:p>
        </w:tc>
        <w:tc>
          <w:tcPr>
            <w:tcW w:w="2760" w:type="dxa"/>
            <w:vAlign w:val="top"/>
          </w:tcPr>
          <w:p>
            <w:pPr>
              <w:pStyle w:val="6"/>
              <w:keepNext w:val="0"/>
              <w:keepLines w:val="0"/>
              <w:pageBreakBefore w:val="0"/>
              <w:widowControl w:val="0"/>
              <w:kinsoku/>
              <w:wordWrap/>
              <w:overflowPunct/>
              <w:topLinePunct w:val="0"/>
              <w:autoSpaceDE w:val="0"/>
              <w:autoSpaceDN w:val="0"/>
              <w:bidi w:val="0"/>
              <w:adjustRightInd/>
              <w:snapToGrid/>
              <w:spacing w:before="126" w:line="400" w:lineRule="exact"/>
              <w:ind w:left="767"/>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642" w:type="dxa"/>
            <w:vMerge w:val="restart"/>
            <w:vAlign w:val="top"/>
          </w:tcPr>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177" w:line="400" w:lineRule="exact"/>
              <w:ind w:left="6"/>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29" w:type="dxa"/>
            <w:vMerge w:val="restart"/>
            <w:vAlign w:val="top"/>
          </w:tcPr>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8" w:line="400" w:lineRule="exact"/>
              <w:jc w:val="both"/>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ind w:left="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八清</w:t>
            </w:r>
          </w:p>
        </w:tc>
        <w:tc>
          <w:tcPr>
            <w:tcW w:w="1416" w:type="dxa"/>
            <w:vAlign w:val="top"/>
          </w:tcPr>
          <w:p>
            <w:pPr>
              <w:pStyle w:val="6"/>
              <w:keepNext w:val="0"/>
              <w:keepLines w:val="0"/>
              <w:pageBreakBefore w:val="0"/>
              <w:widowControl w:val="0"/>
              <w:kinsoku/>
              <w:wordWrap/>
              <w:overflowPunct/>
              <w:topLinePunct w:val="0"/>
              <w:autoSpaceDE w:val="0"/>
              <w:autoSpaceDN w:val="0"/>
              <w:bidi w:val="0"/>
              <w:adjustRightInd/>
              <w:snapToGrid/>
              <w:spacing w:before="19" w:line="400" w:lineRule="exact"/>
              <w:ind w:left="346" w:right="100" w:hanging="24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清理乱堆放乱搭建</w:t>
            </w:r>
          </w:p>
        </w:tc>
        <w:tc>
          <w:tcPr>
            <w:tcW w:w="9472" w:type="dxa"/>
            <w:vAlign w:val="top"/>
          </w:tcPr>
          <w:p>
            <w:pPr>
              <w:pStyle w:val="6"/>
              <w:keepNext w:val="0"/>
              <w:keepLines w:val="0"/>
              <w:pageBreakBefore w:val="0"/>
              <w:widowControl w:val="0"/>
              <w:kinsoku/>
              <w:wordWrap/>
              <w:overflowPunct/>
              <w:topLinePunct w:val="0"/>
              <w:autoSpaceDE w:val="0"/>
              <w:autoSpaceDN w:val="0"/>
              <w:bidi w:val="0"/>
              <w:adjustRightInd/>
              <w:snapToGrid/>
              <w:spacing w:before="19" w:line="400" w:lineRule="exact"/>
              <w:ind w:left="15" w:firstLine="48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及时清理农户房前屋后和村内巷道杂物、建筑垃圾；对未批先建、乱搭乱建的予以拆除，提升村容村貌。</w:t>
            </w:r>
          </w:p>
        </w:tc>
        <w:tc>
          <w:tcPr>
            <w:tcW w:w="2760" w:type="dxa"/>
            <w:vAlign w:val="top"/>
          </w:tcPr>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责任单位：各村村委会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642"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tc>
        <w:tc>
          <w:tcPr>
            <w:tcW w:w="829"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tc>
        <w:tc>
          <w:tcPr>
            <w:tcW w:w="1416" w:type="dxa"/>
            <w:vAlign w:val="top"/>
          </w:tcPr>
          <w:p>
            <w:pPr>
              <w:pStyle w:val="6"/>
              <w:keepNext w:val="0"/>
              <w:keepLines w:val="0"/>
              <w:pageBreakBefore w:val="0"/>
              <w:widowControl w:val="0"/>
              <w:kinsoku/>
              <w:wordWrap/>
              <w:overflowPunct/>
              <w:topLinePunct w:val="0"/>
              <w:autoSpaceDE w:val="0"/>
              <w:autoSpaceDN w:val="0"/>
              <w:bidi w:val="0"/>
              <w:adjustRightInd/>
              <w:snapToGrid/>
              <w:spacing w:before="141" w:line="400" w:lineRule="exact"/>
              <w:ind w:left="106" w:right="1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清理废弃房</w:t>
            </w:r>
            <w:r>
              <w:rPr>
                <w:rFonts w:hint="eastAsia" w:ascii="仿宋_GB2312" w:hAnsi="仿宋_GB2312" w:eastAsia="仿宋_GB2312" w:cs="仿宋_GB2312"/>
                <w:sz w:val="24"/>
                <w:szCs w:val="24"/>
              </w:rPr>
              <w:t>屋和残垣 断壁</w:t>
            </w:r>
          </w:p>
        </w:tc>
        <w:tc>
          <w:tcPr>
            <w:tcW w:w="9472" w:type="dxa"/>
            <w:vAlign w:val="top"/>
          </w:tcPr>
          <w:p>
            <w:pPr>
              <w:pStyle w:val="6"/>
              <w:keepNext w:val="0"/>
              <w:keepLines w:val="0"/>
              <w:pageBreakBefore w:val="0"/>
              <w:widowControl w:val="0"/>
              <w:kinsoku/>
              <w:wordWrap/>
              <w:overflowPunct/>
              <w:topLinePunct w:val="0"/>
              <w:autoSpaceDE w:val="0"/>
              <w:autoSpaceDN w:val="0"/>
              <w:bidi w:val="0"/>
              <w:adjustRightInd/>
              <w:snapToGrid/>
              <w:spacing w:before="21" w:line="400" w:lineRule="exact"/>
              <w:ind w:left="15" w:right="5" w:firstLine="48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严格落实旧宅基地腾退政策，对无人居住、无人修缮的废弃房屋及残垣断壁，做到应</w:t>
            </w:r>
            <w:r>
              <w:rPr>
                <w:rFonts w:hint="eastAsia" w:ascii="仿宋_GB2312" w:hAnsi="仿宋_GB2312" w:eastAsia="仿宋_GB2312" w:cs="仿宋_GB2312"/>
                <w:spacing w:val="-8"/>
                <w:sz w:val="24"/>
                <w:szCs w:val="24"/>
              </w:rPr>
              <w:t xml:space="preserve">退尽退，应拆尽拆，完成年度 </w:t>
            </w:r>
            <w:r>
              <w:rPr>
                <w:rFonts w:hint="eastAsia" w:ascii="仿宋_GB2312" w:hAnsi="仿宋_GB2312" w:eastAsia="仿宋_GB2312" w:cs="仿宋_GB2312"/>
                <w:sz w:val="24"/>
                <w:szCs w:val="24"/>
              </w:rPr>
              <w:t>1000</w:t>
            </w:r>
            <w:r>
              <w:rPr>
                <w:rFonts w:hint="eastAsia" w:ascii="仿宋_GB2312" w:hAnsi="仿宋_GB2312" w:eastAsia="仿宋_GB2312" w:cs="仿宋_GB2312"/>
                <w:spacing w:val="-9"/>
                <w:sz w:val="24"/>
                <w:szCs w:val="24"/>
              </w:rPr>
              <w:t xml:space="preserve"> 亩旧宅腾退任务；加快农村危房改造，严格控制新建</w:t>
            </w:r>
            <w:r>
              <w:rPr>
                <w:rFonts w:hint="eastAsia" w:ascii="仿宋_GB2312" w:hAnsi="仿宋_GB2312" w:eastAsia="仿宋_GB2312" w:cs="仿宋_GB2312"/>
                <w:spacing w:val="-3"/>
                <w:sz w:val="24"/>
                <w:szCs w:val="24"/>
              </w:rPr>
              <w:t>房屋审批及管理，注重保持村庄建筑结构完整，村容村貌整洁有序；加快实施农村电网改</w:t>
            </w:r>
          </w:p>
          <w:p>
            <w:pPr>
              <w:pStyle w:val="6"/>
              <w:keepNext w:val="0"/>
              <w:keepLines w:val="0"/>
              <w:pageBreakBefore w:val="0"/>
              <w:widowControl w:val="0"/>
              <w:kinsoku/>
              <w:wordWrap/>
              <w:overflowPunct/>
              <w:topLinePunct w:val="0"/>
              <w:autoSpaceDE w:val="0"/>
              <w:autoSpaceDN w:val="0"/>
              <w:bidi w:val="0"/>
              <w:adjustRightInd/>
              <w:snapToGrid/>
              <w:spacing w:before="1" w:line="400" w:lineRule="exact"/>
              <w:ind w:left="1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造工程，实现农村电力入户全覆盖。</w:t>
            </w:r>
          </w:p>
        </w:tc>
        <w:tc>
          <w:tcPr>
            <w:tcW w:w="2760" w:type="dxa"/>
            <w:vAlign w:val="top"/>
          </w:tcPr>
          <w:p>
            <w:pPr>
              <w:pStyle w:val="6"/>
              <w:keepNext w:val="0"/>
              <w:keepLines w:val="0"/>
              <w:pageBreakBefore w:val="0"/>
              <w:widowControl w:val="0"/>
              <w:kinsoku/>
              <w:wordWrap/>
              <w:overflowPunct/>
              <w:topLinePunct w:val="0"/>
              <w:autoSpaceDE w:val="0"/>
              <w:autoSpaceDN w:val="0"/>
              <w:bidi w:val="0"/>
              <w:adjustRightInd/>
              <w:snapToGrid/>
              <w:spacing w:before="14" w:line="400" w:lineRule="exact"/>
              <w:ind w:right="157"/>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责任单位：镇国土所</w:t>
            </w:r>
          </w:p>
          <w:p>
            <w:pPr>
              <w:pStyle w:val="6"/>
              <w:keepNext w:val="0"/>
              <w:keepLines w:val="0"/>
              <w:pageBreakBefore w:val="0"/>
              <w:widowControl w:val="0"/>
              <w:kinsoku/>
              <w:wordWrap/>
              <w:overflowPunct/>
              <w:topLinePunct w:val="0"/>
              <w:autoSpaceDE w:val="0"/>
              <w:autoSpaceDN w:val="0"/>
              <w:bidi w:val="0"/>
              <w:adjustRightInd/>
              <w:snapToGrid/>
              <w:spacing w:before="14" w:line="400" w:lineRule="exact"/>
              <w:ind w:right="157"/>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14" w:line="400" w:lineRule="exact"/>
              <w:ind w:left="1200" w:right="157" w:hanging="1200" w:hanging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镇公用事业服务站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6" w:hRule="atLeast"/>
        </w:trPr>
        <w:tc>
          <w:tcPr>
            <w:tcW w:w="642"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tc>
        <w:tc>
          <w:tcPr>
            <w:tcW w:w="829"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tc>
        <w:tc>
          <w:tcPr>
            <w:tcW w:w="1416" w:type="dxa"/>
            <w:vAlign w:val="top"/>
          </w:tcPr>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172" w:line="400" w:lineRule="exact"/>
              <w:ind w:left="346" w:right="100" w:hanging="24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清理农村河道卫生</w:t>
            </w:r>
          </w:p>
        </w:tc>
        <w:tc>
          <w:tcPr>
            <w:tcW w:w="9472" w:type="dxa"/>
            <w:vAlign w:val="top"/>
          </w:tcPr>
          <w:p>
            <w:pPr>
              <w:pStyle w:val="6"/>
              <w:keepNext w:val="0"/>
              <w:keepLines w:val="0"/>
              <w:pageBreakBefore w:val="0"/>
              <w:widowControl w:val="0"/>
              <w:kinsoku/>
              <w:wordWrap/>
              <w:overflowPunct/>
              <w:topLinePunct w:val="0"/>
              <w:autoSpaceDE w:val="0"/>
              <w:autoSpaceDN w:val="0"/>
              <w:bidi w:val="0"/>
              <w:adjustRightInd/>
              <w:snapToGrid/>
              <w:spacing w:before="21" w:line="400" w:lineRule="exact"/>
              <w:ind w:left="15" w:right="2" w:firstLine="48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加强镇污水处理设施建设和后续运维管理</w:t>
            </w:r>
            <w:r>
              <w:rPr>
                <w:rFonts w:hint="eastAsia" w:ascii="仿宋_GB2312" w:hAnsi="仿宋_GB2312" w:eastAsia="仿宋_GB2312" w:cs="仿宋_GB2312"/>
                <w:spacing w:val="-6"/>
                <w:sz w:val="24"/>
                <w:szCs w:val="24"/>
              </w:rPr>
              <w:t xml:space="preserve">；按照属地管理原则，全面落实 </w:t>
            </w:r>
            <w:r>
              <w:rPr>
                <w:rFonts w:hint="eastAsia" w:ascii="仿宋_GB2312" w:hAnsi="仿宋_GB2312" w:eastAsia="仿宋_GB2312" w:cs="仿宋_GB2312"/>
                <w:sz w:val="24"/>
                <w:szCs w:val="24"/>
              </w:rPr>
              <w:t>16</w:t>
            </w:r>
            <w:r>
              <w:rPr>
                <w:rFonts w:hint="eastAsia" w:ascii="仿宋_GB2312" w:hAnsi="仿宋_GB2312" w:eastAsia="仿宋_GB2312" w:cs="仿宋_GB2312"/>
                <w:spacing w:val="-21"/>
                <w:sz w:val="24"/>
                <w:szCs w:val="24"/>
              </w:rPr>
              <w:t xml:space="preserve"> 名“河</w:t>
            </w:r>
            <w:r>
              <w:rPr>
                <w:rFonts w:hint="eastAsia" w:ascii="仿宋_GB2312" w:hAnsi="仿宋_GB2312" w:eastAsia="仿宋_GB2312" w:cs="仿宋_GB2312"/>
                <w:sz w:val="24"/>
                <w:szCs w:val="24"/>
              </w:rPr>
              <w:t>（湖）</w:t>
            </w:r>
            <w:r>
              <w:rPr>
                <w:rFonts w:hint="eastAsia" w:ascii="仿宋_GB2312" w:hAnsi="仿宋_GB2312" w:eastAsia="仿宋_GB2312" w:cs="仿宋_GB2312"/>
                <w:spacing w:val="-1"/>
                <w:sz w:val="24"/>
                <w:szCs w:val="24"/>
              </w:rPr>
              <w:t>长”责任，及</w:t>
            </w:r>
            <w:r>
              <w:rPr>
                <w:rFonts w:hint="eastAsia" w:ascii="仿宋_GB2312" w:hAnsi="仿宋_GB2312" w:eastAsia="仿宋_GB2312" w:cs="仿宋_GB2312"/>
                <w:spacing w:val="-15"/>
                <w:sz w:val="24"/>
                <w:szCs w:val="24"/>
              </w:rPr>
              <w:t>时对辖区</w:t>
            </w:r>
            <w:r>
              <w:rPr>
                <w:rFonts w:hint="eastAsia" w:ascii="仿宋_GB2312" w:hAnsi="仿宋_GB2312" w:eastAsia="仿宋_GB2312" w:cs="仿宋_GB2312"/>
                <w:sz w:val="24"/>
                <w:szCs w:val="24"/>
              </w:rPr>
              <w:t>13</w:t>
            </w:r>
            <w:r>
              <w:rPr>
                <w:rFonts w:hint="eastAsia" w:ascii="仿宋_GB2312" w:hAnsi="仿宋_GB2312" w:eastAsia="仿宋_GB2312" w:cs="仿宋_GB2312"/>
                <w:spacing w:val="-10"/>
                <w:sz w:val="24"/>
                <w:szCs w:val="24"/>
              </w:rPr>
              <w:t>条河流沟溪废弃物、漂浮物、病死动物、河中障碍物、水体发黑变臭和沿岸</w:t>
            </w:r>
            <w:r>
              <w:rPr>
                <w:rFonts w:hint="eastAsia" w:ascii="仿宋_GB2312" w:hAnsi="仿宋_GB2312" w:eastAsia="仿宋_GB2312" w:cs="仿宋_GB2312"/>
                <w:sz w:val="24"/>
                <w:szCs w:val="24"/>
              </w:rPr>
              <w:t>垃圾进行清理整治，做到河面清洁、整洁。</w:t>
            </w:r>
          </w:p>
        </w:tc>
        <w:tc>
          <w:tcPr>
            <w:tcW w:w="2760" w:type="dxa"/>
            <w:vAlign w:val="top"/>
          </w:tcPr>
          <w:p>
            <w:pPr>
              <w:pStyle w:val="6"/>
              <w:keepNext w:val="0"/>
              <w:keepLines w:val="0"/>
              <w:pageBreakBefore w:val="0"/>
              <w:widowControl w:val="0"/>
              <w:kinsoku/>
              <w:wordWrap/>
              <w:overflowPunct/>
              <w:topLinePunct w:val="0"/>
              <w:autoSpaceDE w:val="0"/>
              <w:autoSpaceDN w:val="0"/>
              <w:bidi w:val="0"/>
              <w:adjustRightInd/>
              <w:snapToGrid/>
              <w:spacing w:before="53" w:line="400" w:lineRule="exact"/>
              <w:ind w:left="1211" w:leftChars="5" w:right="157" w:hanging="1200" w:hanging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责任单位：镇“河（湖）长”办公室</w:t>
            </w:r>
          </w:p>
          <w:p>
            <w:pPr>
              <w:pStyle w:val="6"/>
              <w:keepNext w:val="0"/>
              <w:keepLines w:val="0"/>
              <w:pageBreakBefore w:val="0"/>
              <w:widowControl w:val="0"/>
              <w:kinsoku/>
              <w:wordWrap/>
              <w:overflowPunct/>
              <w:topLinePunct w:val="0"/>
              <w:autoSpaceDE w:val="0"/>
              <w:autoSpaceDN w:val="0"/>
              <w:bidi w:val="0"/>
              <w:adjustRightInd/>
              <w:snapToGrid/>
              <w:spacing w:line="400" w:lineRule="exact"/>
              <w:ind w:firstLine="1200" w:firstLine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各村村委会</w:t>
            </w:r>
          </w:p>
          <w:p>
            <w:pPr>
              <w:pStyle w:val="6"/>
              <w:keepNext w:val="0"/>
              <w:keepLines w:val="0"/>
              <w:pageBreakBefore w:val="0"/>
              <w:widowControl w:val="0"/>
              <w:kinsoku/>
              <w:wordWrap/>
              <w:overflowPunct/>
              <w:topLinePunct w:val="0"/>
              <w:autoSpaceDE w:val="0"/>
              <w:autoSpaceDN w:val="0"/>
              <w:bidi w:val="0"/>
              <w:adjustRightInd/>
              <w:snapToGrid/>
              <w:spacing w:before="53" w:line="400" w:lineRule="exact"/>
              <w:ind w:left="1211" w:right="157"/>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6" w:hRule="atLeast"/>
        </w:trPr>
        <w:tc>
          <w:tcPr>
            <w:tcW w:w="642"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tc>
        <w:tc>
          <w:tcPr>
            <w:tcW w:w="829" w:type="dxa"/>
            <w:vMerge w:val="continue"/>
            <w:tcBorders>
              <w:top w:val="nil"/>
            </w:tcBorders>
            <w:vAlign w:val="top"/>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tc>
        <w:tc>
          <w:tcPr>
            <w:tcW w:w="1416" w:type="dxa"/>
            <w:vAlign w:val="top"/>
          </w:tcPr>
          <w:p>
            <w:pPr>
              <w:pStyle w:val="6"/>
              <w:keepNext w:val="0"/>
              <w:keepLines w:val="0"/>
              <w:pageBreakBefore w:val="0"/>
              <w:widowControl w:val="0"/>
              <w:kinsoku/>
              <w:wordWrap/>
              <w:overflowPunct/>
              <w:topLinePunct w:val="0"/>
              <w:autoSpaceDE w:val="0"/>
              <w:autoSpaceDN w:val="0"/>
              <w:bidi w:val="0"/>
              <w:adjustRightInd/>
              <w:snapToGrid/>
              <w:spacing w:before="11"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ind w:left="106" w:right="1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清理农村道路沿线卫生</w:t>
            </w:r>
          </w:p>
        </w:tc>
        <w:tc>
          <w:tcPr>
            <w:tcW w:w="9472" w:type="dxa"/>
            <w:vAlign w:val="top"/>
          </w:tcPr>
          <w:p>
            <w:pPr>
              <w:pStyle w:val="6"/>
              <w:keepNext w:val="0"/>
              <w:keepLines w:val="0"/>
              <w:pageBreakBefore w:val="0"/>
              <w:widowControl w:val="0"/>
              <w:kinsoku/>
              <w:wordWrap/>
              <w:overflowPunct/>
              <w:topLinePunct w:val="0"/>
              <w:autoSpaceDE w:val="0"/>
              <w:autoSpaceDN w:val="0"/>
              <w:bidi w:val="0"/>
              <w:adjustRightInd/>
              <w:snapToGrid/>
              <w:spacing w:before="11" w:line="400" w:lineRule="exact"/>
              <w:ind w:right="117"/>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推进深度贫困村集中居住 30 户以上自然村通组路建设，加快入户道路建设，确保示</w:t>
            </w:r>
          </w:p>
          <w:p>
            <w:pPr>
              <w:pStyle w:val="6"/>
              <w:keepNext w:val="0"/>
              <w:keepLines w:val="0"/>
              <w:pageBreakBefore w:val="0"/>
              <w:widowControl w:val="0"/>
              <w:kinsoku/>
              <w:wordWrap/>
              <w:overflowPunct/>
              <w:topLinePunct w:val="0"/>
              <w:autoSpaceDE w:val="0"/>
              <w:autoSpaceDN w:val="0"/>
              <w:bidi w:val="0"/>
              <w:adjustRightInd/>
              <w:snapToGrid/>
              <w:spacing w:line="400" w:lineRule="exact"/>
              <w:ind w:right="57"/>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position w:val="1"/>
                <w:sz w:val="24"/>
                <w:szCs w:val="24"/>
              </w:rPr>
              <w:t>范村行政村主街道硬化率达到</w:t>
            </w:r>
            <w:r>
              <w:rPr>
                <w:rFonts w:hint="eastAsia" w:ascii="仿宋_GB2312" w:hAnsi="仿宋_GB2312" w:eastAsia="仿宋_GB2312" w:cs="仿宋_GB2312"/>
                <w:spacing w:val="-69"/>
                <w:position w:val="1"/>
                <w:sz w:val="24"/>
                <w:szCs w:val="24"/>
              </w:rPr>
              <w:t xml:space="preserve"> </w:t>
            </w:r>
            <w:r>
              <w:rPr>
                <w:rFonts w:hint="eastAsia" w:ascii="仿宋_GB2312" w:hAnsi="仿宋_GB2312" w:eastAsia="仿宋_GB2312" w:cs="仿宋_GB2312"/>
                <w:position w:val="1"/>
                <w:sz w:val="24"/>
                <w:szCs w:val="24"/>
              </w:rPr>
              <w:t>90</w:t>
            </w:r>
            <w:r>
              <w:rPr>
                <w:rFonts w:hint="eastAsia" w:ascii="仿宋_GB2312" w:hAnsi="仿宋_GB2312" w:eastAsia="仿宋_GB2312" w:cs="仿宋_GB2312"/>
                <w:spacing w:val="4"/>
                <w:sz w:val="24"/>
                <w:szCs w:val="24"/>
              </w:rPr>
              <w:drawing>
                <wp:inline distT="0" distB="0" distL="114300" distR="114300">
                  <wp:extent cx="66675" cy="117475"/>
                  <wp:effectExtent l="0" t="0" r="9525" b="158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
                          <a:stretch>
                            <a:fillRect/>
                          </a:stretch>
                        </pic:blipFill>
                        <pic:spPr>
                          <a:xfrm>
                            <a:off x="0" y="0"/>
                            <a:ext cx="66675" cy="117475"/>
                          </a:xfrm>
                          <a:prstGeom prst="rect">
                            <a:avLst/>
                          </a:prstGeom>
                          <a:noFill/>
                          <a:ln>
                            <a:noFill/>
                          </a:ln>
                        </pic:spPr>
                      </pic:pic>
                    </a:graphicData>
                  </a:graphic>
                </wp:inline>
              </w:drawing>
            </w:r>
            <w:r>
              <w:rPr>
                <w:rFonts w:hint="eastAsia" w:ascii="仿宋_GB2312" w:hAnsi="仿宋_GB2312" w:eastAsia="仿宋_GB2312" w:cs="仿宋_GB2312"/>
                <w:spacing w:val="-1"/>
                <w:position w:val="1"/>
                <w:sz w:val="24"/>
                <w:szCs w:val="24"/>
              </w:rPr>
              <w:t>；全面整治镇村道路占道施工、占道经营、车辆乱停</w:t>
            </w:r>
            <w:r>
              <w:rPr>
                <w:rFonts w:hint="eastAsia" w:ascii="仿宋_GB2312" w:hAnsi="仿宋_GB2312" w:eastAsia="仿宋_GB2312" w:cs="仿宋_GB2312"/>
                <w:position w:val="1"/>
                <w:sz w:val="24"/>
                <w:szCs w:val="24"/>
              </w:rPr>
              <w:t>乱</w:t>
            </w:r>
          </w:p>
          <w:p>
            <w:pPr>
              <w:pStyle w:val="6"/>
              <w:keepNext w:val="0"/>
              <w:keepLines w:val="0"/>
              <w:pageBreakBefore w:val="0"/>
              <w:widowControl w:val="0"/>
              <w:kinsoku/>
              <w:wordWrap/>
              <w:overflowPunct/>
              <w:topLinePunct w:val="0"/>
              <w:autoSpaceDE w:val="0"/>
              <w:autoSpaceDN w:val="0"/>
              <w:bidi w:val="0"/>
              <w:adjustRightInd/>
              <w:snapToGrid/>
              <w:spacing w:line="400" w:lineRule="exact"/>
              <w:ind w:right="117"/>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放等违法违规行为；加强农村</w:t>
            </w:r>
            <w:r>
              <w:rPr>
                <w:rFonts w:hint="eastAsia" w:ascii="仿宋_GB2312" w:hAnsi="仿宋_GB2312" w:eastAsia="仿宋_GB2312" w:cs="仿宋_GB2312"/>
                <w:sz w:val="24"/>
                <w:szCs w:val="24"/>
              </w:rPr>
              <w:t>50</w:t>
            </w:r>
            <w:r>
              <w:rPr>
                <w:rFonts w:hint="eastAsia" w:ascii="仿宋_GB2312" w:hAnsi="仿宋_GB2312" w:eastAsia="仿宋_GB2312" w:cs="仿宋_GB2312"/>
                <w:spacing w:val="-9"/>
                <w:sz w:val="24"/>
                <w:szCs w:val="24"/>
              </w:rPr>
              <w:t>公里道路养护，不断提高公路质量和服务水平，巩固</w:t>
            </w:r>
          </w:p>
          <w:p>
            <w:pPr>
              <w:pStyle w:val="6"/>
              <w:keepNext w:val="0"/>
              <w:keepLines w:val="0"/>
              <w:pageBreakBefore w:val="0"/>
              <w:widowControl w:val="0"/>
              <w:kinsoku/>
              <w:wordWrap/>
              <w:overflowPunct/>
              <w:topLinePunct w:val="0"/>
              <w:autoSpaceDE w:val="0"/>
              <w:autoSpaceDN w:val="0"/>
              <w:bidi w:val="0"/>
              <w:adjustRightInd/>
              <w:snapToGrid/>
              <w:spacing w:line="400" w:lineRule="exact"/>
              <w:ind w:left="15"/>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省级“四好农村路”示范县成果。</w:t>
            </w:r>
          </w:p>
        </w:tc>
        <w:tc>
          <w:tcPr>
            <w:tcW w:w="2760" w:type="dxa"/>
            <w:vAlign w:val="top"/>
          </w:tcPr>
          <w:p>
            <w:pPr>
              <w:pStyle w:val="6"/>
              <w:keepNext w:val="0"/>
              <w:keepLines w:val="0"/>
              <w:pageBreakBefore w:val="0"/>
              <w:widowControl w:val="0"/>
              <w:kinsoku/>
              <w:wordWrap/>
              <w:overflowPunct/>
              <w:topLinePunct w:val="0"/>
              <w:autoSpaceDE w:val="0"/>
              <w:autoSpaceDN w:val="0"/>
              <w:bidi w:val="0"/>
              <w:adjustRightInd/>
              <w:snapToGrid/>
              <w:spacing w:line="400" w:lineRule="exact"/>
              <w:ind w:left="1200" w:hanging="1200" w:hanging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责任单位：镇公用事业服务站</w:t>
            </w:r>
          </w:p>
          <w:p>
            <w:pPr>
              <w:pStyle w:val="6"/>
              <w:keepNext w:val="0"/>
              <w:keepLines w:val="0"/>
              <w:pageBreakBefore w:val="0"/>
              <w:widowControl w:val="0"/>
              <w:kinsoku/>
              <w:wordWrap/>
              <w:overflowPunct/>
              <w:topLinePunct w:val="0"/>
              <w:autoSpaceDE w:val="0"/>
              <w:autoSpaceDN w:val="0"/>
              <w:bidi w:val="0"/>
              <w:adjustRightInd/>
              <w:snapToGrid/>
              <w:spacing w:line="400" w:lineRule="exact"/>
              <w:ind w:firstLine="1200" w:firstLine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各村村委会</w:t>
            </w:r>
          </w:p>
          <w:p>
            <w:pPr>
              <w:pStyle w:val="6"/>
              <w:keepNext w:val="0"/>
              <w:keepLines w:val="0"/>
              <w:pageBreakBefore w:val="0"/>
              <w:widowControl w:val="0"/>
              <w:kinsoku/>
              <w:wordWrap/>
              <w:overflowPunct/>
              <w:topLinePunct w:val="0"/>
              <w:autoSpaceDE w:val="0"/>
              <w:autoSpaceDN w:val="0"/>
              <w:bidi w:val="0"/>
              <w:adjustRightInd/>
              <w:snapToGrid/>
              <w:spacing w:before="53" w:line="400" w:lineRule="exact"/>
              <w:ind w:left="1200" w:hanging="1200" w:hangingChars="500"/>
              <w:jc w:val="center"/>
              <w:textAlignment w:val="auto"/>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6" w:hRule="atLeast"/>
        </w:trPr>
        <w:tc>
          <w:tcPr>
            <w:tcW w:w="642" w:type="dxa"/>
            <w:vAlign w:val="top"/>
          </w:tcPr>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7"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ind w:left="6"/>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29" w:type="dxa"/>
            <w:vAlign w:val="top"/>
          </w:tcPr>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5"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ind w:left="62" w:right="59"/>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一改</w:t>
            </w:r>
          </w:p>
        </w:tc>
        <w:tc>
          <w:tcPr>
            <w:tcW w:w="1416" w:type="dxa"/>
            <w:vAlign w:val="top"/>
          </w:tcPr>
          <w:p>
            <w:pPr>
              <w:pStyle w:val="6"/>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6" w:line="400" w:lineRule="exact"/>
              <w:jc w:val="left"/>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ind w:left="106" w:right="1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改变影响农村人居环境不良习惯</w:t>
            </w:r>
          </w:p>
        </w:tc>
        <w:tc>
          <w:tcPr>
            <w:tcW w:w="9472" w:type="dxa"/>
            <w:vAlign w:val="top"/>
          </w:tcPr>
          <w:p>
            <w:pPr>
              <w:pStyle w:val="6"/>
              <w:keepNext w:val="0"/>
              <w:keepLines w:val="0"/>
              <w:pageBreakBefore w:val="0"/>
              <w:widowControl w:val="0"/>
              <w:kinsoku/>
              <w:wordWrap/>
              <w:overflowPunct/>
              <w:topLinePunct w:val="0"/>
              <w:autoSpaceDE w:val="0"/>
              <w:autoSpaceDN w:val="0"/>
              <w:bidi w:val="0"/>
              <w:adjustRightInd/>
              <w:snapToGrid/>
              <w:spacing w:before="5"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1" w:line="400" w:lineRule="exact"/>
              <w:ind w:left="14" w:right="5" w:firstLine="48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3"/>
                <w:sz w:val="24"/>
                <w:szCs w:val="24"/>
              </w:rPr>
              <w:t>加强村庄规划工作，加快推进城乡规划、土地利用规划等多规合一，进一步完善县镇建设规划修编工作。健全完善房屋建设和管护机制。加强宣传教育工作，提高村民清洁卫生意识；制定村规民约，开展村民自治与法治、德治相结合的社会治理工作，引导群众树立正确的社会观、道德观、法纪观，养成良好的生活习惯。</w:t>
            </w:r>
          </w:p>
        </w:tc>
        <w:tc>
          <w:tcPr>
            <w:tcW w:w="2760" w:type="dxa"/>
            <w:vAlign w:val="top"/>
          </w:tcPr>
          <w:p>
            <w:pPr>
              <w:pStyle w:val="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ind w:left="1200" w:hanging="1200" w:hanging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责任单位：镇国土所</w:t>
            </w:r>
          </w:p>
          <w:p>
            <w:pPr>
              <w:pStyle w:val="6"/>
              <w:keepNext w:val="0"/>
              <w:keepLines w:val="0"/>
              <w:pageBreakBefore w:val="0"/>
              <w:widowControl w:val="0"/>
              <w:kinsoku/>
              <w:wordWrap/>
              <w:overflowPunct/>
              <w:topLinePunct w:val="0"/>
              <w:autoSpaceDE w:val="0"/>
              <w:autoSpaceDN w:val="0"/>
              <w:bidi w:val="0"/>
              <w:adjustRightInd/>
              <w:snapToGrid/>
              <w:spacing w:line="400" w:lineRule="exact"/>
              <w:ind w:firstLine="1200" w:firstLine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各村村委会</w:t>
            </w:r>
          </w:p>
          <w:p>
            <w:pPr>
              <w:pStyle w:val="6"/>
              <w:keepNext w:val="0"/>
              <w:keepLines w:val="0"/>
              <w:pageBreakBefore w:val="0"/>
              <w:widowControl w:val="0"/>
              <w:kinsoku/>
              <w:wordWrap/>
              <w:overflowPunct/>
              <w:topLinePunct w:val="0"/>
              <w:autoSpaceDE w:val="0"/>
              <w:autoSpaceDN w:val="0"/>
              <w:bidi w:val="0"/>
              <w:adjustRightInd/>
              <w:snapToGrid/>
              <w:spacing w:line="400" w:lineRule="exact"/>
              <w:ind w:firstLine="1200" w:firstLine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各驻村工作队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5" w:hRule="atLeast"/>
        </w:trPr>
        <w:tc>
          <w:tcPr>
            <w:tcW w:w="642" w:type="dxa"/>
            <w:vAlign w:val="top"/>
          </w:tcPr>
          <w:p>
            <w:pPr>
              <w:pStyle w:val="6"/>
              <w:keepNext w:val="0"/>
              <w:keepLines w:val="0"/>
              <w:pageBreakBefore w:val="0"/>
              <w:widowControl w:val="0"/>
              <w:kinsoku/>
              <w:wordWrap/>
              <w:overflowPunct/>
              <w:topLinePunct w:val="0"/>
              <w:autoSpaceDE w:val="0"/>
              <w:autoSpaceDN w:val="0"/>
              <w:bidi w:val="0"/>
              <w:adjustRightInd/>
              <w:snapToGrid/>
              <w:spacing w:before="1"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before="1" w:line="400" w:lineRule="exact"/>
              <w:ind w:left="6"/>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29" w:type="dxa"/>
            <w:vAlign w:val="top"/>
          </w:tcPr>
          <w:p>
            <w:pPr>
              <w:pStyle w:val="6"/>
              <w:keepNext w:val="0"/>
              <w:keepLines w:val="0"/>
              <w:pageBreakBefore w:val="0"/>
              <w:widowControl w:val="0"/>
              <w:kinsoku/>
              <w:wordWrap/>
              <w:overflowPunct/>
              <w:topLinePunct w:val="0"/>
              <w:autoSpaceDE w:val="0"/>
              <w:autoSpaceDN w:val="0"/>
              <w:bidi w:val="0"/>
              <w:adjustRightInd/>
              <w:snapToGrid/>
              <w:spacing w:before="12" w:line="400" w:lineRule="exact"/>
              <w:jc w:val="center"/>
              <w:textAlignment w:val="auto"/>
              <w:rPr>
                <w:rFonts w:hint="eastAsia" w:ascii="仿宋_GB2312" w:hAnsi="仿宋_GB2312" w:eastAsia="仿宋_GB2312" w:cs="仿宋_GB2312"/>
                <w:sz w:val="24"/>
                <w:szCs w:val="24"/>
              </w:rPr>
            </w:pPr>
          </w:p>
          <w:p>
            <w:pPr>
              <w:pStyle w:val="6"/>
              <w:keepNext w:val="0"/>
              <w:keepLines w:val="0"/>
              <w:pageBreakBefore w:val="0"/>
              <w:widowControl w:val="0"/>
              <w:kinsoku/>
              <w:wordWrap/>
              <w:overflowPunct/>
              <w:topLinePunct w:val="0"/>
              <w:autoSpaceDE w:val="0"/>
              <w:autoSpaceDN w:val="0"/>
              <w:bidi w:val="0"/>
              <w:adjustRightInd/>
              <w:snapToGrid/>
              <w:spacing w:line="400" w:lineRule="exact"/>
              <w:ind w:left="62" w:right="59"/>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w:t>
            </w:r>
            <w:r>
              <w:rPr>
                <w:rFonts w:hint="eastAsia" w:ascii="仿宋_GB2312" w:hAnsi="仿宋_GB2312" w:eastAsia="仿宋_GB2312" w:cs="仿宋_GB2312"/>
                <w:b/>
                <w:sz w:val="24"/>
                <w:szCs w:val="24"/>
                <w:lang w:eastAsia="zh-CN"/>
              </w:rPr>
              <w:t>绿</w:t>
            </w:r>
            <w:r>
              <w:rPr>
                <w:rFonts w:hint="eastAsia" w:ascii="仿宋_GB2312" w:hAnsi="仿宋_GB2312" w:eastAsia="仿宋_GB2312" w:cs="仿宋_GB2312"/>
                <w:b/>
                <w:sz w:val="24"/>
                <w:szCs w:val="24"/>
              </w:rPr>
              <w:t>化</w:t>
            </w:r>
          </w:p>
        </w:tc>
        <w:tc>
          <w:tcPr>
            <w:tcW w:w="1416" w:type="dxa"/>
            <w:vAlign w:val="top"/>
          </w:tcPr>
          <w:p>
            <w:pPr>
              <w:pStyle w:val="6"/>
              <w:keepNext w:val="0"/>
              <w:keepLines w:val="0"/>
              <w:pageBreakBefore w:val="0"/>
              <w:widowControl w:val="0"/>
              <w:kinsoku/>
              <w:wordWrap/>
              <w:overflowPunct/>
              <w:topLinePunct w:val="0"/>
              <w:autoSpaceDE w:val="0"/>
              <w:autoSpaceDN w:val="0"/>
              <w:bidi w:val="0"/>
              <w:adjustRightInd/>
              <w:snapToGrid/>
              <w:spacing w:before="165" w:line="400" w:lineRule="exact"/>
              <w:ind w:left="346" w:right="100" w:hanging="24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加快村庄绿化进程</w:t>
            </w:r>
          </w:p>
        </w:tc>
        <w:tc>
          <w:tcPr>
            <w:tcW w:w="9472" w:type="dxa"/>
            <w:vAlign w:val="top"/>
          </w:tcPr>
          <w:p>
            <w:pPr>
              <w:pStyle w:val="6"/>
              <w:keepNext w:val="0"/>
              <w:keepLines w:val="0"/>
              <w:pageBreakBefore w:val="0"/>
              <w:widowControl w:val="0"/>
              <w:kinsoku/>
              <w:wordWrap/>
              <w:overflowPunct/>
              <w:topLinePunct w:val="0"/>
              <w:autoSpaceDE w:val="0"/>
              <w:autoSpaceDN w:val="0"/>
              <w:bidi w:val="0"/>
              <w:adjustRightInd/>
              <w:snapToGrid/>
              <w:spacing w:before="11" w:line="400" w:lineRule="exact"/>
              <w:ind w:left="15" w:right="-15" w:firstLine="48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以乡村绿化重点，充分利用村庄内外、房前屋后、河道周边、道路沿线及移民搬迁安置点，有规划实施绿化，加快农田防护林建设， 建设绿色生态村庄。</w:t>
            </w:r>
          </w:p>
        </w:tc>
        <w:tc>
          <w:tcPr>
            <w:tcW w:w="2760" w:type="dxa"/>
            <w:vAlign w:val="top"/>
          </w:tcPr>
          <w:p>
            <w:pPr>
              <w:pStyle w:val="6"/>
              <w:keepNext w:val="0"/>
              <w:keepLines w:val="0"/>
              <w:pageBreakBefore w:val="0"/>
              <w:widowControl w:val="0"/>
              <w:kinsoku/>
              <w:wordWrap/>
              <w:overflowPunct/>
              <w:topLinePunct w:val="0"/>
              <w:autoSpaceDE w:val="0"/>
              <w:autoSpaceDN w:val="0"/>
              <w:bidi w:val="0"/>
              <w:adjustRightInd/>
              <w:snapToGrid/>
              <w:spacing w:line="400" w:lineRule="exact"/>
              <w:ind w:left="1211" w:leftChars="5" w:hanging="1200" w:hanging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责任单位：镇农业综合服务站</w:t>
            </w:r>
          </w:p>
          <w:p>
            <w:pPr>
              <w:pStyle w:val="6"/>
              <w:keepNext w:val="0"/>
              <w:keepLines w:val="0"/>
              <w:pageBreakBefore w:val="0"/>
              <w:widowControl w:val="0"/>
              <w:kinsoku/>
              <w:wordWrap/>
              <w:overflowPunct/>
              <w:topLinePunct w:val="0"/>
              <w:autoSpaceDE w:val="0"/>
              <w:autoSpaceDN w:val="0"/>
              <w:bidi w:val="0"/>
              <w:adjustRightInd/>
              <w:snapToGrid/>
              <w:spacing w:line="400" w:lineRule="exact"/>
              <w:ind w:firstLine="1200" w:firstLineChars="50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各村村委会</w:t>
            </w:r>
          </w:p>
          <w:p>
            <w:pPr>
              <w:pStyle w:val="6"/>
              <w:keepNext w:val="0"/>
              <w:keepLines w:val="0"/>
              <w:pageBreakBefore w:val="0"/>
              <w:widowControl w:val="0"/>
              <w:kinsoku/>
              <w:wordWrap/>
              <w:overflowPunct/>
              <w:topLinePunct w:val="0"/>
              <w:autoSpaceDE w:val="0"/>
              <w:autoSpaceDN w:val="0"/>
              <w:bidi w:val="0"/>
              <w:adjustRightInd/>
              <w:snapToGrid/>
              <w:spacing w:before="11" w:line="400" w:lineRule="exact"/>
              <w:jc w:val="righ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各驻村工</w:t>
            </w:r>
            <w:r>
              <w:rPr>
                <w:rFonts w:hint="eastAsia" w:ascii="仿宋_GB2312" w:hAnsi="仿宋_GB2312" w:eastAsia="仿宋_GB2312" w:cs="仿宋_GB2312"/>
                <w:sz w:val="24"/>
                <w:szCs w:val="24"/>
                <w:lang w:eastAsia="zh-CN"/>
              </w:rPr>
              <w:t>工作队</w:t>
            </w:r>
          </w:p>
        </w:tc>
      </w:tr>
    </w:tbl>
    <w:p>
      <w:pPr>
        <w:rPr>
          <w:rFonts w:hint="eastAsia" w:ascii="仿宋_GB2312" w:hAnsi="仿宋_GB2312" w:eastAsia="仿宋_GB2312" w:cs="仿宋_GB2312"/>
          <w:sz w:val="32"/>
          <w:szCs w:val="32"/>
          <w:lang w:eastAsia="zh-CN"/>
        </w:rPr>
      </w:pP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27A3A"/>
    <w:rsid w:val="004B3686"/>
    <w:rsid w:val="01B27A3A"/>
    <w:rsid w:val="0A3550E3"/>
    <w:rsid w:val="2A630DE3"/>
    <w:rsid w:val="5C215E7C"/>
    <w:rsid w:val="6514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672"/>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customStyle="1" w:styleId="6">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2019-10-22T02:52:00Z</dcterms:created>
  <dc:creator>hi</dc:creator>
  <cp:lastModifiedBy>Administrator</cp:lastModifiedBy>
  <cp:lastPrinted>2019-10-23T05:39:00Z</cp:lastPrinted>
  <dcterms:modified xsi:type="dcterms:W3CDTF">2019-10-26T11:58:03Z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