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4" w:lineRule="exact"/>
        <w:jc w:val="center"/>
        <w:rPr>
          <w:rFonts w:hint="eastAsia" w:ascii="方正小标宋简体" w:eastAsia="方正小标宋简体"/>
        </w:rPr>
      </w:pPr>
      <w:r>
        <w:rPr>
          <w:rFonts w:hint="eastAsia" w:ascii="方正小标宋简体" w:hAnsi="宋体" w:eastAsia="方正小标宋简体" w:cs="宋体"/>
          <w:kern w:val="0"/>
          <w:sz w:val="44"/>
          <w:szCs w:val="44"/>
        </w:rPr>
        <w:t>石泉县司法局</w:t>
      </w:r>
      <w:r>
        <w:rPr>
          <w:rFonts w:hint="eastAsia" w:ascii="方正小标宋简体" w:hAnsi="宋体" w:eastAsia="方正小标宋简体" w:cs="宋体"/>
          <w:kern w:val="0"/>
          <w:sz w:val="44"/>
          <w:szCs w:val="44"/>
          <w:lang w:val="en-US" w:eastAsia="zh-CN"/>
        </w:rPr>
        <w:t>建设更高水平平安石泉</w:t>
      </w:r>
      <w:r>
        <w:rPr>
          <w:rFonts w:hint="eastAsia" w:ascii="方正小标宋简体" w:hAnsi="宋体" w:eastAsia="方正小标宋简体" w:cs="宋体"/>
          <w:kern w:val="0"/>
          <w:sz w:val="44"/>
          <w:szCs w:val="44"/>
        </w:rPr>
        <w:t>工作任务清单</w:t>
      </w:r>
    </w:p>
    <w:tbl>
      <w:tblPr>
        <w:tblStyle w:val="2"/>
        <w:tblpPr w:leftFromText="180" w:rightFromText="180" w:vertAnchor="text" w:horzAnchor="page" w:tblpX="1040" w:tblpY="714"/>
        <w:tblOverlap w:val="never"/>
        <w:tblW w:w="13933" w:type="dxa"/>
        <w:tblInd w:w="0" w:type="dxa"/>
        <w:tblLayout w:type="fixed"/>
        <w:tblCellMar>
          <w:top w:w="0" w:type="dxa"/>
          <w:left w:w="34" w:type="dxa"/>
          <w:bottom w:w="0" w:type="dxa"/>
          <w:right w:w="34" w:type="dxa"/>
        </w:tblCellMar>
      </w:tblPr>
      <w:tblGrid>
        <w:gridCol w:w="662"/>
        <w:gridCol w:w="2506"/>
        <w:gridCol w:w="6991"/>
        <w:gridCol w:w="1211"/>
        <w:gridCol w:w="1010"/>
        <w:gridCol w:w="1553"/>
      </w:tblGrid>
      <w:tr>
        <w:tblPrEx>
          <w:tblLayout w:type="fixed"/>
          <w:tblCellMar>
            <w:top w:w="0" w:type="dxa"/>
            <w:left w:w="34" w:type="dxa"/>
            <w:bottom w:w="0" w:type="dxa"/>
            <w:right w:w="34" w:type="dxa"/>
          </w:tblCellMar>
        </w:tblPrEx>
        <w:trPr>
          <w:trHeight w:val="642"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949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主要工作内容</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责任股室</w:t>
            </w:r>
          </w:p>
        </w:tc>
        <w:tc>
          <w:tcPr>
            <w:tcW w:w="10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责任人</w:t>
            </w:r>
          </w:p>
        </w:tc>
        <w:tc>
          <w:tcPr>
            <w:tcW w:w="15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完成时限</w:t>
            </w:r>
          </w:p>
        </w:tc>
      </w:tr>
      <w:tr>
        <w:tblPrEx>
          <w:tblLayout w:type="fixed"/>
          <w:tblCellMar>
            <w:top w:w="0" w:type="dxa"/>
            <w:left w:w="34" w:type="dxa"/>
            <w:bottom w:w="0" w:type="dxa"/>
            <w:right w:w="34" w:type="dxa"/>
          </w:tblCellMar>
        </w:tblPrEx>
        <w:trPr>
          <w:trHeight w:val="1213" w:hRule="atLeast"/>
        </w:trPr>
        <w:tc>
          <w:tcPr>
            <w:tcW w:w="662" w:type="dxa"/>
            <w:vMerge w:val="restart"/>
            <w:tcBorders>
              <w:top w:val="nil"/>
              <w:left w:val="single" w:color="auto" w:sz="4" w:space="0"/>
              <w:right w:val="single" w:color="auto" w:sz="4" w:space="0"/>
            </w:tcBorders>
            <w:vAlign w:val="center"/>
          </w:tcPr>
          <w:p>
            <w:pPr>
              <w:widowControl/>
              <w:ind w:firstLine="240" w:firstLineChars="100"/>
              <w:jc w:val="both"/>
              <w:rPr>
                <w:rFonts w:hint="eastAsia" w:ascii="仿宋_GB2312" w:hAnsi="宋体" w:eastAsia="仿宋_GB2312" w:cs="宋体"/>
                <w:kern w:val="0"/>
                <w:sz w:val="24"/>
              </w:rPr>
            </w:pPr>
            <w:r>
              <w:rPr>
                <w:rFonts w:hint="eastAsia" w:ascii="仿宋_GB2312" w:hAnsi="宋体" w:eastAsia="仿宋_GB2312" w:cs="宋体"/>
                <w:kern w:val="0"/>
                <w:sz w:val="24"/>
              </w:rPr>
              <w:t>1</w:t>
            </w:r>
          </w:p>
          <w:p>
            <w:pPr>
              <w:widowControl/>
              <w:jc w:val="center"/>
              <w:rPr>
                <w:rFonts w:hint="eastAsia" w:ascii="仿宋_GB2312" w:hAnsi="宋体" w:eastAsia="仿宋_GB2312" w:cs="宋体"/>
                <w:kern w:val="0"/>
                <w:sz w:val="24"/>
              </w:rPr>
            </w:pPr>
          </w:p>
        </w:tc>
        <w:tc>
          <w:tcPr>
            <w:tcW w:w="2506" w:type="dxa"/>
            <w:vMerge w:val="restart"/>
            <w:tcBorders>
              <w:top w:val="nil"/>
              <w:left w:val="nil"/>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 w:hAnsi="仿宋" w:eastAsia="仿宋" w:cs="仿宋"/>
                <w:b/>
                <w:bCs/>
                <w:sz w:val="32"/>
                <w:szCs w:val="32"/>
                <w:lang w:val="en-US" w:eastAsia="zh-CN"/>
              </w:rPr>
              <w:t>夯实普法工作责任，</w:t>
            </w:r>
            <w:r>
              <w:rPr>
                <w:rFonts w:hint="eastAsia" w:ascii="仿宋" w:hAnsi="仿宋" w:eastAsia="仿宋" w:cs="仿宋"/>
                <w:b/>
                <w:bCs/>
                <w:sz w:val="32"/>
                <w:szCs w:val="32"/>
              </w:rPr>
              <w:t>提升全民法治素养</w:t>
            </w:r>
          </w:p>
        </w:tc>
        <w:tc>
          <w:tcPr>
            <w:tcW w:w="6991"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lang w:eastAsia="zh-CN"/>
              </w:rPr>
            </w:pPr>
            <w:r>
              <w:rPr>
                <w:rFonts w:hint="eastAsia" w:ascii="仿宋_GB2312" w:hAnsi="宋体" w:eastAsia="仿宋_GB2312" w:cs="宋体"/>
                <w:kern w:val="0"/>
                <w:sz w:val="24"/>
              </w:rPr>
              <w:t>加强《石泉县2019年普法依法治理工作要点》落实情况的督查检查，督促各单位按时开展法治宣传，进一步落实“谁执法谁普法”“谁服务谁普法”工作责任制</w:t>
            </w:r>
            <w:r>
              <w:rPr>
                <w:rFonts w:hint="eastAsia" w:ascii="仿宋_GB2312" w:hAnsi="宋体" w:eastAsia="仿宋_GB2312" w:cs="宋体"/>
                <w:kern w:val="0"/>
                <w:sz w:val="24"/>
                <w:lang w:eastAsia="zh-CN"/>
              </w:rPr>
              <w:t>。</w:t>
            </w:r>
          </w:p>
        </w:tc>
        <w:tc>
          <w:tcPr>
            <w:tcW w:w="121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法宣股</w:t>
            </w:r>
          </w:p>
        </w:tc>
        <w:tc>
          <w:tcPr>
            <w:tcW w:w="10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叶  丹</w:t>
            </w:r>
          </w:p>
        </w:tc>
        <w:tc>
          <w:tcPr>
            <w:tcW w:w="15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11月底并将长期开展</w:t>
            </w:r>
          </w:p>
        </w:tc>
      </w:tr>
      <w:tr>
        <w:tblPrEx>
          <w:tblLayout w:type="fixed"/>
          <w:tblCellMar>
            <w:top w:w="0" w:type="dxa"/>
            <w:left w:w="34" w:type="dxa"/>
            <w:bottom w:w="0" w:type="dxa"/>
            <w:right w:w="34" w:type="dxa"/>
          </w:tblCellMar>
        </w:tblPrEx>
        <w:trPr>
          <w:trHeight w:val="835" w:hRule="atLeast"/>
        </w:trPr>
        <w:tc>
          <w:tcPr>
            <w:tcW w:w="662"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506" w:type="dxa"/>
            <w:vMerge w:val="continue"/>
            <w:tcBorders>
              <w:left w:val="nil"/>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分利用“12.4”等重要时间节点，组织法律平安宣传进村、进社区、进机关、进企事业单位、进学校、进家庭“六进”活动，突出偏远村组的法治宣传，做到法治宣传全覆盖、无盲区。积极组织开展法治小戏、以案释法、法治电影等法治文化活动，每半年开展一次。</w:t>
            </w:r>
          </w:p>
        </w:tc>
        <w:tc>
          <w:tcPr>
            <w:tcW w:w="121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法宣股</w:t>
            </w:r>
          </w:p>
        </w:tc>
        <w:tc>
          <w:tcPr>
            <w:tcW w:w="10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叶  丹</w:t>
            </w:r>
          </w:p>
        </w:tc>
        <w:tc>
          <w:tcPr>
            <w:tcW w:w="15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12月底并将长期开展</w:t>
            </w:r>
          </w:p>
        </w:tc>
      </w:tr>
      <w:tr>
        <w:tblPrEx>
          <w:tblLayout w:type="fixed"/>
          <w:tblCellMar>
            <w:top w:w="0" w:type="dxa"/>
            <w:left w:w="34" w:type="dxa"/>
            <w:bottom w:w="0" w:type="dxa"/>
            <w:right w:w="34" w:type="dxa"/>
          </w:tblCellMar>
        </w:tblPrEx>
        <w:trPr>
          <w:trHeight w:val="810" w:hRule="atLeast"/>
        </w:trPr>
        <w:tc>
          <w:tcPr>
            <w:tcW w:w="662"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506" w:type="dxa"/>
            <w:vMerge w:val="continue"/>
            <w:tcBorders>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强化对民主法治示范村（社区）的创建工作的指导，严格标准，务实推进，争取市级创建率达80%，切实提升基层依法治理水平。</w:t>
            </w:r>
          </w:p>
        </w:tc>
        <w:tc>
          <w:tcPr>
            <w:tcW w:w="121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法宣股</w:t>
            </w:r>
          </w:p>
        </w:tc>
        <w:tc>
          <w:tcPr>
            <w:tcW w:w="10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叶  丹</w:t>
            </w:r>
          </w:p>
        </w:tc>
        <w:tc>
          <w:tcPr>
            <w:tcW w:w="15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10月底并将长期开展</w:t>
            </w:r>
          </w:p>
        </w:tc>
      </w:tr>
      <w:tr>
        <w:tblPrEx>
          <w:tblLayout w:type="fixed"/>
          <w:tblCellMar>
            <w:top w:w="0" w:type="dxa"/>
            <w:left w:w="34" w:type="dxa"/>
            <w:bottom w:w="0" w:type="dxa"/>
            <w:right w:w="34" w:type="dxa"/>
          </w:tblCellMar>
        </w:tblPrEx>
        <w:trPr>
          <w:trHeight w:val="1482" w:hRule="atLeast"/>
        </w:trPr>
        <w:tc>
          <w:tcPr>
            <w:tcW w:w="662" w:type="dxa"/>
            <w:vMerge w:val="restart"/>
            <w:tcBorders>
              <w:top w:val="nil"/>
              <w:left w:val="single" w:color="auto" w:sz="4" w:space="0"/>
              <w:right w:val="single" w:color="auto" w:sz="4" w:space="0"/>
            </w:tcBorders>
            <w:vAlign w:val="center"/>
          </w:tcPr>
          <w:p>
            <w:pPr>
              <w:widowControl/>
              <w:jc w:val="both"/>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c>
          <w:tcPr>
            <w:tcW w:w="2506" w:type="dxa"/>
            <w:vMerge w:val="restart"/>
            <w:tcBorders>
              <w:top w:val="nil"/>
              <w:left w:val="nil"/>
              <w:right w:val="single" w:color="auto" w:sz="4" w:space="0"/>
            </w:tcBorders>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推进便捷高效法律服务，便捷群众依法维权</w:t>
            </w:r>
          </w:p>
          <w:p>
            <w:pPr>
              <w:widowControl/>
              <w:rPr>
                <w:rFonts w:hint="eastAsia" w:ascii="仿宋_GB2312" w:hAnsi="宋体" w:eastAsia="仿宋_GB2312" w:cs="宋体"/>
                <w:kern w:val="0"/>
                <w:sz w:val="24"/>
              </w:rPr>
            </w:pPr>
          </w:p>
        </w:tc>
        <w:tc>
          <w:tcPr>
            <w:tcW w:w="6991"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进一步推广12348陕西法网，实现公共法律服务一点通；提升12348公共法律服务热线电话值守服务工作实现公共法律服务一线通；充分发挥县公共法律服务中心，镇公共法律服务工作站，村（社区）设公共法律服务室作用，就近为群众提供法律服务，实现公共法律服务一站通。</w:t>
            </w:r>
          </w:p>
        </w:tc>
        <w:tc>
          <w:tcPr>
            <w:tcW w:w="121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法律服务管理股</w:t>
            </w:r>
          </w:p>
        </w:tc>
        <w:tc>
          <w:tcPr>
            <w:tcW w:w="101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刘姿姿</w:t>
            </w:r>
          </w:p>
        </w:tc>
        <w:tc>
          <w:tcPr>
            <w:tcW w:w="15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10月底并长期开展</w:t>
            </w:r>
          </w:p>
        </w:tc>
      </w:tr>
      <w:tr>
        <w:tblPrEx>
          <w:tblLayout w:type="fixed"/>
          <w:tblCellMar>
            <w:top w:w="0" w:type="dxa"/>
            <w:left w:w="34" w:type="dxa"/>
            <w:bottom w:w="0" w:type="dxa"/>
            <w:right w:w="34" w:type="dxa"/>
          </w:tblCellMar>
        </w:tblPrEx>
        <w:trPr>
          <w:trHeight w:val="1320" w:hRule="atLeast"/>
        </w:trPr>
        <w:tc>
          <w:tcPr>
            <w:tcW w:w="662"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506" w:type="dxa"/>
            <w:vMerge w:val="continue"/>
            <w:tcBorders>
              <w:left w:val="nil"/>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完善</w:t>
            </w:r>
            <w:r>
              <w:rPr>
                <w:rFonts w:hint="eastAsia" w:ascii="仿宋_GB2312" w:hAnsi="宋体" w:eastAsia="仿宋_GB2312" w:cs="宋体"/>
                <w:kern w:val="0"/>
                <w:sz w:val="24"/>
                <w:lang w:val="en-US" w:eastAsia="zh-CN"/>
              </w:rPr>
              <w:t>村（居）法律顾问“五位一体”工作制度</w:t>
            </w:r>
            <w:r>
              <w:rPr>
                <w:rFonts w:hint="eastAsia" w:ascii="仿宋_GB2312" w:hAnsi="宋体" w:eastAsia="仿宋_GB2312" w:cs="宋体"/>
                <w:kern w:val="0"/>
                <w:sz w:val="24"/>
              </w:rPr>
              <w:t>，加强日常管理，村（社区）法律顾问群覆盖率达到100%，加大法律顾问工作督查指导力度，每半年至少开展一次实地督查，充分考核奖惩制度，提高法律顾问工作成效。</w:t>
            </w:r>
          </w:p>
        </w:tc>
        <w:tc>
          <w:tcPr>
            <w:tcW w:w="121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法律服务管理股</w:t>
            </w:r>
          </w:p>
        </w:tc>
        <w:tc>
          <w:tcPr>
            <w:tcW w:w="10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刘姿姿</w:t>
            </w:r>
          </w:p>
        </w:tc>
        <w:tc>
          <w:tcPr>
            <w:tcW w:w="15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11月底</w:t>
            </w:r>
          </w:p>
        </w:tc>
      </w:tr>
      <w:tr>
        <w:tblPrEx>
          <w:tblLayout w:type="fixed"/>
          <w:tblCellMar>
            <w:top w:w="0" w:type="dxa"/>
            <w:left w:w="34" w:type="dxa"/>
            <w:bottom w:w="0" w:type="dxa"/>
            <w:right w:w="34" w:type="dxa"/>
          </w:tblCellMar>
        </w:tblPrEx>
        <w:trPr>
          <w:trHeight w:val="241" w:hRule="atLeast"/>
        </w:trPr>
        <w:tc>
          <w:tcPr>
            <w:tcW w:w="662"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506" w:type="dxa"/>
            <w:vMerge w:val="continue"/>
            <w:tcBorders>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进一步扩大法律援助事项范围，对法律顾问为包抓村办理的法律援助案件可适当放宽经济困难标准和案件范围，以促进村（社区）社会稳定。</w:t>
            </w:r>
          </w:p>
        </w:tc>
        <w:tc>
          <w:tcPr>
            <w:tcW w:w="121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法律援助中心</w:t>
            </w:r>
          </w:p>
        </w:tc>
        <w:tc>
          <w:tcPr>
            <w:tcW w:w="10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刘姿姿</w:t>
            </w:r>
          </w:p>
        </w:tc>
        <w:tc>
          <w:tcPr>
            <w:tcW w:w="15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10月底</w:t>
            </w:r>
          </w:p>
        </w:tc>
      </w:tr>
      <w:tr>
        <w:tblPrEx>
          <w:tblLayout w:type="fixed"/>
          <w:tblCellMar>
            <w:top w:w="0" w:type="dxa"/>
            <w:left w:w="34" w:type="dxa"/>
            <w:bottom w:w="0" w:type="dxa"/>
            <w:right w:w="34" w:type="dxa"/>
          </w:tblCellMar>
        </w:tblPrEx>
        <w:trPr>
          <w:trHeight w:val="1440" w:hRule="atLeast"/>
        </w:trPr>
        <w:tc>
          <w:tcPr>
            <w:tcW w:w="662"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c>
          <w:tcPr>
            <w:tcW w:w="250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完善机制，</w:t>
            </w:r>
            <w:r>
              <w:rPr>
                <w:rFonts w:hint="eastAsia" w:ascii="仿宋" w:hAnsi="仿宋" w:eastAsia="仿宋" w:cs="仿宋"/>
                <w:b/>
                <w:bCs/>
                <w:sz w:val="32"/>
                <w:szCs w:val="32"/>
              </w:rPr>
              <w:t>筑牢化解社会矛盾纠纷的“第一道防线”</w:t>
            </w:r>
            <w:r>
              <w:rPr>
                <w:rFonts w:hint="eastAsia" w:ascii="仿宋" w:hAnsi="仿宋" w:eastAsia="仿宋" w:cs="仿宋"/>
                <w:b/>
                <w:bCs/>
                <w:sz w:val="32"/>
                <w:szCs w:val="32"/>
                <w:lang w:eastAsia="zh-CN"/>
              </w:rPr>
              <w:t>。</w:t>
            </w:r>
          </w:p>
          <w:p>
            <w:pPr>
              <w:widowControl/>
              <w:rPr>
                <w:rFonts w:hint="eastAsia" w:ascii="仿宋_GB2312" w:hAnsi="宋体" w:eastAsia="仿宋_GB2312" w:cs="宋体"/>
                <w:kern w:val="0"/>
                <w:sz w:val="24"/>
              </w:rPr>
            </w:pPr>
          </w:p>
          <w:p>
            <w:pPr>
              <w:widowControl/>
              <w:rPr>
                <w:rFonts w:hint="eastAsia" w:ascii="仿宋_GB2312" w:hAnsi="宋体" w:eastAsia="仿宋_GB2312" w:cs="宋体"/>
                <w:kern w:val="0"/>
                <w:sz w:val="24"/>
              </w:rPr>
            </w:pPr>
          </w:p>
        </w:tc>
        <w:tc>
          <w:tcPr>
            <w:tcW w:w="699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4"/>
                <w:lang w:eastAsia="zh-CN"/>
              </w:rPr>
            </w:pPr>
            <w:r>
              <w:rPr>
                <w:rFonts w:hint="eastAsia" w:ascii="仿宋_GB2312" w:hAnsi="宋体" w:eastAsia="仿宋_GB2312" w:cs="宋体"/>
                <w:kern w:val="0"/>
                <w:sz w:val="24"/>
              </w:rPr>
              <w:t>学习借鉴“枫桥经验”，巩固提升人民调解“双建”工作模式，继续发挥全县各级调解组织的职能作用，完善人民调解、行政调解、司法调解“三调联动”工作机制，做到的衔接有效，矛盾纠纷及时发现、尽早解决</w:t>
            </w:r>
            <w:r>
              <w:rPr>
                <w:rFonts w:hint="eastAsia" w:ascii="仿宋_GB2312" w:hAnsi="宋体" w:eastAsia="仿宋_GB2312" w:cs="宋体"/>
                <w:kern w:val="0"/>
                <w:sz w:val="24"/>
                <w:lang w:eastAsia="zh-CN"/>
              </w:rPr>
              <w:t>。</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调解中心</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黄振东</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11月底完成并长期开展</w:t>
            </w:r>
          </w:p>
        </w:tc>
      </w:tr>
      <w:tr>
        <w:tblPrEx>
          <w:tblLayout w:type="fixed"/>
          <w:tblCellMar>
            <w:top w:w="0" w:type="dxa"/>
            <w:left w:w="34" w:type="dxa"/>
            <w:bottom w:w="0" w:type="dxa"/>
            <w:right w:w="34" w:type="dxa"/>
          </w:tblCellMar>
        </w:tblPrEx>
        <w:trPr>
          <w:trHeight w:val="1556" w:hRule="atLeast"/>
        </w:trPr>
        <w:tc>
          <w:tcPr>
            <w:tcW w:w="6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5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依托村（社区）两委，调整充实选聘村（社区）干部、居民代表、政法干警、退休人员为调解员。加大培训指导力度，每年至少组织一次集中业务培训，各法律顾问常态化对村（居）调解员进行指导培训，全面提升调解员的职业素养、法律水平和调解能力。</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调解中心</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黄振东</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11月底完成并长期开展</w:t>
            </w:r>
          </w:p>
        </w:tc>
      </w:tr>
      <w:tr>
        <w:tblPrEx>
          <w:tblLayout w:type="fixed"/>
          <w:tblCellMar>
            <w:top w:w="0" w:type="dxa"/>
            <w:left w:w="34" w:type="dxa"/>
            <w:bottom w:w="0" w:type="dxa"/>
            <w:right w:w="34" w:type="dxa"/>
          </w:tblCellMar>
        </w:tblPrEx>
        <w:trPr>
          <w:trHeight w:val="1399" w:hRule="atLeast"/>
        </w:trPr>
        <w:tc>
          <w:tcPr>
            <w:tcW w:w="6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5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4"/>
                <w:lang w:eastAsia="zh-CN"/>
              </w:rPr>
            </w:pPr>
            <w:r>
              <w:rPr>
                <w:rFonts w:hint="eastAsia" w:ascii="仿宋_GB2312" w:hAnsi="宋体" w:eastAsia="仿宋_GB2312" w:cs="宋体"/>
                <w:kern w:val="0"/>
                <w:sz w:val="24"/>
              </w:rPr>
              <w:t>规范提升医疗纠纷、交通事故等16个行业性调解组织，使其真正发挥作用。继续开展人民调解“以案定补”工作和全县“金牌人民调解员”评选活动，充分调动各级调解组织和调解员的工作积极性</w:t>
            </w:r>
            <w:r>
              <w:rPr>
                <w:rFonts w:hint="eastAsia" w:ascii="仿宋_GB2312" w:hAnsi="宋体" w:eastAsia="仿宋_GB2312" w:cs="宋体"/>
                <w:kern w:val="0"/>
                <w:sz w:val="24"/>
                <w:lang w:eastAsia="zh-CN"/>
              </w:rPr>
              <w:t>。</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调解中心</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黄振东</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11月底完成并长期开展</w:t>
            </w:r>
          </w:p>
        </w:tc>
      </w:tr>
      <w:tr>
        <w:tblPrEx>
          <w:tblLayout w:type="fixed"/>
          <w:tblCellMar>
            <w:top w:w="0" w:type="dxa"/>
            <w:left w:w="34" w:type="dxa"/>
            <w:bottom w:w="0" w:type="dxa"/>
            <w:right w:w="34" w:type="dxa"/>
          </w:tblCellMar>
        </w:tblPrEx>
        <w:trPr>
          <w:trHeight w:val="1740" w:hRule="atLeast"/>
        </w:trPr>
        <w:tc>
          <w:tcPr>
            <w:tcW w:w="662"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宋体" w:eastAsia="仿宋_GB2312" w:cs="宋体"/>
                <w:kern w:val="0"/>
                <w:sz w:val="24"/>
              </w:rPr>
            </w:pPr>
          </w:p>
        </w:tc>
        <w:tc>
          <w:tcPr>
            <w:tcW w:w="2506" w:type="dxa"/>
            <w:vMerge w:val="continue"/>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6991"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深入开展矛盾纠纷排查调处活动，对排查出的重大矛盾纠纷，按照类型，实行班子成员包案化解。坚决防止因矛盾纠纷排查化解不到位引发“民转刑”命案发生。</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调解中心</w:t>
            </w:r>
          </w:p>
        </w:tc>
        <w:tc>
          <w:tcPr>
            <w:tcW w:w="10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黄振东</w:t>
            </w:r>
          </w:p>
        </w:tc>
        <w:tc>
          <w:tcPr>
            <w:tcW w:w="1553" w:type="dxa"/>
            <w:tcBorders>
              <w:top w:val="single" w:color="auto" w:sz="4" w:space="0"/>
              <w:left w:val="nil"/>
              <w:bottom w:val="single" w:color="auto" w:sz="4" w:space="0"/>
              <w:right w:val="single" w:color="auto" w:sz="4" w:space="0"/>
            </w:tcBorders>
            <w:vAlign w:val="center"/>
          </w:tcPr>
          <w:p>
            <w:pPr>
              <w:widowControl/>
              <w:jc w:val="both"/>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长期坚持</w:t>
            </w:r>
          </w:p>
        </w:tc>
      </w:tr>
      <w:tr>
        <w:tblPrEx>
          <w:tblLayout w:type="fixed"/>
          <w:tblCellMar>
            <w:top w:w="0" w:type="dxa"/>
            <w:left w:w="34" w:type="dxa"/>
            <w:bottom w:w="0" w:type="dxa"/>
            <w:right w:w="34" w:type="dxa"/>
          </w:tblCellMar>
        </w:tblPrEx>
        <w:trPr>
          <w:trHeight w:val="1740" w:hRule="atLeast"/>
        </w:trPr>
        <w:tc>
          <w:tcPr>
            <w:tcW w:w="662" w:type="dxa"/>
            <w:vMerge w:val="restart"/>
            <w:tcBorders>
              <w:top w:val="single" w:color="auto" w:sz="4" w:space="0"/>
              <w:left w:val="single" w:color="auto" w:sz="4" w:space="0"/>
              <w:right w:val="single" w:color="auto" w:sz="4" w:space="0"/>
            </w:tcBorders>
            <w:vAlign w:val="center"/>
          </w:tcPr>
          <w:p>
            <w:pPr>
              <w:widowControl/>
              <w:jc w:val="both"/>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c>
          <w:tcPr>
            <w:tcW w:w="2506" w:type="dxa"/>
            <w:vMerge w:val="restart"/>
            <w:tcBorders>
              <w:top w:val="single" w:color="auto" w:sz="4" w:space="0"/>
              <w:left w:val="nil"/>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 w:hAnsi="仿宋" w:eastAsia="仿宋" w:cs="仿宋"/>
                <w:b/>
                <w:bCs/>
                <w:sz w:val="32"/>
                <w:szCs w:val="32"/>
                <w:lang w:val="en-US" w:eastAsia="zh-CN"/>
              </w:rPr>
              <w:t>规范程序，</w:t>
            </w:r>
            <w:r>
              <w:rPr>
                <w:rFonts w:hint="eastAsia" w:ascii="仿宋" w:hAnsi="仿宋" w:eastAsia="仿宋" w:cs="仿宋"/>
                <w:b/>
                <w:bCs/>
                <w:sz w:val="32"/>
                <w:szCs w:val="32"/>
              </w:rPr>
              <w:t>进一步加强特殊人群的帮教管理</w:t>
            </w:r>
          </w:p>
        </w:tc>
        <w:tc>
          <w:tcPr>
            <w:tcW w:w="6991"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严格落实“日定位、周听声、月见面、季评议、年考评”和社区矫正对象报到、会客、打工、就医、请销假、迁居等工作制度，认真执行“两个八小时”工作制度（社区矫正人员每月参加教育学习、社区服务时间均不小于八小时）；开展社区矫正助力脱贫攻坚活动，各司法所要积极组织社区服刑人员，深入基层一线，针对在册贫困户的帮扶需求开展阶段性或一次性地帮扶活动，提高社区服刑人员的政治觉悟和责任担当。</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社区矫正中心</w:t>
            </w:r>
          </w:p>
        </w:tc>
        <w:tc>
          <w:tcPr>
            <w:tcW w:w="1010"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刘宗宏</w:t>
            </w:r>
          </w:p>
        </w:tc>
        <w:tc>
          <w:tcPr>
            <w:tcW w:w="1553"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10月底并长期坚持</w:t>
            </w:r>
          </w:p>
        </w:tc>
      </w:tr>
      <w:tr>
        <w:tblPrEx>
          <w:tblLayout w:type="fixed"/>
          <w:tblCellMar>
            <w:top w:w="0" w:type="dxa"/>
            <w:left w:w="34" w:type="dxa"/>
            <w:bottom w:w="0" w:type="dxa"/>
            <w:right w:w="34" w:type="dxa"/>
          </w:tblCellMar>
        </w:tblPrEx>
        <w:trPr>
          <w:trHeight w:val="1740" w:hRule="atLeast"/>
        </w:trPr>
        <w:tc>
          <w:tcPr>
            <w:tcW w:w="662" w:type="dxa"/>
            <w:vMerge w:val="continue"/>
            <w:tcBorders>
              <w:left w:val="single" w:color="auto" w:sz="4" w:space="0"/>
              <w:right w:val="single" w:color="auto" w:sz="4" w:space="0"/>
            </w:tcBorders>
            <w:vAlign w:val="center"/>
          </w:tcPr>
          <w:p>
            <w:pPr>
              <w:widowControl/>
              <w:jc w:val="both"/>
              <w:rPr>
                <w:rFonts w:hint="eastAsia" w:ascii="仿宋_GB2312" w:hAnsi="宋体" w:eastAsia="仿宋_GB2312" w:cs="宋体"/>
                <w:kern w:val="0"/>
                <w:sz w:val="24"/>
              </w:rPr>
            </w:pPr>
          </w:p>
        </w:tc>
        <w:tc>
          <w:tcPr>
            <w:tcW w:w="2506" w:type="dxa"/>
            <w:vMerge w:val="continue"/>
            <w:tcBorders>
              <w:left w:val="nil"/>
              <w:right w:val="single" w:color="auto" w:sz="4" w:space="0"/>
            </w:tcBorders>
            <w:vAlign w:val="center"/>
          </w:tcPr>
          <w:p>
            <w:pPr>
              <w:widowControl/>
              <w:rPr>
                <w:rFonts w:hint="eastAsia" w:ascii="仿宋" w:hAnsi="仿宋" w:eastAsia="仿宋" w:cs="仿宋"/>
                <w:b/>
                <w:bCs/>
                <w:sz w:val="32"/>
                <w:szCs w:val="32"/>
                <w:lang w:val="en-US" w:eastAsia="zh-CN"/>
              </w:rPr>
            </w:pPr>
          </w:p>
        </w:tc>
        <w:tc>
          <w:tcPr>
            <w:tcW w:w="6991"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发挥社区矫正中心心理咨询师作用，对有心理障碍的社区服刑人员及刑释解教对象，及时进行心理疏导和干预，帮助社区服刑人员、刑释解教对象树立自尊自信、理性平和、亲善友爱的社会心态。</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社区矫正中心</w:t>
            </w:r>
          </w:p>
        </w:tc>
        <w:tc>
          <w:tcPr>
            <w:tcW w:w="1010"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刘宗宏</w:t>
            </w:r>
          </w:p>
        </w:tc>
        <w:tc>
          <w:tcPr>
            <w:tcW w:w="15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lang w:val="en-US" w:eastAsia="zh-CN"/>
              </w:rPr>
            </w:pPr>
          </w:p>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长期坚持</w:t>
            </w:r>
          </w:p>
        </w:tc>
      </w:tr>
      <w:tr>
        <w:tblPrEx>
          <w:tblLayout w:type="fixed"/>
          <w:tblCellMar>
            <w:top w:w="0" w:type="dxa"/>
            <w:left w:w="34" w:type="dxa"/>
            <w:bottom w:w="0" w:type="dxa"/>
            <w:right w:w="34" w:type="dxa"/>
          </w:tblCellMar>
        </w:tblPrEx>
        <w:trPr>
          <w:trHeight w:val="1740" w:hRule="atLeast"/>
        </w:trPr>
        <w:tc>
          <w:tcPr>
            <w:tcW w:w="662" w:type="dxa"/>
            <w:vMerge w:val="continue"/>
            <w:tcBorders>
              <w:left w:val="single" w:color="auto" w:sz="4" w:space="0"/>
              <w:bottom w:val="single" w:color="auto" w:sz="4" w:space="0"/>
              <w:right w:val="single" w:color="auto" w:sz="4" w:space="0"/>
            </w:tcBorders>
            <w:vAlign w:val="center"/>
          </w:tcPr>
          <w:p>
            <w:pPr>
              <w:widowControl/>
              <w:jc w:val="both"/>
              <w:rPr>
                <w:rFonts w:hint="eastAsia" w:ascii="仿宋_GB2312" w:hAnsi="宋体" w:eastAsia="仿宋_GB2312" w:cs="宋体"/>
                <w:kern w:val="0"/>
                <w:sz w:val="24"/>
              </w:rPr>
            </w:pPr>
          </w:p>
        </w:tc>
        <w:tc>
          <w:tcPr>
            <w:tcW w:w="2506" w:type="dxa"/>
            <w:vMerge w:val="continue"/>
            <w:tcBorders>
              <w:left w:val="nil"/>
              <w:bottom w:val="single" w:color="auto" w:sz="4" w:space="0"/>
              <w:right w:val="single" w:color="auto" w:sz="4" w:space="0"/>
            </w:tcBorders>
            <w:vAlign w:val="center"/>
          </w:tcPr>
          <w:p>
            <w:pPr>
              <w:widowControl/>
              <w:rPr>
                <w:rFonts w:hint="eastAsia" w:ascii="仿宋" w:hAnsi="仿宋" w:eastAsia="仿宋" w:cs="仿宋"/>
                <w:b/>
                <w:bCs/>
                <w:sz w:val="32"/>
                <w:szCs w:val="32"/>
                <w:lang w:val="en-US" w:eastAsia="zh-CN"/>
              </w:rPr>
            </w:pPr>
          </w:p>
        </w:tc>
        <w:tc>
          <w:tcPr>
            <w:tcW w:w="6991"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对家庭困难、患严重疾病、伤残的社区矫正和刑释解教人员进行走访慰问，协调相关部门给予最低生活保障或临时救助，妥善做好安置帮教工作，预防因管控不到位、帮教不及时而导致的重新违法犯罪，强化矫正帮教效果。</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社区矫正中心</w:t>
            </w:r>
          </w:p>
        </w:tc>
        <w:tc>
          <w:tcPr>
            <w:tcW w:w="1010"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刘宗宏</w:t>
            </w:r>
          </w:p>
        </w:tc>
        <w:tc>
          <w:tcPr>
            <w:tcW w:w="15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长期坚持</w:t>
            </w:r>
          </w:p>
        </w:tc>
      </w:tr>
    </w:tbl>
    <w:p>
      <w:pPr>
        <w:numPr>
          <w:ilvl w:val="0"/>
          <w:numId w:val="0"/>
        </w:numPr>
        <w:ind w:left="641" w:leftChars="0"/>
        <w:rPr>
          <w:rFonts w:hint="eastAsia"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bookmarkStart w:id="0" w:name="_GoBack"/>
      <w:bookmarkEnd w:id="0"/>
    </w:p>
    <w:sectPr>
      <w:pgSz w:w="16838" w:h="11906" w:orient="landscape"/>
      <w:pgMar w:top="896" w:right="1440" w:bottom="89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4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Bunny</cp:lastModifiedBy>
  <dcterms:modified xsi:type="dcterms:W3CDTF">2019-08-19T09:04:49Z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